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42E2" w14:textId="77777777" w:rsidR="00E23613" w:rsidRDefault="00E23613">
      <w:pPr>
        <w:rPr>
          <w:b/>
          <w:color w:val="0F172A"/>
          <w:sz w:val="64"/>
          <w:szCs w:val="64"/>
        </w:rPr>
      </w:pPr>
      <w:r w:rsidRPr="00E23613">
        <w:rPr>
          <w:b/>
          <w:color w:val="0F172A"/>
          <w:sz w:val="64"/>
          <w:szCs w:val="64"/>
        </w:rPr>
        <w:t xml:space="preserve">             </w:t>
      </w:r>
    </w:p>
    <w:p w14:paraId="0B91AC5E" w14:textId="34E6AD89" w:rsidR="00E31A68" w:rsidRPr="00E23613" w:rsidRDefault="00E23613">
      <w:pPr>
        <w:rPr>
          <w:b/>
          <w:color w:val="0F172A"/>
          <w:sz w:val="64"/>
          <w:szCs w:val="64"/>
        </w:rPr>
      </w:pPr>
      <w:r>
        <w:rPr>
          <w:b/>
          <w:color w:val="0F172A"/>
          <w:sz w:val="64"/>
          <w:szCs w:val="64"/>
        </w:rPr>
        <w:t xml:space="preserve">             </w:t>
      </w:r>
      <w:r w:rsidRPr="00E23613">
        <w:rPr>
          <w:b/>
          <w:color w:val="0F172A"/>
          <w:sz w:val="64"/>
          <w:szCs w:val="64"/>
        </w:rPr>
        <w:t xml:space="preserve">    </w:t>
      </w:r>
      <w:r w:rsidR="00000000" w:rsidRPr="00E23613">
        <w:rPr>
          <w:b/>
          <w:color w:val="0F172A"/>
          <w:sz w:val="64"/>
          <w:szCs w:val="64"/>
        </w:rPr>
        <w:t>S</w:t>
      </w:r>
      <w:r w:rsidRPr="00E23613">
        <w:rPr>
          <w:b/>
          <w:color w:val="0F172A"/>
          <w:sz w:val="64"/>
          <w:szCs w:val="64"/>
        </w:rPr>
        <w:t>TACKLY</w:t>
      </w:r>
    </w:p>
    <w:p w14:paraId="41960A90" w14:textId="635E4EF8" w:rsidR="00E23613" w:rsidRPr="00E23613" w:rsidRDefault="00E23613">
      <w:pPr>
        <w:rPr>
          <w:rFonts w:hint="eastAsia"/>
          <w:sz w:val="64"/>
          <w:szCs w:val="64"/>
        </w:rPr>
      </w:pPr>
      <w:r w:rsidRPr="00E23613">
        <w:rPr>
          <w:b/>
          <w:color w:val="0F172A"/>
          <w:sz w:val="64"/>
          <w:szCs w:val="64"/>
        </w:rPr>
        <w:t xml:space="preserve">      </w:t>
      </w:r>
      <w:r>
        <w:rPr>
          <w:b/>
          <w:color w:val="0F172A"/>
          <w:sz w:val="64"/>
          <w:szCs w:val="64"/>
        </w:rPr>
        <w:t xml:space="preserve"> </w:t>
      </w:r>
      <w:r w:rsidRPr="00E23613">
        <w:rPr>
          <w:b/>
          <w:color w:val="0F172A"/>
          <w:sz w:val="64"/>
          <w:szCs w:val="64"/>
        </w:rPr>
        <w:t>BUSINESS SOLUTIONS</w:t>
      </w:r>
    </w:p>
    <w:p w14:paraId="582C2194" w14:textId="77777777" w:rsidR="00E23613" w:rsidRDefault="00E23613" w:rsidP="00E23613">
      <w:pPr>
        <w:rPr>
          <w:sz w:val="36"/>
          <w:szCs w:val="36"/>
        </w:rPr>
      </w:pPr>
    </w:p>
    <w:p w14:paraId="6E8E568E" w14:textId="34B328AC" w:rsidR="00E31A68" w:rsidRPr="00E23613" w:rsidRDefault="00000000" w:rsidP="00E23613">
      <w:pPr>
        <w:rPr>
          <w:rFonts w:hint="eastAsia"/>
          <w:sz w:val="36"/>
          <w:szCs w:val="36"/>
        </w:rPr>
      </w:pPr>
      <w:r w:rsidRPr="00E23613">
        <w:rPr>
          <w:sz w:val="36"/>
          <w:szCs w:val="36"/>
        </w:rPr>
        <w:t>Stackly Business Solutions Platform</w:t>
      </w:r>
      <w:r w:rsidRPr="00E23613">
        <w:rPr>
          <w:sz w:val="36"/>
          <w:szCs w:val="36"/>
        </w:rPr>
        <w:br/>
        <w:t>Exhaustive Non-Code Technical Enterprise Content Strategy, Workspace Tooling</w:t>
      </w:r>
      <w:r w:rsidR="00E23613" w:rsidRPr="00E23613">
        <w:rPr>
          <w:sz w:val="36"/>
          <w:szCs w:val="36"/>
        </w:rPr>
        <w:t>.</w:t>
      </w:r>
    </w:p>
    <w:p w14:paraId="6AA869A7" w14:textId="77777777" w:rsidR="00E23613" w:rsidRDefault="00E23613">
      <w:pPr>
        <w:rPr>
          <w:color w:val="64748B"/>
          <w:sz w:val="36"/>
          <w:szCs w:val="36"/>
        </w:rPr>
      </w:pPr>
    </w:p>
    <w:p w14:paraId="659B7F91" w14:textId="26D69E72" w:rsidR="00E31A68" w:rsidRPr="00E23613" w:rsidRDefault="00000000">
      <w:pPr>
        <w:rPr>
          <w:rFonts w:hint="eastAsia"/>
          <w:sz w:val="36"/>
          <w:szCs w:val="36"/>
        </w:rPr>
      </w:pPr>
      <w:r w:rsidRPr="00E23613">
        <w:rPr>
          <w:color w:val="64748B"/>
          <w:sz w:val="36"/>
          <w:szCs w:val="36"/>
        </w:rPr>
        <w:t>Platform Architecture Specification Document</w:t>
      </w:r>
      <w:r w:rsidRPr="00E23613">
        <w:rPr>
          <w:color w:val="64748B"/>
          <w:sz w:val="36"/>
          <w:szCs w:val="36"/>
        </w:rPr>
        <w:br/>
        <w:t>Version: 1.0.0 (Enterprise Solutions Edition)</w:t>
      </w:r>
      <w:r w:rsidRPr="00E23613">
        <w:rPr>
          <w:color w:val="64748B"/>
          <w:sz w:val="36"/>
          <w:szCs w:val="36"/>
        </w:rPr>
        <w:br/>
        <w:t>Target Stack: Pure Semantic HTML5, Advanced CSS3, and JS ES6+</w:t>
      </w:r>
      <w:r w:rsidRPr="00E23613">
        <w:rPr>
          <w:color w:val="64748B"/>
          <w:sz w:val="36"/>
          <w:szCs w:val="36"/>
        </w:rPr>
        <w:br/>
        <w:t>Prepared by: Principal Frontend Systems Architect</w:t>
      </w:r>
      <w:r w:rsidRPr="00E23613">
        <w:rPr>
          <w:color w:val="64748B"/>
          <w:sz w:val="36"/>
          <w:szCs w:val="36"/>
        </w:rPr>
        <w:br/>
        <w:t>Date: July 2026</w:t>
      </w:r>
      <w:r w:rsidRPr="00E23613">
        <w:rPr>
          <w:color w:val="64748B"/>
          <w:sz w:val="36"/>
          <w:szCs w:val="36"/>
        </w:rPr>
        <w:br/>
      </w:r>
    </w:p>
    <w:p w14:paraId="7198658C" w14:textId="109C21CF" w:rsidR="00E31A68" w:rsidRDefault="00000000" w:rsidP="00E23613">
      <w:pPr>
        <w:pStyle w:val="Heading2"/>
      </w:pPr>
      <w:r>
        <w:br w:type="page"/>
      </w:r>
      <w:r>
        <w:lastRenderedPageBreak/>
        <w:t>Document Control &amp; Project Manifest</w:t>
      </w:r>
    </w:p>
    <w:p w14:paraId="7E7CA7B6" w14:textId="77777777" w:rsidR="00E31A68" w:rsidRDefault="00000000">
      <w:pPr>
        <w:rPr>
          <w:rFonts w:hint="eastAsia"/>
        </w:rPr>
      </w:pPr>
      <w:r>
        <w:t>This technical architecture documentation serves as an exhaustive, code-free analytical specification for the structural organization, layout profiles, user experience hierarchies, developer workspace configurations, and edge deployment platforms of the Stackly Business Solutions digital web platform. Designed to showcase corporate consulting offering strategies, cloud integration architectures, industry verticals, historical case reports, and client lead acquisition funnels, this application operates entirely on native browser execution standards.</w:t>
      </w:r>
    </w:p>
    <w:p w14:paraId="0F3AFB10" w14:textId="77777777" w:rsidR="00E31A68" w:rsidRDefault="00000000">
      <w:pPr>
        <w:rPr>
          <w:rFonts w:hint="eastAsia"/>
        </w:rPr>
      </w:pPr>
      <w:r>
        <w:t>By completely omitting active programming scripts, live code blocks, and syntax configurations from the written content of this manual, it provides detailed narrative analysis, data grid matrices, and logical workflows. This setup ensures clear, seamless comprehension across enterprise management directors, corporate stakeholders, operations analysts, frontend developers, and cloud infrastructure groups.</w:t>
      </w:r>
    </w:p>
    <w:p w14:paraId="64BE57B9" w14:textId="77777777" w:rsidR="00E31A68" w:rsidRDefault="00000000">
      <w:pPr>
        <w:pStyle w:val="Heading2"/>
        <w:spacing w:before="240" w:after="120"/>
      </w:pPr>
      <w:r>
        <w:t>Document Topology Matrix</w:t>
      </w:r>
    </w:p>
    <w:p w14:paraId="753835E9" w14:textId="51C71BF5" w:rsidR="00E31A68" w:rsidRDefault="00000000">
      <w:pPr>
        <w:spacing w:after="120"/>
        <w:ind w:left="360"/>
        <w:rPr>
          <w:rFonts w:hint="eastAsia"/>
        </w:rPr>
      </w:pPr>
      <w:r>
        <w:t>Chapter 1: Architectural Foundation &amp; Client-Side Execution Paradigm</w:t>
      </w:r>
    </w:p>
    <w:p w14:paraId="08792675" w14:textId="22659556" w:rsidR="00E31A68" w:rsidRDefault="00000000">
      <w:pPr>
        <w:spacing w:after="120"/>
        <w:ind w:left="360"/>
        <w:rPr>
          <w:rFonts w:hint="eastAsia"/>
        </w:rPr>
      </w:pPr>
      <w:r>
        <w:t xml:space="preserve">Chapter 2: Production Repository Layout &amp; Directory Structure </w:t>
      </w:r>
    </w:p>
    <w:p w14:paraId="2AC4FEE4" w14:textId="4881DFEC" w:rsidR="00E31A68" w:rsidRDefault="00000000">
      <w:pPr>
        <w:spacing w:after="120"/>
        <w:ind w:left="360"/>
        <w:rPr>
          <w:rFonts w:hint="eastAsia"/>
        </w:rPr>
      </w:pPr>
      <w:r>
        <w:t xml:space="preserve">Chapter 3: Page-by-Page Deep Content Architecture - Homepage, About, &amp; Solutions </w:t>
      </w:r>
    </w:p>
    <w:p w14:paraId="627346FE" w14:textId="799919F9" w:rsidR="00E31A68" w:rsidRDefault="00000000">
      <w:pPr>
        <w:spacing w:after="120"/>
        <w:ind w:left="360"/>
        <w:rPr>
          <w:rFonts w:hint="eastAsia"/>
        </w:rPr>
      </w:pPr>
      <w:r>
        <w:t xml:space="preserve">Chapter 4: Page-by-Page Deep Content Architecture - Industries, Team, &amp; Blogs </w:t>
      </w:r>
    </w:p>
    <w:p w14:paraId="7B777A20" w14:textId="4CC4D446" w:rsidR="00E31A68" w:rsidRDefault="00000000">
      <w:pPr>
        <w:spacing w:after="120"/>
        <w:ind w:left="360"/>
        <w:rPr>
          <w:rFonts w:hint="eastAsia"/>
        </w:rPr>
      </w:pPr>
      <w:r>
        <w:t>Chapter 5: Page-by-Page Deep Content Architecture - Core Services &amp; Contact Interfaces</w:t>
      </w:r>
    </w:p>
    <w:p w14:paraId="3195277F" w14:textId="12AB87E4" w:rsidR="00E31A68" w:rsidRDefault="00000000">
      <w:pPr>
        <w:spacing w:after="120"/>
        <w:ind w:left="360"/>
        <w:rPr>
          <w:rFonts w:hint="eastAsia"/>
        </w:rPr>
      </w:pPr>
      <w:r>
        <w:t xml:space="preserve">Chapter 6: Inter-Page Routing Patterns &amp; Document Object Model Hierarchy </w:t>
      </w:r>
    </w:p>
    <w:p w14:paraId="4218EF01" w14:textId="57BA5FAA" w:rsidR="00E31A68" w:rsidRDefault="00000000">
      <w:pPr>
        <w:spacing w:after="120"/>
        <w:ind w:left="360"/>
        <w:rPr>
          <w:rFonts w:hint="eastAsia"/>
        </w:rPr>
      </w:pPr>
      <w:r>
        <w:t>Chapter 7: Presentational Engineering, Custom Properties</w:t>
      </w:r>
    </w:p>
    <w:p w14:paraId="5195D839" w14:textId="10A9C2A7" w:rsidR="00E31A68" w:rsidRDefault="00000000">
      <w:pPr>
        <w:spacing w:after="120"/>
        <w:ind w:left="360"/>
        <w:rPr>
          <w:rFonts w:hint="eastAsia"/>
        </w:rPr>
      </w:pPr>
      <w:r>
        <w:t>Chapter 8: Responsive Layout Mechanics, Flex Grids, &amp; Viewport Adaptability</w:t>
      </w:r>
    </w:p>
    <w:p w14:paraId="7C94DAE5" w14:textId="005C6334" w:rsidR="00E31A68" w:rsidRDefault="00000000">
      <w:pPr>
        <w:spacing w:after="120"/>
        <w:ind w:left="360"/>
        <w:rPr>
          <w:rFonts w:hint="eastAsia"/>
        </w:rPr>
      </w:pPr>
      <w:r>
        <w:t xml:space="preserve">Chapter 9: Behavioral Logic Engineering, Interaction Scopes, &amp; Intake Security </w:t>
      </w:r>
    </w:p>
    <w:p w14:paraId="759E7B60" w14:textId="20901B27" w:rsidR="00E31A68" w:rsidRDefault="00000000">
      <w:pPr>
        <w:spacing w:after="120"/>
        <w:ind w:left="360"/>
        <w:rPr>
          <w:rFonts w:hint="eastAsia"/>
        </w:rPr>
      </w:pPr>
      <w:r>
        <w:t xml:space="preserve">Chapter 10: Integrated Development Tooling Stack, Quality Auditing, &amp; Conclusion </w:t>
      </w:r>
    </w:p>
    <w:p w14:paraId="5BEFF933" w14:textId="77777777" w:rsidR="00E31A68" w:rsidRDefault="00000000">
      <w:pPr>
        <w:rPr>
          <w:rFonts w:hint="eastAsia"/>
        </w:rPr>
      </w:pPr>
      <w:r>
        <w:br w:type="page"/>
      </w:r>
    </w:p>
    <w:p w14:paraId="203805F3" w14:textId="77777777" w:rsidR="00E31A68" w:rsidRDefault="00000000" w:rsidP="00E23613">
      <w:pPr>
        <w:pStyle w:val="Heading2"/>
      </w:pPr>
      <w:r>
        <w:lastRenderedPageBreak/>
        <w:t>1. Architectural Foundation &amp; Client-Side Execution Paradigm</w:t>
      </w:r>
    </w:p>
    <w:p w14:paraId="20490EC0" w14:textId="77777777" w:rsidR="00E31A68" w:rsidRDefault="00000000">
      <w:pPr>
        <w:rPr>
          <w:rFonts w:hint="eastAsia"/>
        </w:rPr>
      </w:pPr>
      <w:r>
        <w:t>The Stackly Business Solutions platform is engineered on a static front-end architecture model. Instead of relying on dynamic database backends that compile interface layouts on-demand whenever a page is requested, the platform serves pre-rendered semantic documents, centralized design tokens, and scoped behavioral logic packages directly to user systems via distributed edge networks.</w:t>
      </w:r>
    </w:p>
    <w:p w14:paraId="2DC79C90" w14:textId="77777777" w:rsidR="00E31A68" w:rsidRDefault="00000000">
      <w:pPr>
        <w:rPr>
          <w:rFonts w:hint="eastAsia"/>
        </w:rPr>
      </w:pPr>
      <w:r>
        <w:t>This approach speeds up data loading times for B2B executives browsing solutions on mobile devices. By completely removing active server-side runtimes (such as Node.js, PHP, or Python) from the live environment, the security perimeter is simplified, protecting intellectual property and user information against database breaches, cross-site scripting (XSS), and malicious remote code execution attacks.</w:t>
      </w:r>
    </w:p>
    <w:p w14:paraId="5DCE1EB8" w14:textId="77777777" w:rsidR="00E31A68" w:rsidRDefault="00000000">
      <w:pPr>
        <w:pStyle w:val="Heading2"/>
        <w:spacing w:before="240" w:after="120"/>
      </w:pPr>
      <w:r>
        <w:t>1.1 Standard Front-End Isolation Model</w:t>
      </w:r>
    </w:p>
    <w:p w14:paraId="477D73F3" w14:textId="77777777" w:rsidR="00E31A68" w:rsidRDefault="00000000">
      <w:pPr>
        <w:rPr>
          <w:rFonts w:hint="eastAsia"/>
        </w:rPr>
      </w:pPr>
      <w:r>
        <w:t>The client runtime separates systems logic into three clean layers to protect the integrity of content, styling, and behavior:</w:t>
      </w:r>
    </w:p>
    <w:tbl>
      <w:tblPr>
        <w:tblW w:w="0" w:type="auto"/>
        <w:jc w:val="center"/>
        <w:tblLook w:val="04A0" w:firstRow="1" w:lastRow="0" w:firstColumn="1" w:lastColumn="0" w:noHBand="0" w:noVBand="1"/>
      </w:tblPr>
      <w:tblGrid>
        <w:gridCol w:w="3120"/>
        <w:gridCol w:w="3120"/>
        <w:gridCol w:w="3120"/>
      </w:tblGrid>
      <w:tr w:rsidR="00E31A68" w14:paraId="7E3EC066" w14:textId="77777777">
        <w:trPr>
          <w:jc w:val="center"/>
        </w:trPr>
        <w:tc>
          <w:tcPr>
            <w:tcW w:w="3120" w:type="dxa"/>
            <w:shd w:val="clear" w:color="auto" w:fill="0F172A"/>
            <w:tcMar>
              <w:top w:w="140" w:type="dxa"/>
              <w:left w:w="180" w:type="dxa"/>
              <w:bottom w:w="140" w:type="dxa"/>
              <w:right w:w="180" w:type="dxa"/>
            </w:tcMar>
          </w:tcPr>
          <w:p w14:paraId="32D61BD4" w14:textId="77777777" w:rsidR="00E31A68" w:rsidRDefault="00000000">
            <w:pPr>
              <w:rPr>
                <w:rFonts w:hint="eastAsia"/>
              </w:rPr>
            </w:pPr>
            <w:r>
              <w:rPr>
                <w:b/>
                <w:color w:val="FFFFFF"/>
              </w:rPr>
              <w:t>Architecture Layer</w:t>
            </w:r>
          </w:p>
        </w:tc>
        <w:tc>
          <w:tcPr>
            <w:tcW w:w="3120" w:type="dxa"/>
            <w:shd w:val="clear" w:color="auto" w:fill="0F172A"/>
            <w:tcMar>
              <w:top w:w="140" w:type="dxa"/>
              <w:left w:w="180" w:type="dxa"/>
              <w:bottom w:w="140" w:type="dxa"/>
              <w:right w:w="180" w:type="dxa"/>
            </w:tcMar>
          </w:tcPr>
          <w:p w14:paraId="5AF652BB" w14:textId="77777777" w:rsidR="00E31A68" w:rsidRDefault="00000000">
            <w:pPr>
              <w:rPr>
                <w:rFonts w:hint="eastAsia"/>
              </w:rPr>
            </w:pPr>
            <w:r>
              <w:rPr>
                <w:b/>
                <w:color w:val="FFFFFF"/>
              </w:rPr>
              <w:t>Technology Medium</w:t>
            </w:r>
          </w:p>
        </w:tc>
        <w:tc>
          <w:tcPr>
            <w:tcW w:w="3120" w:type="dxa"/>
            <w:shd w:val="clear" w:color="auto" w:fill="0F172A"/>
            <w:tcMar>
              <w:top w:w="140" w:type="dxa"/>
              <w:left w:w="180" w:type="dxa"/>
              <w:bottom w:w="140" w:type="dxa"/>
              <w:right w:w="180" w:type="dxa"/>
            </w:tcMar>
          </w:tcPr>
          <w:p w14:paraId="36D0AB0C" w14:textId="77777777" w:rsidR="00E31A68" w:rsidRDefault="00000000">
            <w:pPr>
              <w:rPr>
                <w:rFonts w:hint="eastAsia"/>
              </w:rPr>
            </w:pPr>
            <w:r>
              <w:rPr>
                <w:b/>
                <w:color w:val="FFFFFF"/>
              </w:rPr>
              <w:t>Functional Responsibility Summary</w:t>
            </w:r>
          </w:p>
        </w:tc>
      </w:tr>
      <w:tr w:rsidR="00E31A68" w14:paraId="2F21CE80" w14:textId="77777777">
        <w:trPr>
          <w:jc w:val="center"/>
        </w:trPr>
        <w:tc>
          <w:tcPr>
            <w:tcW w:w="3120" w:type="dxa"/>
            <w:shd w:val="clear" w:color="auto" w:fill="F8FAFC"/>
            <w:tcMar>
              <w:top w:w="140" w:type="dxa"/>
              <w:left w:w="180" w:type="dxa"/>
              <w:bottom w:w="140" w:type="dxa"/>
              <w:right w:w="180" w:type="dxa"/>
            </w:tcMar>
          </w:tcPr>
          <w:p w14:paraId="48680F7A" w14:textId="77777777" w:rsidR="00E31A68" w:rsidRDefault="00000000">
            <w:pPr>
              <w:rPr>
                <w:rFonts w:hint="eastAsia"/>
              </w:rPr>
            </w:pPr>
            <w:r>
              <w:t>Document Structure Tiers</w:t>
            </w:r>
          </w:p>
        </w:tc>
        <w:tc>
          <w:tcPr>
            <w:tcW w:w="3120" w:type="dxa"/>
            <w:shd w:val="clear" w:color="auto" w:fill="F8FAFC"/>
            <w:tcMar>
              <w:top w:w="140" w:type="dxa"/>
              <w:left w:w="180" w:type="dxa"/>
              <w:bottom w:w="140" w:type="dxa"/>
              <w:right w:w="180" w:type="dxa"/>
            </w:tcMar>
          </w:tcPr>
          <w:p w14:paraId="5B269010" w14:textId="77777777" w:rsidR="00E31A68" w:rsidRDefault="00000000">
            <w:pPr>
              <w:rPr>
                <w:rFonts w:hint="eastAsia"/>
              </w:rPr>
            </w:pPr>
            <w:r>
              <w:t>Semantic HTML5 Matrix</w:t>
            </w:r>
          </w:p>
        </w:tc>
        <w:tc>
          <w:tcPr>
            <w:tcW w:w="3120" w:type="dxa"/>
            <w:shd w:val="clear" w:color="auto" w:fill="F8FAFC"/>
            <w:tcMar>
              <w:top w:w="140" w:type="dxa"/>
              <w:left w:w="180" w:type="dxa"/>
              <w:bottom w:w="140" w:type="dxa"/>
              <w:right w:w="180" w:type="dxa"/>
            </w:tcMar>
          </w:tcPr>
          <w:p w14:paraId="7171A05C" w14:textId="77777777" w:rsidR="00E31A68" w:rsidRDefault="00000000">
            <w:pPr>
              <w:rPr>
                <w:rFonts w:hint="eastAsia"/>
              </w:rPr>
            </w:pPr>
            <w:r>
              <w:t>Coordinates text hierarchies, structural page tags, media access hooks, and search engine optimization landmarks.</w:t>
            </w:r>
          </w:p>
        </w:tc>
      </w:tr>
      <w:tr w:rsidR="00E31A68" w14:paraId="67DF2EF2" w14:textId="77777777">
        <w:trPr>
          <w:jc w:val="center"/>
        </w:trPr>
        <w:tc>
          <w:tcPr>
            <w:tcW w:w="3120" w:type="dxa"/>
            <w:tcMar>
              <w:top w:w="140" w:type="dxa"/>
              <w:left w:w="180" w:type="dxa"/>
              <w:bottom w:w="140" w:type="dxa"/>
              <w:right w:w="180" w:type="dxa"/>
            </w:tcMar>
          </w:tcPr>
          <w:p w14:paraId="3EFBDFB0" w14:textId="77777777" w:rsidR="00E31A68" w:rsidRDefault="00000000">
            <w:pPr>
              <w:rPr>
                <w:rFonts w:hint="eastAsia"/>
              </w:rPr>
            </w:pPr>
            <w:r>
              <w:t>Presentational Theme Tiers</w:t>
            </w:r>
          </w:p>
        </w:tc>
        <w:tc>
          <w:tcPr>
            <w:tcW w:w="3120" w:type="dxa"/>
            <w:tcMar>
              <w:top w:w="140" w:type="dxa"/>
              <w:left w:w="180" w:type="dxa"/>
              <w:bottom w:w="140" w:type="dxa"/>
              <w:right w:w="180" w:type="dxa"/>
            </w:tcMar>
          </w:tcPr>
          <w:p w14:paraId="5FC13EF3" w14:textId="77777777" w:rsidR="00E31A68" w:rsidRDefault="00000000">
            <w:pPr>
              <w:rPr>
                <w:rFonts w:hint="eastAsia"/>
              </w:rPr>
            </w:pPr>
            <w:r>
              <w:t>CSS3 Variable Architectures</w:t>
            </w:r>
          </w:p>
        </w:tc>
        <w:tc>
          <w:tcPr>
            <w:tcW w:w="3120" w:type="dxa"/>
            <w:tcMar>
              <w:top w:w="140" w:type="dxa"/>
              <w:left w:w="180" w:type="dxa"/>
              <w:bottom w:w="140" w:type="dxa"/>
              <w:right w:w="180" w:type="dxa"/>
            </w:tcMar>
          </w:tcPr>
          <w:p w14:paraId="1398CC38" w14:textId="77777777" w:rsidR="00E31A68" w:rsidRDefault="00000000">
            <w:pPr>
              <w:rPr>
                <w:rFonts w:hint="eastAsia"/>
              </w:rPr>
            </w:pPr>
            <w:r>
              <w:t>Applies typography scaling, layout grids, branding color rulesets, and fluid transition effects.</w:t>
            </w:r>
          </w:p>
        </w:tc>
      </w:tr>
      <w:tr w:rsidR="00E31A68" w14:paraId="1FD06C3C" w14:textId="77777777">
        <w:trPr>
          <w:jc w:val="center"/>
        </w:trPr>
        <w:tc>
          <w:tcPr>
            <w:tcW w:w="3120" w:type="dxa"/>
            <w:shd w:val="clear" w:color="auto" w:fill="F8FAFC"/>
            <w:tcMar>
              <w:top w:w="140" w:type="dxa"/>
              <w:left w:w="180" w:type="dxa"/>
              <w:bottom w:w="140" w:type="dxa"/>
              <w:right w:w="180" w:type="dxa"/>
            </w:tcMar>
          </w:tcPr>
          <w:p w14:paraId="7818F95D" w14:textId="77777777" w:rsidR="00E31A68" w:rsidRDefault="00000000">
            <w:pPr>
              <w:rPr>
                <w:rFonts w:hint="eastAsia"/>
              </w:rPr>
            </w:pPr>
            <w:r>
              <w:lastRenderedPageBreak/>
              <w:t>Behavioral Logic Tiers</w:t>
            </w:r>
          </w:p>
        </w:tc>
        <w:tc>
          <w:tcPr>
            <w:tcW w:w="3120" w:type="dxa"/>
            <w:shd w:val="clear" w:color="auto" w:fill="F8FAFC"/>
            <w:tcMar>
              <w:top w:w="140" w:type="dxa"/>
              <w:left w:w="180" w:type="dxa"/>
              <w:bottom w:w="140" w:type="dxa"/>
              <w:right w:w="180" w:type="dxa"/>
            </w:tcMar>
          </w:tcPr>
          <w:p w14:paraId="712363DC" w14:textId="259C8304" w:rsidR="00E31A68" w:rsidRDefault="00000000">
            <w:pPr>
              <w:rPr>
                <w:rFonts w:hint="eastAsia"/>
              </w:rPr>
            </w:pPr>
            <w:r>
              <w:t>JavaScript ES6+</w:t>
            </w:r>
          </w:p>
        </w:tc>
        <w:tc>
          <w:tcPr>
            <w:tcW w:w="3120" w:type="dxa"/>
            <w:shd w:val="clear" w:color="auto" w:fill="F8FAFC"/>
            <w:tcMar>
              <w:top w:w="140" w:type="dxa"/>
              <w:left w:w="180" w:type="dxa"/>
              <w:bottom w:w="140" w:type="dxa"/>
              <w:right w:w="180" w:type="dxa"/>
            </w:tcMar>
          </w:tcPr>
          <w:p w14:paraId="75BAF185" w14:textId="77777777" w:rsidR="00E31A68" w:rsidRDefault="00000000">
            <w:pPr>
              <w:rPr>
                <w:rFonts w:hint="eastAsia"/>
              </w:rPr>
            </w:pPr>
            <w:r>
              <w:t>Controls structural link updates, validates input fields, manages animation states, and triggers transport pipelines.</w:t>
            </w:r>
          </w:p>
        </w:tc>
      </w:tr>
    </w:tbl>
    <w:p w14:paraId="1CD8377A" w14:textId="071C9F20" w:rsidR="00E31A68" w:rsidRDefault="00000000" w:rsidP="00E23613">
      <w:pPr>
        <w:pStyle w:val="Heading2"/>
      </w:pPr>
      <w:r>
        <w:t>2. Production Repository Layout</w:t>
      </w:r>
    </w:p>
    <w:p w14:paraId="2DD50DBA" w14:textId="77777777" w:rsidR="00E31A68" w:rsidRDefault="00000000">
      <w:pPr>
        <w:rPr>
          <w:rFonts w:hint="eastAsia"/>
        </w:rPr>
      </w:pPr>
      <w:r>
        <w:t>To support collaborative parallel engineering across consulting marketing updates, service catalog configurations, and contact form development without causing code conflicts, the repository uses a modular file structure organized by asset types.</w:t>
      </w:r>
    </w:p>
    <w:p w14:paraId="617C5A35" w14:textId="77777777" w:rsidR="00E31A68" w:rsidRDefault="00000000">
      <w:pPr>
        <w:pStyle w:val="Heading2"/>
        <w:spacing w:before="240" w:after="120"/>
      </w:pPr>
      <w:r>
        <w:t>2.1 Repository Folder Hierarchy</w:t>
      </w:r>
    </w:p>
    <w:p w14:paraId="7A9D8196" w14:textId="77777777" w:rsidR="00E31A68" w:rsidRDefault="00000000">
      <w:pPr>
        <w:rPr>
          <w:rFonts w:hint="eastAsia"/>
        </w:rPr>
      </w:pPr>
      <w:r>
        <w:t>The system directory branches out logically from the project root. The parent level houses the separate view layers: index.html (the homepage), about.html (corporate overview), solutions.html (strategic playbooks), industries.html (vertical targets), team.html (executive directory), blogs.html (thought leadership grid), services.html (core operations), and contact.html (lead intake). Specialized folders isolate assets cleanly:</w:t>
      </w:r>
    </w:p>
    <w:p w14:paraId="07814BA3" w14:textId="77777777" w:rsidR="00E31A68" w:rsidRDefault="00000000">
      <w:pPr>
        <w:pStyle w:val="ListBullet"/>
        <w:rPr>
          <w:rFonts w:hint="eastAsia"/>
        </w:rPr>
      </w:pPr>
      <w:r>
        <w:t>css/ — Holds the master stylesheet main.css (global baseline resets), alongside style files variables.css (design tokens) and responsive.css (media breakpoints).</w:t>
      </w:r>
    </w:p>
    <w:p w14:paraId="063F4E50" w14:textId="77777777" w:rsidR="00E31A68" w:rsidRDefault="00000000">
      <w:pPr>
        <w:pStyle w:val="ListBullet"/>
        <w:rPr>
          <w:rFonts w:hint="eastAsia"/>
        </w:rPr>
      </w:pPr>
      <w:r>
        <w:t>js/ — Stores app.js (main script initializer) and contact-validation.js (user intake form verification rules).</w:t>
      </w:r>
    </w:p>
    <w:p w14:paraId="45ABF8FA" w14:textId="77777777" w:rsidR="00E31A68" w:rsidRDefault="00000000">
      <w:pPr>
        <w:pStyle w:val="ListBullet"/>
        <w:rPr>
          <w:rFonts w:hint="eastAsia"/>
        </w:rPr>
      </w:pPr>
      <w:r>
        <w:t>assets/ — Contains brand/ (vector corporate symbols in SVG configuration) and images/ (high-definition WebP consulting and business graphics).</w:t>
      </w:r>
    </w:p>
    <w:p w14:paraId="717B6536" w14:textId="77777777" w:rsidR="00E31A68" w:rsidRDefault="00000000">
      <w:pPr>
        <w:pStyle w:val="Heading2"/>
        <w:spacing w:before="240" w:after="120"/>
      </w:pPr>
      <w:r>
        <w:t>2.2 Production Extension Rule Configurations</w:t>
      </w:r>
    </w:p>
    <w:tbl>
      <w:tblPr>
        <w:tblW w:w="0" w:type="auto"/>
        <w:jc w:val="center"/>
        <w:tblLook w:val="04A0" w:firstRow="1" w:lastRow="0" w:firstColumn="1" w:lastColumn="0" w:noHBand="0" w:noVBand="1"/>
      </w:tblPr>
      <w:tblGrid>
        <w:gridCol w:w="3120"/>
        <w:gridCol w:w="3120"/>
        <w:gridCol w:w="3120"/>
      </w:tblGrid>
      <w:tr w:rsidR="00E31A68" w14:paraId="7DEA0CB1" w14:textId="77777777">
        <w:trPr>
          <w:jc w:val="center"/>
        </w:trPr>
        <w:tc>
          <w:tcPr>
            <w:tcW w:w="3120" w:type="dxa"/>
            <w:shd w:val="clear" w:color="auto" w:fill="0F172A"/>
            <w:tcMar>
              <w:top w:w="140" w:type="dxa"/>
              <w:left w:w="180" w:type="dxa"/>
              <w:bottom w:w="140" w:type="dxa"/>
              <w:right w:w="180" w:type="dxa"/>
            </w:tcMar>
          </w:tcPr>
          <w:p w14:paraId="25E6B304" w14:textId="77777777" w:rsidR="00E31A68" w:rsidRDefault="00000000">
            <w:pPr>
              <w:rPr>
                <w:rFonts w:hint="eastAsia"/>
              </w:rPr>
            </w:pPr>
            <w:r>
              <w:rPr>
                <w:b/>
                <w:color w:val="FFFFFF"/>
              </w:rPr>
              <w:t>Extension Target</w:t>
            </w:r>
          </w:p>
        </w:tc>
        <w:tc>
          <w:tcPr>
            <w:tcW w:w="3120" w:type="dxa"/>
            <w:shd w:val="clear" w:color="auto" w:fill="0F172A"/>
            <w:tcMar>
              <w:top w:w="140" w:type="dxa"/>
              <w:left w:w="180" w:type="dxa"/>
              <w:bottom w:w="140" w:type="dxa"/>
              <w:right w:w="180" w:type="dxa"/>
            </w:tcMar>
          </w:tcPr>
          <w:p w14:paraId="1E6E7799" w14:textId="77777777" w:rsidR="00E31A68" w:rsidRDefault="00000000">
            <w:pPr>
              <w:rPr>
                <w:rFonts w:hint="eastAsia"/>
              </w:rPr>
            </w:pPr>
            <w:r>
              <w:rPr>
                <w:b/>
                <w:color w:val="FFFFFF"/>
              </w:rPr>
              <w:t>Designated Framework Role</w:t>
            </w:r>
          </w:p>
        </w:tc>
        <w:tc>
          <w:tcPr>
            <w:tcW w:w="3120" w:type="dxa"/>
            <w:shd w:val="clear" w:color="auto" w:fill="0F172A"/>
            <w:tcMar>
              <w:top w:w="140" w:type="dxa"/>
              <w:left w:w="180" w:type="dxa"/>
              <w:bottom w:w="140" w:type="dxa"/>
              <w:right w:w="180" w:type="dxa"/>
            </w:tcMar>
          </w:tcPr>
          <w:p w14:paraId="0EEEE594" w14:textId="77777777" w:rsidR="00E31A68" w:rsidRDefault="00000000">
            <w:pPr>
              <w:rPr>
                <w:rFonts w:hint="eastAsia"/>
              </w:rPr>
            </w:pPr>
            <w:r>
              <w:rPr>
                <w:b/>
                <w:color w:val="FFFFFF"/>
              </w:rPr>
              <w:t>Quality &amp; Compliance Metrics</w:t>
            </w:r>
          </w:p>
        </w:tc>
      </w:tr>
      <w:tr w:rsidR="00E31A68" w14:paraId="6605E428" w14:textId="77777777">
        <w:trPr>
          <w:jc w:val="center"/>
        </w:trPr>
        <w:tc>
          <w:tcPr>
            <w:tcW w:w="3120" w:type="dxa"/>
            <w:shd w:val="clear" w:color="auto" w:fill="F8FAFC"/>
            <w:tcMar>
              <w:top w:w="140" w:type="dxa"/>
              <w:left w:w="180" w:type="dxa"/>
              <w:bottom w:w="140" w:type="dxa"/>
              <w:right w:w="180" w:type="dxa"/>
            </w:tcMar>
          </w:tcPr>
          <w:p w14:paraId="16F5EFC5" w14:textId="77777777" w:rsidR="00E31A68" w:rsidRDefault="00000000">
            <w:pPr>
              <w:rPr>
                <w:rFonts w:hint="eastAsia"/>
              </w:rPr>
            </w:pPr>
            <w:r>
              <w:t>.html Formats</w:t>
            </w:r>
          </w:p>
        </w:tc>
        <w:tc>
          <w:tcPr>
            <w:tcW w:w="3120" w:type="dxa"/>
            <w:shd w:val="clear" w:color="auto" w:fill="F8FAFC"/>
            <w:tcMar>
              <w:top w:w="140" w:type="dxa"/>
              <w:left w:w="180" w:type="dxa"/>
              <w:bottom w:w="140" w:type="dxa"/>
              <w:right w:w="180" w:type="dxa"/>
            </w:tcMar>
          </w:tcPr>
          <w:p w14:paraId="73FC09A4" w14:textId="77777777" w:rsidR="00E31A68" w:rsidRDefault="00000000">
            <w:pPr>
              <w:rPr>
                <w:rFonts w:hint="eastAsia"/>
              </w:rPr>
            </w:pPr>
            <w:r>
              <w:t>Declarative Data Layout</w:t>
            </w:r>
          </w:p>
        </w:tc>
        <w:tc>
          <w:tcPr>
            <w:tcW w:w="3120" w:type="dxa"/>
            <w:shd w:val="clear" w:color="auto" w:fill="F8FAFC"/>
            <w:tcMar>
              <w:top w:w="140" w:type="dxa"/>
              <w:left w:w="180" w:type="dxa"/>
              <w:bottom w:w="140" w:type="dxa"/>
              <w:right w:w="180" w:type="dxa"/>
            </w:tcMar>
          </w:tcPr>
          <w:p w14:paraId="270AD7CF" w14:textId="77777777" w:rsidR="00E31A68" w:rsidRDefault="00000000">
            <w:pPr>
              <w:rPr>
                <w:rFonts w:hint="eastAsia"/>
              </w:rPr>
            </w:pPr>
            <w:r>
              <w:t xml:space="preserve">Must pass W3C validation </w:t>
            </w:r>
            <w:r>
              <w:lastRenderedPageBreak/>
              <w:t>models without structural syntax anomalies, layout bugs, or missing access markers.</w:t>
            </w:r>
          </w:p>
        </w:tc>
      </w:tr>
      <w:tr w:rsidR="00E31A68" w14:paraId="7999CF1D" w14:textId="77777777">
        <w:trPr>
          <w:jc w:val="center"/>
        </w:trPr>
        <w:tc>
          <w:tcPr>
            <w:tcW w:w="3120" w:type="dxa"/>
            <w:tcMar>
              <w:top w:w="140" w:type="dxa"/>
              <w:left w:w="180" w:type="dxa"/>
              <w:bottom w:w="140" w:type="dxa"/>
              <w:right w:w="180" w:type="dxa"/>
            </w:tcMar>
          </w:tcPr>
          <w:p w14:paraId="0B0EC912" w14:textId="77777777" w:rsidR="00E31A68" w:rsidRDefault="00000000">
            <w:pPr>
              <w:rPr>
                <w:rFonts w:hint="eastAsia"/>
              </w:rPr>
            </w:pPr>
            <w:r>
              <w:lastRenderedPageBreak/>
              <w:t>.css Formats</w:t>
            </w:r>
          </w:p>
        </w:tc>
        <w:tc>
          <w:tcPr>
            <w:tcW w:w="3120" w:type="dxa"/>
            <w:tcMar>
              <w:top w:w="140" w:type="dxa"/>
              <w:left w:w="180" w:type="dxa"/>
              <w:bottom w:w="140" w:type="dxa"/>
              <w:right w:w="180" w:type="dxa"/>
            </w:tcMar>
          </w:tcPr>
          <w:p w14:paraId="514478A7" w14:textId="77777777" w:rsidR="00E31A68" w:rsidRDefault="00000000">
            <w:pPr>
              <w:rPr>
                <w:rFonts w:hint="eastAsia"/>
              </w:rPr>
            </w:pPr>
            <w:r>
              <w:t>Visual Brand Shell</w:t>
            </w:r>
          </w:p>
        </w:tc>
        <w:tc>
          <w:tcPr>
            <w:tcW w:w="3120" w:type="dxa"/>
            <w:tcMar>
              <w:top w:w="140" w:type="dxa"/>
              <w:left w:w="180" w:type="dxa"/>
              <w:bottom w:w="140" w:type="dxa"/>
              <w:right w:w="180" w:type="dxa"/>
            </w:tcMar>
          </w:tcPr>
          <w:p w14:paraId="4AD57296" w14:textId="77777777" w:rsidR="00E31A68" w:rsidRDefault="00000000">
            <w:pPr>
              <w:rPr>
                <w:rFonts w:hint="eastAsia"/>
              </w:rPr>
            </w:pPr>
            <w:r>
              <w:t>Must operate via centralized custom variables. Absolute physical sizes are restricted in favor of fluid rem scalers.</w:t>
            </w:r>
          </w:p>
        </w:tc>
      </w:tr>
      <w:tr w:rsidR="00E31A68" w14:paraId="58D62BAD" w14:textId="77777777">
        <w:trPr>
          <w:jc w:val="center"/>
        </w:trPr>
        <w:tc>
          <w:tcPr>
            <w:tcW w:w="3120" w:type="dxa"/>
            <w:shd w:val="clear" w:color="auto" w:fill="F8FAFC"/>
            <w:tcMar>
              <w:top w:w="140" w:type="dxa"/>
              <w:left w:w="180" w:type="dxa"/>
              <w:bottom w:w="140" w:type="dxa"/>
              <w:right w:w="180" w:type="dxa"/>
            </w:tcMar>
          </w:tcPr>
          <w:p w14:paraId="1CAB7796" w14:textId="77777777" w:rsidR="00E31A68" w:rsidRDefault="00000000">
            <w:pPr>
              <w:rPr>
                <w:rFonts w:hint="eastAsia"/>
              </w:rPr>
            </w:pPr>
            <w:r>
              <w:t>.js Formats</w:t>
            </w:r>
          </w:p>
        </w:tc>
        <w:tc>
          <w:tcPr>
            <w:tcW w:w="3120" w:type="dxa"/>
            <w:shd w:val="clear" w:color="auto" w:fill="F8FAFC"/>
            <w:tcMar>
              <w:top w:w="140" w:type="dxa"/>
              <w:left w:w="180" w:type="dxa"/>
              <w:bottom w:w="140" w:type="dxa"/>
              <w:right w:w="180" w:type="dxa"/>
            </w:tcMar>
          </w:tcPr>
          <w:p w14:paraId="79176644" w14:textId="77777777" w:rsidR="00E31A68" w:rsidRDefault="00000000">
            <w:pPr>
              <w:rPr>
                <w:rFonts w:hint="eastAsia"/>
              </w:rPr>
            </w:pPr>
            <w:r>
              <w:t>Dynamic Core Scripts</w:t>
            </w:r>
          </w:p>
        </w:tc>
        <w:tc>
          <w:tcPr>
            <w:tcW w:w="3120" w:type="dxa"/>
            <w:shd w:val="clear" w:color="auto" w:fill="F8FAFC"/>
            <w:tcMar>
              <w:top w:w="140" w:type="dxa"/>
              <w:left w:w="180" w:type="dxa"/>
              <w:bottom w:w="140" w:type="dxa"/>
              <w:right w:w="180" w:type="dxa"/>
            </w:tcMar>
          </w:tcPr>
          <w:p w14:paraId="11BB486D" w14:textId="77777777" w:rsidR="00E31A68" w:rsidRDefault="00000000">
            <w:pPr>
              <w:rPr>
                <w:rFonts w:hint="eastAsia"/>
              </w:rPr>
            </w:pPr>
            <w:r>
              <w:t>Executed under strict mode ('use strict'). Global variable modifications are prohibited during script processes.</w:t>
            </w:r>
          </w:p>
        </w:tc>
      </w:tr>
    </w:tbl>
    <w:p w14:paraId="309B53AA" w14:textId="3B6541EF" w:rsidR="00E31A68" w:rsidRDefault="00000000" w:rsidP="002C3BAA">
      <w:pPr>
        <w:pStyle w:val="Heading2"/>
      </w:pPr>
      <w:r>
        <w:t>3. Page-by-Page Deep Content Architecture - Homepage, About, &amp; Solutions</w:t>
      </w:r>
    </w:p>
    <w:p w14:paraId="51E57A5F" w14:textId="77777777" w:rsidR="00E31A68" w:rsidRDefault="00000000">
      <w:pPr>
        <w:rPr>
          <w:rFonts w:hint="eastAsia"/>
        </w:rPr>
      </w:pPr>
      <w:r>
        <w:t>The Stackly Business Solutions web platform maps distinct corporate, operational, and stakeholder needs into clear page configurations. This layout naturally guides corporate decision-makers from evaluating core capabilities to initiating engagement pipelines.</w:t>
      </w:r>
    </w:p>
    <w:p w14:paraId="6B9471A4" w14:textId="77777777" w:rsidR="00E31A68" w:rsidRDefault="00000000">
      <w:pPr>
        <w:pStyle w:val="Heading2"/>
        <w:spacing w:before="240" w:after="120"/>
      </w:pPr>
      <w:r>
        <w:t>3.1 Central Enterprise Dashboard (index.html)</w:t>
      </w:r>
    </w:p>
    <w:p w14:paraId="38D88655" w14:textId="77777777" w:rsidR="00E31A68" w:rsidRDefault="00000000">
      <w:pPr>
        <w:rPr>
          <w:rFonts w:hint="eastAsia"/>
        </w:rPr>
      </w:pPr>
      <w:r>
        <w:t>The homepage serves as the primary digital gateway for Stackly Business Solutions, optimized for modern business engagement and clear informational data flow. The layout focuses on a high-impact corporate hero section emphasizing data-driven transformation, scalable cloud automation, and operational efficiency strategies. Clear call-to-action triggers are integrated to route prospective partners directly to consulting consultation grids or core solution matrices.</w:t>
      </w:r>
    </w:p>
    <w:p w14:paraId="65A63821" w14:textId="77777777" w:rsidR="00E31A68" w:rsidRDefault="00000000">
      <w:pPr>
        <w:rPr>
          <w:rFonts w:hint="eastAsia"/>
        </w:rPr>
      </w:pPr>
      <w:r>
        <w:t xml:space="preserve">Directly underneath the hero blocks, the interface includes a series of real-time trust metrics—including verified numbers of successful enterprise transformations, combined consulting experience milestones, and corporate retention metrics. The page features a summary layout </w:t>
      </w:r>
      <w:r>
        <w:lastRenderedPageBreak/>
        <w:t>displaying primary business service tracks, recent client success snippets, and immediate touchpoint engagement controls.</w:t>
      </w:r>
    </w:p>
    <w:p w14:paraId="34C42E3E" w14:textId="77777777" w:rsidR="00E31A68" w:rsidRDefault="00000000">
      <w:pPr>
        <w:pStyle w:val="Heading2"/>
        <w:spacing w:before="240" w:after="120"/>
      </w:pPr>
      <w:r>
        <w:t>3.2 Corporate Overview &amp; Vision (about.html)</w:t>
      </w:r>
    </w:p>
    <w:p w14:paraId="652EDBB6" w14:textId="77777777" w:rsidR="00E31A68" w:rsidRDefault="00000000">
      <w:pPr>
        <w:rPr>
          <w:rFonts w:hint="eastAsia"/>
        </w:rPr>
      </w:pPr>
      <w:r>
        <w:t>The about section presents a detailed review of Stackly's history, executive leadership principles, and corporate governance standards. It maps out institutional timeline milestones, explaining the strategic growth of the consulting practice and its commitment to digital infrastructure transformation.</w:t>
      </w:r>
    </w:p>
    <w:p w14:paraId="51AFB121" w14:textId="77777777" w:rsidR="00E31A68" w:rsidRDefault="00000000">
      <w:pPr>
        <w:rPr>
          <w:rFonts w:hint="eastAsia"/>
        </w:rPr>
      </w:pPr>
      <w:r>
        <w:t>This section outlines the operational frameworks that dictate client delivery models, change management protocols, and enterprise risk mitigations. This content architecture reinforces brand transparency and provides corporate procurement groups with the verification data needed for formal project audits.</w:t>
      </w:r>
    </w:p>
    <w:p w14:paraId="5C2B1AED" w14:textId="77777777" w:rsidR="00E31A68" w:rsidRDefault="00000000">
      <w:pPr>
        <w:pStyle w:val="Heading2"/>
        <w:spacing w:before="240" w:after="120"/>
      </w:pPr>
      <w:r>
        <w:t>3.3 Strategic Corporate Solutions (solutions.html)</w:t>
      </w:r>
    </w:p>
    <w:p w14:paraId="7CB4CB10" w14:textId="77777777" w:rsidR="00E31A68" w:rsidRDefault="00000000">
      <w:pPr>
        <w:rPr>
          <w:rFonts w:hint="eastAsia"/>
        </w:rPr>
      </w:pPr>
      <w:r>
        <w:t>The solutions portal is organized into distinct structural playbooks designed to address key enterprise challenges, such as Digital Transformation Strategy, Cloud Migration Frameworks, and Operations Optimization Systems. Each card details problem definitions, target deployment architectures, typical integration lifecycles, and measured client ROI outcomes.</w:t>
      </w:r>
    </w:p>
    <w:p w14:paraId="117F1D7F" w14:textId="237E7BFF" w:rsidR="00E31A68" w:rsidRDefault="00000000" w:rsidP="002C3BAA">
      <w:pPr>
        <w:pStyle w:val="Heading2"/>
      </w:pPr>
      <w:r>
        <w:t>4. Page-by-Page Deep Content Architecture - Industries, Team, &amp; Blogs</w:t>
      </w:r>
    </w:p>
    <w:p w14:paraId="549B4DFA" w14:textId="77777777" w:rsidR="00E31A68" w:rsidRDefault="00000000">
      <w:pPr>
        <w:rPr>
          <w:rFonts w:hint="eastAsia"/>
        </w:rPr>
      </w:pPr>
      <w:r>
        <w:t>This chapter highlights the platform's vertical specialization markets, leadership capabilities, and corporate knowledge management assets, showing the depth of institutional consulting experience.</w:t>
      </w:r>
    </w:p>
    <w:p w14:paraId="650B5C8A" w14:textId="77777777" w:rsidR="00E31A68" w:rsidRDefault="00000000">
      <w:pPr>
        <w:pStyle w:val="Heading2"/>
        <w:spacing w:before="240" w:after="120"/>
      </w:pPr>
      <w:r>
        <w:t>4.1 Targeted Industry Verticals (industries.html)</w:t>
      </w:r>
    </w:p>
    <w:p w14:paraId="7FEA0979" w14:textId="77777777" w:rsidR="00E31A68" w:rsidRDefault="00000000">
      <w:pPr>
        <w:rPr>
          <w:rFonts w:hint="eastAsia"/>
        </w:rPr>
      </w:pPr>
      <w:r>
        <w:t>The industries page catalogs the specific economic fields that Stackly services. Content blocks group target verticals into clear cards: Financial Services and FinTech Security, Healthcare Delivery Systems and Compliance, and Supply Chain Logistics and Automation Systems.</w:t>
      </w:r>
    </w:p>
    <w:p w14:paraId="507A6403" w14:textId="77777777" w:rsidR="00E31A68" w:rsidRDefault="00000000">
      <w:pPr>
        <w:rPr>
          <w:rFonts w:hint="eastAsia"/>
        </w:rPr>
      </w:pPr>
      <w:r>
        <w:t>Each industry section explains how Stackly modifies its core tools to comply with industry-specific laws (such as HIPAA or financial data encryption metrics). This proves the firm's deep compliance knowledge to enterprise legal team auditors.</w:t>
      </w:r>
    </w:p>
    <w:p w14:paraId="025BA714" w14:textId="77777777" w:rsidR="00E31A68" w:rsidRDefault="00000000">
      <w:pPr>
        <w:pStyle w:val="Heading2"/>
        <w:spacing w:before="240" w:after="120"/>
      </w:pPr>
      <w:r>
        <w:lastRenderedPageBreak/>
        <w:t>4.2 Executive Directory &amp; Practice Leadership (team.html)</w:t>
      </w:r>
    </w:p>
    <w:p w14:paraId="11255188" w14:textId="77777777" w:rsidR="00E31A68" w:rsidRDefault="00000000">
      <w:pPr>
        <w:rPr>
          <w:rFonts w:hint="eastAsia"/>
        </w:rPr>
      </w:pPr>
      <w:r>
        <w:t>The team section outlines the firm's human capital depth. A grid layout displays biographical profile cards for principal consultants, lead data architects, and project delivery directors. Each card systematically details academic credentials, professional certifications, specific project experience, and past enterprise advisory history.</w:t>
      </w:r>
    </w:p>
    <w:p w14:paraId="5FB588C7" w14:textId="77777777" w:rsidR="00E31A68" w:rsidRDefault="00000000">
      <w:pPr>
        <w:pStyle w:val="Heading2"/>
        <w:spacing w:before="240" w:after="120"/>
      </w:pPr>
      <w:r>
        <w:t>4.3 Thought Leadership &amp; Blogs Knowledge Hub (blogs.html)</w:t>
      </w:r>
    </w:p>
    <w:p w14:paraId="524D17E1" w14:textId="77777777" w:rsidR="00E31A68" w:rsidRDefault="00000000">
      <w:pPr>
        <w:rPr>
          <w:rFonts w:hint="eastAsia"/>
        </w:rPr>
      </w:pPr>
      <w:r>
        <w:t>The blogs page manages Stackly's comprehensive knowledge asset repository. This section presents technical white papers, modern trend analyses, and case study reports. Content elements include project summary matrices, publication markers, abstract notes, and full open-source download access paths.</w:t>
      </w:r>
    </w:p>
    <w:p w14:paraId="7299E78E" w14:textId="77777777" w:rsidR="00E31A68" w:rsidRDefault="00000000">
      <w:pPr>
        <w:rPr>
          <w:rFonts w:hint="eastAsia"/>
        </w:rPr>
      </w:pPr>
      <w:r>
        <w:t>To help corporate users find relevant items, the view uses an elegant client-side categorization grid. Users can quickly isolate articles by tags—such as AI Integration, Cybersecurity Audits, or Agile Management—speeding up business literature research.</w:t>
      </w:r>
    </w:p>
    <w:p w14:paraId="7E56DA79" w14:textId="6F9A29CF" w:rsidR="00E31A68" w:rsidRDefault="00000000" w:rsidP="002C3BAA">
      <w:pPr>
        <w:pStyle w:val="Heading2"/>
      </w:pPr>
      <w:r>
        <w:t>5. Page-by-Page Deep Content Architecture - Core Services &amp; Contact Interfaces</w:t>
      </w:r>
    </w:p>
    <w:p w14:paraId="65085CC6" w14:textId="77777777" w:rsidR="00E31A68" w:rsidRDefault="00000000">
      <w:pPr>
        <w:rPr>
          <w:rFonts w:hint="eastAsia"/>
        </w:rPr>
      </w:pPr>
      <w:r>
        <w:t>This chapter details the actionable service portfolio offerings and institutional intake channels designed to securely capture and route high-value enterprise leads.</w:t>
      </w:r>
    </w:p>
    <w:p w14:paraId="0CDC0BD9" w14:textId="77777777" w:rsidR="00E31A68" w:rsidRDefault="00000000">
      <w:pPr>
        <w:pStyle w:val="Heading2"/>
        <w:spacing w:before="240" w:after="120"/>
      </w:pPr>
      <w:r>
        <w:t>5.1 Operational Service Portfolio Capabilities (services.html)</w:t>
      </w:r>
    </w:p>
    <w:p w14:paraId="70BF373B" w14:textId="77777777" w:rsidR="00E31A68" w:rsidRDefault="00000000">
      <w:pPr>
        <w:rPr>
          <w:rFonts w:hint="eastAsia"/>
        </w:rPr>
      </w:pPr>
      <w:r>
        <w:t>The services catalog outlines the exact operational services and testing pipelines that Stackly provides to external partners. The offerings are organized into three distinct tiers: Technology Architecture Advisory, Enterprise Security Assessment, and Managed DevOps Infrastructure Support.</w:t>
      </w:r>
    </w:p>
    <w:p w14:paraId="72B6C37F" w14:textId="77777777" w:rsidR="00E31A68" w:rsidRDefault="00000000">
      <w:pPr>
        <w:rPr>
          <w:rFonts w:hint="eastAsia"/>
        </w:rPr>
      </w:pPr>
      <w:r>
        <w:t>Each service card specifies step-by-step onboarding workflows, standard delivery timelines, operational reporting formats, and service level agreement (SLA) boundaries. This gives corporate prospects the detail needed to evaluate capacity before initiating contracts.</w:t>
      </w:r>
    </w:p>
    <w:p w14:paraId="6876E315" w14:textId="77777777" w:rsidR="00E31A68" w:rsidRDefault="00000000">
      <w:pPr>
        <w:pStyle w:val="Heading2"/>
        <w:spacing w:before="240" w:after="120"/>
      </w:pPr>
      <w:r>
        <w:lastRenderedPageBreak/>
        <w:t>5.2 Corporate Intake &amp; Contact Interface Channel (contact.html)</w:t>
      </w:r>
    </w:p>
    <w:p w14:paraId="33F297E3" w14:textId="77777777" w:rsidR="00E31A68" w:rsidRDefault="00000000">
      <w:pPr>
        <w:rPr>
          <w:rFonts w:hint="eastAsia"/>
        </w:rPr>
      </w:pPr>
      <w:r>
        <w:t>The contact view handles corporate communication and lead processing. The design features a layout grouping physical regional office elements, including global coordinates, phone communication lines, official email channels, and secure business inquiry intake fields.</w:t>
      </w:r>
    </w:p>
    <w:p w14:paraId="7CB9B195" w14:textId="77777777" w:rsidR="00E31A68" w:rsidRDefault="00000000">
      <w:pPr>
        <w:rPr>
          <w:rFonts w:hint="eastAsia"/>
        </w:rPr>
      </w:pPr>
      <w:r>
        <w:t>To assist enterprise clients visiting corporate centers, the interface integrates responsive map layouts, transit details, visitor security rules, and department routing maps. This ensures complex enterprise inquiries match directly with the correct account executive group.</w:t>
      </w:r>
    </w:p>
    <w:p w14:paraId="4A530674" w14:textId="1F15EFF0" w:rsidR="00E31A68" w:rsidRDefault="00000000" w:rsidP="002C3BAA">
      <w:pPr>
        <w:pStyle w:val="Heading2"/>
      </w:pPr>
      <w:r>
        <w:t>6. Inter-Page Routing Patterns &amp; Document Object Model Hierarchy</w:t>
      </w:r>
    </w:p>
    <w:p w14:paraId="6E2B652F" w14:textId="785C1BC6" w:rsidR="00E31A68" w:rsidRDefault="00000000">
      <w:pPr>
        <w:rPr>
          <w:rFonts w:hint="eastAsia"/>
        </w:rPr>
      </w:pPr>
      <w:r>
        <w:t>To keep user navigation fluid across multiple distinct pages, the platform utilizes a relative link configuration. This standard setup avoids server-side path rewrite rules, enabling identical code configurations to run smoothly on localized staging environments</w:t>
      </w:r>
      <w:r w:rsidR="002C3BAA">
        <w:t>.</w:t>
      </w:r>
    </w:p>
    <w:p w14:paraId="11D59C23" w14:textId="77777777" w:rsidR="00E31A68" w:rsidRDefault="00000000">
      <w:pPr>
        <w:rPr>
          <w:rFonts w:hint="eastAsia"/>
        </w:rPr>
      </w:pPr>
      <w:r>
        <w:t>The layout architecture applies strict HTML5 structural landmarks to support screen-reader arrays. Every page matches an identical structural template: a high-contrast global header bar with accessible navigation menus, an isolated main element with tabindex properties to manage active focus shifts, and an informative footer containing safety certifications, legal liability notes, and institutional credentials.</w:t>
      </w:r>
    </w:p>
    <w:p w14:paraId="4AD39918" w14:textId="77777777" w:rsidR="00E31A68" w:rsidRDefault="00000000">
      <w:pPr>
        <w:pStyle w:val="Heading2"/>
        <w:spacing w:before="240" w:after="120"/>
      </w:pPr>
      <w:r>
        <w:t>6.1 Platform Navigation Interface Mappings</w:t>
      </w:r>
    </w:p>
    <w:p w14:paraId="32A51845" w14:textId="77777777" w:rsidR="00E31A68" w:rsidRDefault="00000000">
      <w:pPr>
        <w:rPr>
          <w:rFonts w:hint="eastAsia"/>
        </w:rPr>
      </w:pPr>
      <w:r>
        <w:t>The layout map below tracks how core page linkages connect to guide users through conversion and corporate advisory pathways:</w:t>
      </w:r>
    </w:p>
    <w:tbl>
      <w:tblPr>
        <w:tblW w:w="0" w:type="auto"/>
        <w:jc w:val="center"/>
        <w:tblLook w:val="04A0" w:firstRow="1" w:lastRow="0" w:firstColumn="1" w:lastColumn="0" w:noHBand="0" w:noVBand="1"/>
      </w:tblPr>
      <w:tblGrid>
        <w:gridCol w:w="3120"/>
        <w:gridCol w:w="3120"/>
        <w:gridCol w:w="3120"/>
      </w:tblGrid>
      <w:tr w:rsidR="00E31A68" w14:paraId="4695B5BC" w14:textId="77777777">
        <w:trPr>
          <w:jc w:val="center"/>
        </w:trPr>
        <w:tc>
          <w:tcPr>
            <w:tcW w:w="3120" w:type="dxa"/>
            <w:shd w:val="clear" w:color="auto" w:fill="0F172A"/>
            <w:tcMar>
              <w:top w:w="140" w:type="dxa"/>
              <w:left w:w="180" w:type="dxa"/>
              <w:bottom w:w="140" w:type="dxa"/>
              <w:right w:w="180" w:type="dxa"/>
            </w:tcMar>
          </w:tcPr>
          <w:p w14:paraId="02A0CDC9" w14:textId="77777777" w:rsidR="00E31A68" w:rsidRDefault="00000000">
            <w:pPr>
              <w:rPr>
                <w:rFonts w:hint="eastAsia"/>
              </w:rPr>
            </w:pPr>
            <w:r>
              <w:rPr>
                <w:b/>
                <w:color w:val="FFFFFF"/>
              </w:rPr>
              <w:t>Source View Layout</w:t>
            </w:r>
          </w:p>
        </w:tc>
        <w:tc>
          <w:tcPr>
            <w:tcW w:w="3120" w:type="dxa"/>
            <w:shd w:val="clear" w:color="auto" w:fill="0F172A"/>
            <w:tcMar>
              <w:top w:w="140" w:type="dxa"/>
              <w:left w:w="180" w:type="dxa"/>
              <w:bottom w:w="140" w:type="dxa"/>
              <w:right w:w="180" w:type="dxa"/>
            </w:tcMar>
          </w:tcPr>
          <w:p w14:paraId="6E034CC4" w14:textId="77777777" w:rsidR="00E31A68" w:rsidRDefault="00000000">
            <w:pPr>
              <w:rPr>
                <w:rFonts w:hint="eastAsia"/>
              </w:rPr>
            </w:pPr>
            <w:r>
              <w:rPr>
                <w:b/>
                <w:color w:val="FFFFFF"/>
              </w:rPr>
              <w:t>Target Destination Route</w:t>
            </w:r>
          </w:p>
        </w:tc>
        <w:tc>
          <w:tcPr>
            <w:tcW w:w="3120" w:type="dxa"/>
            <w:shd w:val="clear" w:color="auto" w:fill="0F172A"/>
            <w:tcMar>
              <w:top w:w="140" w:type="dxa"/>
              <w:left w:w="180" w:type="dxa"/>
              <w:bottom w:w="140" w:type="dxa"/>
              <w:right w:w="180" w:type="dxa"/>
            </w:tcMar>
          </w:tcPr>
          <w:p w14:paraId="0FA4F69E" w14:textId="77777777" w:rsidR="00E31A68" w:rsidRDefault="00000000">
            <w:pPr>
              <w:rPr>
                <w:rFonts w:hint="eastAsia"/>
              </w:rPr>
            </w:pPr>
            <w:r>
              <w:rPr>
                <w:b/>
                <w:color w:val="FFFFFF"/>
              </w:rPr>
              <w:t>Strategic User Experience Intent</w:t>
            </w:r>
          </w:p>
        </w:tc>
      </w:tr>
      <w:tr w:rsidR="00E31A68" w14:paraId="23BD806E" w14:textId="77777777">
        <w:trPr>
          <w:jc w:val="center"/>
        </w:trPr>
        <w:tc>
          <w:tcPr>
            <w:tcW w:w="3120" w:type="dxa"/>
            <w:shd w:val="clear" w:color="auto" w:fill="F8FAFC"/>
            <w:tcMar>
              <w:top w:w="140" w:type="dxa"/>
              <w:left w:w="180" w:type="dxa"/>
              <w:bottom w:w="140" w:type="dxa"/>
              <w:right w:w="180" w:type="dxa"/>
            </w:tcMar>
          </w:tcPr>
          <w:p w14:paraId="7869B8D2" w14:textId="77777777" w:rsidR="00E31A68" w:rsidRDefault="00000000">
            <w:pPr>
              <w:rPr>
                <w:rFonts w:hint="eastAsia"/>
              </w:rPr>
            </w:pPr>
            <w:r>
              <w:t>Landing Hub (index.html)</w:t>
            </w:r>
          </w:p>
        </w:tc>
        <w:tc>
          <w:tcPr>
            <w:tcW w:w="3120" w:type="dxa"/>
            <w:shd w:val="clear" w:color="auto" w:fill="F8FAFC"/>
            <w:tcMar>
              <w:top w:w="140" w:type="dxa"/>
              <w:left w:w="180" w:type="dxa"/>
              <w:bottom w:w="140" w:type="dxa"/>
              <w:right w:w="180" w:type="dxa"/>
            </w:tcMar>
          </w:tcPr>
          <w:p w14:paraId="0AE45417" w14:textId="77777777" w:rsidR="00E31A68" w:rsidRDefault="00000000">
            <w:pPr>
              <w:rPr>
                <w:rFonts w:hint="eastAsia"/>
              </w:rPr>
            </w:pPr>
            <w:r>
              <w:t>contact.html</w:t>
            </w:r>
          </w:p>
        </w:tc>
        <w:tc>
          <w:tcPr>
            <w:tcW w:w="3120" w:type="dxa"/>
            <w:shd w:val="clear" w:color="auto" w:fill="F8FAFC"/>
            <w:tcMar>
              <w:top w:w="140" w:type="dxa"/>
              <w:left w:w="180" w:type="dxa"/>
              <w:bottom w:w="140" w:type="dxa"/>
              <w:right w:w="180" w:type="dxa"/>
            </w:tcMar>
          </w:tcPr>
          <w:p w14:paraId="747ABD4F" w14:textId="77777777" w:rsidR="00E31A68" w:rsidRDefault="00000000">
            <w:pPr>
              <w:rPr>
                <w:rFonts w:hint="eastAsia"/>
              </w:rPr>
            </w:pPr>
            <w:r>
              <w:t>Directs high-intent prospects immediately to the corporate intake form.</w:t>
            </w:r>
          </w:p>
        </w:tc>
      </w:tr>
      <w:tr w:rsidR="00E31A68" w14:paraId="59DE2F46" w14:textId="77777777">
        <w:trPr>
          <w:jc w:val="center"/>
        </w:trPr>
        <w:tc>
          <w:tcPr>
            <w:tcW w:w="3120" w:type="dxa"/>
            <w:tcMar>
              <w:top w:w="140" w:type="dxa"/>
              <w:left w:w="180" w:type="dxa"/>
              <w:bottom w:w="140" w:type="dxa"/>
              <w:right w:w="180" w:type="dxa"/>
            </w:tcMar>
          </w:tcPr>
          <w:p w14:paraId="37F4B1D6" w14:textId="77777777" w:rsidR="00E31A68" w:rsidRDefault="00000000">
            <w:pPr>
              <w:rPr>
                <w:rFonts w:hint="eastAsia"/>
              </w:rPr>
            </w:pPr>
            <w:r>
              <w:lastRenderedPageBreak/>
              <w:t>Landing Hub (index.html)</w:t>
            </w:r>
          </w:p>
        </w:tc>
        <w:tc>
          <w:tcPr>
            <w:tcW w:w="3120" w:type="dxa"/>
            <w:tcMar>
              <w:top w:w="140" w:type="dxa"/>
              <w:left w:w="180" w:type="dxa"/>
              <w:bottom w:w="140" w:type="dxa"/>
              <w:right w:w="180" w:type="dxa"/>
            </w:tcMar>
          </w:tcPr>
          <w:p w14:paraId="41572939" w14:textId="77777777" w:rsidR="00E31A68" w:rsidRDefault="00000000">
            <w:pPr>
              <w:rPr>
                <w:rFonts w:hint="eastAsia"/>
              </w:rPr>
            </w:pPr>
            <w:r>
              <w:t>services.html</w:t>
            </w:r>
          </w:p>
        </w:tc>
        <w:tc>
          <w:tcPr>
            <w:tcW w:w="3120" w:type="dxa"/>
            <w:tcMar>
              <w:top w:w="140" w:type="dxa"/>
              <w:left w:w="180" w:type="dxa"/>
              <w:bottom w:w="140" w:type="dxa"/>
              <w:right w:w="180" w:type="dxa"/>
            </w:tcMar>
          </w:tcPr>
          <w:p w14:paraId="47D53850" w14:textId="77777777" w:rsidR="00E31A68" w:rsidRDefault="00000000">
            <w:pPr>
              <w:rPr>
                <w:rFonts w:hint="eastAsia"/>
              </w:rPr>
            </w:pPr>
            <w:r>
              <w:t>Provides rapid educational routing to core capability definitions.</w:t>
            </w:r>
          </w:p>
        </w:tc>
      </w:tr>
      <w:tr w:rsidR="00E31A68" w14:paraId="7D1BBF21" w14:textId="77777777">
        <w:trPr>
          <w:jc w:val="center"/>
        </w:trPr>
        <w:tc>
          <w:tcPr>
            <w:tcW w:w="3120" w:type="dxa"/>
            <w:shd w:val="clear" w:color="auto" w:fill="F8FAFC"/>
            <w:tcMar>
              <w:top w:w="140" w:type="dxa"/>
              <w:left w:w="180" w:type="dxa"/>
              <w:bottom w:w="140" w:type="dxa"/>
              <w:right w:w="180" w:type="dxa"/>
            </w:tcMar>
          </w:tcPr>
          <w:p w14:paraId="3BC884F2" w14:textId="77777777" w:rsidR="00E31A68" w:rsidRDefault="00000000">
            <w:pPr>
              <w:rPr>
                <w:rFonts w:hint="eastAsia"/>
              </w:rPr>
            </w:pPr>
            <w:r>
              <w:t>Solutions Board (solutions.html)</w:t>
            </w:r>
          </w:p>
        </w:tc>
        <w:tc>
          <w:tcPr>
            <w:tcW w:w="3120" w:type="dxa"/>
            <w:shd w:val="clear" w:color="auto" w:fill="F8FAFC"/>
            <w:tcMar>
              <w:top w:w="140" w:type="dxa"/>
              <w:left w:w="180" w:type="dxa"/>
              <w:bottom w:w="140" w:type="dxa"/>
              <w:right w:w="180" w:type="dxa"/>
            </w:tcMar>
          </w:tcPr>
          <w:p w14:paraId="16A0FCB3" w14:textId="77777777" w:rsidR="00E31A68" w:rsidRDefault="00000000">
            <w:pPr>
              <w:rPr>
                <w:rFonts w:hint="eastAsia"/>
              </w:rPr>
            </w:pPr>
            <w:r>
              <w:t>services.html</w:t>
            </w:r>
          </w:p>
        </w:tc>
        <w:tc>
          <w:tcPr>
            <w:tcW w:w="3120" w:type="dxa"/>
            <w:shd w:val="clear" w:color="auto" w:fill="F8FAFC"/>
            <w:tcMar>
              <w:top w:w="140" w:type="dxa"/>
              <w:left w:w="180" w:type="dxa"/>
              <w:bottom w:w="140" w:type="dxa"/>
              <w:right w:w="180" w:type="dxa"/>
            </w:tcMar>
          </w:tcPr>
          <w:p w14:paraId="390B2F20" w14:textId="77777777" w:rsidR="00E31A68" w:rsidRDefault="00000000">
            <w:pPr>
              <w:rPr>
                <w:rFonts w:hint="eastAsia"/>
              </w:rPr>
            </w:pPr>
            <w:r>
              <w:t>Links general strategic plays directly to explicit execution services.</w:t>
            </w:r>
          </w:p>
        </w:tc>
      </w:tr>
      <w:tr w:rsidR="00E31A68" w14:paraId="19BF1296" w14:textId="77777777">
        <w:trPr>
          <w:jc w:val="center"/>
        </w:trPr>
        <w:tc>
          <w:tcPr>
            <w:tcW w:w="3120" w:type="dxa"/>
            <w:tcMar>
              <w:top w:w="140" w:type="dxa"/>
              <w:left w:w="180" w:type="dxa"/>
              <w:bottom w:w="140" w:type="dxa"/>
              <w:right w:w="180" w:type="dxa"/>
            </w:tcMar>
          </w:tcPr>
          <w:p w14:paraId="2C805365" w14:textId="77777777" w:rsidR="00E31A68" w:rsidRDefault="00000000">
            <w:pPr>
              <w:rPr>
                <w:rFonts w:hint="eastAsia"/>
              </w:rPr>
            </w:pPr>
            <w:r>
              <w:t>Blogs Hub (blogs.html)</w:t>
            </w:r>
          </w:p>
        </w:tc>
        <w:tc>
          <w:tcPr>
            <w:tcW w:w="3120" w:type="dxa"/>
            <w:tcMar>
              <w:top w:w="140" w:type="dxa"/>
              <w:left w:w="180" w:type="dxa"/>
              <w:bottom w:w="140" w:type="dxa"/>
              <w:right w:w="180" w:type="dxa"/>
            </w:tcMar>
          </w:tcPr>
          <w:p w14:paraId="520C0DA7" w14:textId="77777777" w:rsidR="00E31A68" w:rsidRDefault="00000000">
            <w:pPr>
              <w:rPr>
                <w:rFonts w:hint="eastAsia"/>
              </w:rPr>
            </w:pPr>
            <w:r>
              <w:t>team.html</w:t>
            </w:r>
          </w:p>
        </w:tc>
        <w:tc>
          <w:tcPr>
            <w:tcW w:w="3120" w:type="dxa"/>
            <w:tcMar>
              <w:top w:w="140" w:type="dxa"/>
              <w:left w:w="180" w:type="dxa"/>
              <w:bottom w:w="140" w:type="dxa"/>
              <w:right w:w="180" w:type="dxa"/>
            </w:tcMar>
          </w:tcPr>
          <w:p w14:paraId="33748FD8" w14:textId="77777777" w:rsidR="00E31A68" w:rsidRDefault="00000000">
            <w:pPr>
              <w:rPr>
                <w:rFonts w:hint="eastAsia"/>
              </w:rPr>
            </w:pPr>
            <w:r>
              <w:t>Validates thought leadership papers by linking back to author consultant bios.</w:t>
            </w:r>
          </w:p>
        </w:tc>
      </w:tr>
      <w:tr w:rsidR="00E31A68" w14:paraId="7DDDD36C" w14:textId="77777777">
        <w:trPr>
          <w:jc w:val="center"/>
        </w:trPr>
        <w:tc>
          <w:tcPr>
            <w:tcW w:w="3120" w:type="dxa"/>
            <w:shd w:val="clear" w:color="auto" w:fill="F8FAFC"/>
            <w:tcMar>
              <w:top w:w="140" w:type="dxa"/>
              <w:left w:w="180" w:type="dxa"/>
              <w:bottom w:w="140" w:type="dxa"/>
              <w:right w:w="180" w:type="dxa"/>
            </w:tcMar>
          </w:tcPr>
          <w:p w14:paraId="5238B20C" w14:textId="77777777" w:rsidR="00E31A68" w:rsidRDefault="00000000">
            <w:pPr>
              <w:rPr>
                <w:rFonts w:hint="eastAsia"/>
              </w:rPr>
            </w:pPr>
            <w:r>
              <w:t>Industries Ledger (industries.html)</w:t>
            </w:r>
          </w:p>
        </w:tc>
        <w:tc>
          <w:tcPr>
            <w:tcW w:w="3120" w:type="dxa"/>
            <w:shd w:val="clear" w:color="auto" w:fill="F8FAFC"/>
            <w:tcMar>
              <w:top w:w="140" w:type="dxa"/>
              <w:left w:w="180" w:type="dxa"/>
              <w:bottom w:w="140" w:type="dxa"/>
              <w:right w:w="180" w:type="dxa"/>
            </w:tcMar>
          </w:tcPr>
          <w:p w14:paraId="641360FB" w14:textId="77777777" w:rsidR="00E31A68" w:rsidRDefault="00000000">
            <w:pPr>
              <w:rPr>
                <w:rFonts w:hint="eastAsia"/>
              </w:rPr>
            </w:pPr>
            <w:r>
              <w:t>contact.html</w:t>
            </w:r>
          </w:p>
        </w:tc>
        <w:tc>
          <w:tcPr>
            <w:tcW w:w="3120" w:type="dxa"/>
            <w:shd w:val="clear" w:color="auto" w:fill="F8FAFC"/>
            <w:tcMar>
              <w:top w:w="140" w:type="dxa"/>
              <w:left w:w="180" w:type="dxa"/>
              <w:bottom w:w="140" w:type="dxa"/>
              <w:right w:w="180" w:type="dxa"/>
            </w:tcMar>
          </w:tcPr>
          <w:p w14:paraId="567C693B" w14:textId="77777777" w:rsidR="00E31A68" w:rsidRDefault="00000000">
            <w:pPr>
              <w:rPr>
                <w:rFonts w:hint="eastAsia"/>
              </w:rPr>
            </w:pPr>
            <w:r>
              <w:t>Converts sector analysis exploration into direct project consultation requests.</w:t>
            </w:r>
          </w:p>
        </w:tc>
      </w:tr>
    </w:tbl>
    <w:p w14:paraId="601FC296" w14:textId="77777777" w:rsidR="002C3BAA" w:rsidRDefault="002C3BAA" w:rsidP="002C3BAA">
      <w:pPr>
        <w:pStyle w:val="Heading2"/>
      </w:pPr>
    </w:p>
    <w:p w14:paraId="4DF9BFFD" w14:textId="6D25D9C1" w:rsidR="00E31A68" w:rsidRDefault="00000000" w:rsidP="002C3BAA">
      <w:pPr>
        <w:pStyle w:val="Heading2"/>
      </w:pPr>
      <w:r>
        <w:t>7. Presentational Engineering, Custom Properties</w:t>
      </w:r>
    </w:p>
    <w:p w14:paraId="01473344" w14:textId="77777777" w:rsidR="00E31A68" w:rsidRDefault="00000000">
      <w:pPr>
        <w:rPr>
          <w:rFonts w:hint="eastAsia"/>
        </w:rPr>
      </w:pPr>
      <w:r>
        <w:t>The presentation engine for Stackly Business Solutions decouples aesthetic styling from document content. Centralizing visual rules within custom variables inside the root element allows developers to update colors or text scales site-wide from a single style sheet.</w:t>
      </w:r>
    </w:p>
    <w:p w14:paraId="23866FD4" w14:textId="3F9624EF" w:rsidR="00E31A68" w:rsidRDefault="00000000">
      <w:pPr>
        <w:pStyle w:val="Heading2"/>
        <w:spacing w:before="240" w:after="120"/>
      </w:pPr>
      <w:r>
        <w:t>7.1 Production Style Architecture Specs</w:t>
      </w:r>
    </w:p>
    <w:p w14:paraId="777CCD5D" w14:textId="77777777" w:rsidR="00E31A68" w:rsidRDefault="00000000">
      <w:pPr>
        <w:rPr>
          <w:rFonts w:hint="eastAsia"/>
        </w:rPr>
      </w:pPr>
      <w:r>
        <w:t>The application relies on a strict set of design tokens to maintain a uniform brand presence across all pages:</w:t>
      </w:r>
    </w:p>
    <w:p w14:paraId="09DF5AB8" w14:textId="77777777" w:rsidR="00E31A68" w:rsidRDefault="00000000">
      <w:pPr>
        <w:pStyle w:val="ListBullet"/>
        <w:rPr>
          <w:rFonts w:hint="eastAsia"/>
        </w:rPr>
      </w:pPr>
      <w:r>
        <w:t xml:space="preserve">Corporate Color Palette: The primary color selector maps to a professional Sky Blue (#0284c7), reflecting clarity and consulting performance. The secondary color uses a deep </w:t>
      </w:r>
      <w:r>
        <w:lastRenderedPageBreak/>
        <w:t>slate charcoal (#0f172a) for structural headings, and body text styles apply neutral slate tones (#334155) to guarantee comfortable readability scores.</w:t>
      </w:r>
    </w:p>
    <w:p w14:paraId="58A7EC54" w14:textId="77777777" w:rsidR="00E31A68" w:rsidRDefault="00000000">
      <w:pPr>
        <w:pStyle w:val="ListBullet"/>
        <w:rPr>
          <w:rFonts w:hint="eastAsia"/>
        </w:rPr>
      </w:pPr>
      <w:r>
        <w:t>System Feedback Indicators: Layout alert rules use specific error tints—such as a deep warning red (#ef4444)—to flag invalid form entries or system exceptions clearly.</w:t>
      </w:r>
    </w:p>
    <w:p w14:paraId="3D224827" w14:textId="77777777" w:rsidR="00E31A68" w:rsidRDefault="00000000">
      <w:pPr>
        <w:pStyle w:val="ListBullet"/>
        <w:rPr>
          <w:rFonts w:hint="eastAsia"/>
        </w:rPr>
      </w:pPr>
      <w:r>
        <w:t>Fluid Typography Vector Systems: Built around a clean, professional font family ('Segoe UI', system-ui). Font sizes scale dynamically using fluid calculation values (headers resize smoothly between 2rem and 3.5rem based on screen widths), preventing text layout collisions.</w:t>
      </w:r>
    </w:p>
    <w:p w14:paraId="6736E0C0" w14:textId="77777777" w:rsidR="00E31A68" w:rsidRDefault="00000000">
      <w:pPr>
        <w:pStyle w:val="ListBullet"/>
        <w:rPr>
          <w:rFonts w:hint="eastAsia"/>
        </w:rPr>
      </w:pPr>
      <w:r>
        <w:t>Structured Sizing Proportions: Element spacings apply relative rem increments (small limits at 0.5rem, intermediate layouts at 1rem, and wide blocks at 2rem) to maintain balanced white space across content sections.</w:t>
      </w:r>
    </w:p>
    <w:p w14:paraId="3F5904C2" w14:textId="77777777" w:rsidR="00E31A68" w:rsidRDefault="00000000">
      <w:pPr>
        <w:pStyle w:val="ListBullet"/>
        <w:rPr>
          <w:rFonts w:hint="eastAsia"/>
        </w:rPr>
      </w:pPr>
      <w:r>
        <w:t>Component Elevation &amp; Transitions: Visual hover events use a precise 0.25-second cubic-bezier motion curve to provide natural interactive feedback. Information panels use a standard 8px corner radius for a refined presentation layout.</w:t>
      </w:r>
    </w:p>
    <w:p w14:paraId="250B3FE4" w14:textId="63982A9C" w:rsidR="00E31A68" w:rsidRDefault="00000000" w:rsidP="002C3BAA">
      <w:pPr>
        <w:pStyle w:val="Heading2"/>
      </w:pPr>
      <w:r>
        <w:t>8. Responsive Layout Mechanics, Flex Grids, &amp; Viewport Adaptability</w:t>
      </w:r>
    </w:p>
    <w:p w14:paraId="3B9ECF8A" w14:textId="77777777" w:rsidR="00E31A68" w:rsidRDefault="00000000">
      <w:pPr>
        <w:rPr>
          <w:rFonts w:hint="eastAsia"/>
        </w:rPr>
      </w:pPr>
      <w:r>
        <w:t>To ensure that consulting playbooks and data grids display clearly whether viewed on an office ultra-wide display or a mobile device, the presentational framework uses fluid responsive mechanics.</w:t>
      </w:r>
    </w:p>
    <w:p w14:paraId="568CC66F" w14:textId="77777777" w:rsidR="00E31A68" w:rsidRDefault="00000000">
      <w:pPr>
        <w:pStyle w:val="Heading2"/>
        <w:spacing w:before="240" w:after="120"/>
      </w:pPr>
      <w:r>
        <w:t>8.1 Layout Normalization &amp; Universal Reset Patterns</w:t>
      </w:r>
    </w:p>
    <w:p w14:paraId="71A58057" w14:textId="77777777" w:rsidR="00E31A68" w:rsidRDefault="00000000">
      <w:pPr>
        <w:rPr>
          <w:rFonts w:hint="eastAsia"/>
        </w:rPr>
      </w:pPr>
      <w:r>
        <w:t>Every stylesheet layout starts with a strict box-sizing reset rule. This configures elements to calculate borders and internal paddings within their overall defined widths, preventing rendering differences across different browser layout engines.</w:t>
      </w:r>
    </w:p>
    <w:p w14:paraId="753978A5" w14:textId="77777777" w:rsidR="00E31A68" w:rsidRDefault="00000000">
      <w:pPr>
        <w:pStyle w:val="Heading2"/>
        <w:spacing w:before="240" w:after="120"/>
      </w:pPr>
      <w:r>
        <w:t>8.2 Fluid Grid Systems &amp; Fluid Component Cards</w:t>
      </w:r>
    </w:p>
    <w:p w14:paraId="38D659A3" w14:textId="77777777" w:rsidR="00E31A68" w:rsidRDefault="00000000">
      <w:pPr>
        <w:rPr>
          <w:rFonts w:hint="eastAsia"/>
        </w:rPr>
      </w:pPr>
      <w:r>
        <w:t>The solutions dashboards, team directories, and industry panels are arranged inside flexible grid containers. By defining grid profiles with an auto-fit template using minmax restrictions (setting a 280px minimum boundary and a 1-fraction maximum expand limit), cards rearrange automatically as browser widths change. This responsive system ensures smooth presentation layouts without relying on excessive device breakpoints.</w:t>
      </w:r>
    </w:p>
    <w:p w14:paraId="12399A42" w14:textId="77777777" w:rsidR="00E31A68" w:rsidRDefault="00000000">
      <w:pPr>
        <w:pStyle w:val="Heading2"/>
        <w:spacing w:before="240" w:after="120"/>
      </w:pPr>
      <w:r>
        <w:lastRenderedPageBreak/>
        <w:t>8.3 Viewport Media Query Breakpoint Strategies</w:t>
      </w:r>
    </w:p>
    <w:p w14:paraId="46DF99DD" w14:textId="77777777" w:rsidR="00E31A68" w:rsidRDefault="00000000">
      <w:pPr>
        <w:rPr>
          <w:rFonts w:hint="eastAsia"/>
        </w:rPr>
      </w:pPr>
      <w:r>
        <w:t>When viewport boundaries drop past a standard 768px small-screen limit, the system triggers targeted style overrides. The horizontal navigation list converts into a vertical side menu, hidden off-screen to preserve limited real estate. Its visibility states are managed dynamically by client script files, ensuring smooth interactions on mobile layouts.</w:t>
      </w:r>
    </w:p>
    <w:p w14:paraId="2B9AB302" w14:textId="0565FFE7" w:rsidR="00E31A68" w:rsidRDefault="00000000" w:rsidP="002C3BAA">
      <w:pPr>
        <w:pStyle w:val="Heading2"/>
      </w:pPr>
      <w:r>
        <w:t>9. Behavioral Logic Engineering, Interaction Scopes, &amp; Intake Security</w:t>
      </w:r>
    </w:p>
    <w:p w14:paraId="68D22745" w14:textId="77777777" w:rsidR="00E31A68" w:rsidRDefault="00000000">
      <w:pPr>
        <w:rPr>
          <w:rFonts w:hint="eastAsia"/>
        </w:rPr>
      </w:pPr>
      <w:r>
        <w:t>The dynamic layer of Stackly Business Solutions runs on clean, native JavaScript logic. This zero-dependency setup improves security by eliminating external libraries, and ensures rapid script processing on both desktop and mobile devices.</w:t>
      </w:r>
    </w:p>
    <w:p w14:paraId="61397036" w14:textId="77777777" w:rsidR="00E31A68" w:rsidRDefault="00000000">
      <w:pPr>
        <w:pStyle w:val="Heading2"/>
        <w:spacing w:before="240" w:after="120"/>
      </w:pPr>
      <w:r>
        <w:t>9.1 Functional Scoping &amp; Safe Execution Frameworks</w:t>
      </w:r>
    </w:p>
    <w:p w14:paraId="7392A1E7" w14:textId="77777777" w:rsidR="00E31A68" w:rsidRDefault="00000000">
      <w:pPr>
        <w:rPr>
          <w:rFonts w:hint="eastAsia"/>
        </w:rPr>
      </w:pPr>
      <w:r>
        <w:t>Every interactive script is isolated inside a closed function scope and executes under strict evaluation settings ('use strict'). This engineering standard prevents global variable conflicts, manages memory allocations safely, and blocks unintended script variations inside client environments.</w:t>
      </w:r>
    </w:p>
    <w:p w14:paraId="5B5A1666" w14:textId="77777777" w:rsidR="00E31A68" w:rsidRDefault="00000000">
      <w:pPr>
        <w:pStyle w:val="Heading2"/>
        <w:spacing w:before="240" w:after="120"/>
      </w:pPr>
      <w:r>
        <w:t>9.2 Responsive Menu Interaction Handlers</w:t>
      </w:r>
    </w:p>
    <w:p w14:paraId="2A1A2E15" w14:textId="77777777" w:rsidR="00E31A68" w:rsidRDefault="00000000">
      <w:pPr>
        <w:rPr>
          <w:rFonts w:hint="eastAsia"/>
        </w:rPr>
      </w:pPr>
      <w:r>
        <w:t>The navigation logic tracks tap events on the mobile menu buttons. When clicked, the script updates the element's accessibility status and alters helper visibility classes to show or hide the navigation menu, keeping the interface fully scannable for screen readers.</w:t>
      </w:r>
    </w:p>
    <w:p w14:paraId="4966AC1A" w14:textId="77777777" w:rsidR="00E31A68" w:rsidRDefault="00000000">
      <w:pPr>
        <w:pStyle w:val="Heading2"/>
        <w:spacing w:before="240" w:after="120"/>
      </w:pPr>
      <w:r>
        <w:t>9.3 Passive Event Scroll Processing</w:t>
      </w:r>
    </w:p>
    <w:p w14:paraId="02E53E6F" w14:textId="77777777" w:rsidR="00E31A68" w:rsidRDefault="00000000">
      <w:pPr>
        <w:rPr>
          <w:rFonts w:hint="eastAsia"/>
        </w:rPr>
      </w:pPr>
      <w:r>
        <w:t>To create clean visual design hierarchy during page navigation, the core script monitors window movement events. By using passive configurations, the logic updates the top navigation bar's appearance as users scroll past a 60px line without slowing down text rendering or causing layout lag.</w:t>
      </w:r>
    </w:p>
    <w:p w14:paraId="2F98EBC3" w14:textId="77777777" w:rsidR="00E31A68" w:rsidRDefault="00000000">
      <w:pPr>
        <w:pStyle w:val="Heading2"/>
        <w:spacing w:before="240" w:after="120"/>
      </w:pPr>
      <w:r>
        <w:t>9.4 Client Intake Security &amp; String Sanitization</w:t>
      </w:r>
    </w:p>
    <w:p w14:paraId="18995D9A" w14:textId="77777777" w:rsidR="00E31A68" w:rsidRDefault="00000000">
      <w:pPr>
        <w:rPr>
          <w:rFonts w:hint="eastAsia"/>
        </w:rPr>
      </w:pPr>
      <w:r>
        <w:t xml:space="preserve">The business inquiry forms filter entries using regular expressions to block formatting errors or dangerous character strings. Field validations confirm corporate email standards and strip out </w:t>
      </w:r>
      <w:r>
        <w:lastRenderedPageBreak/>
        <w:t>elements linked to cross-site scripting (XSS) vectors, protecting system logs before lead data is finalized.</w:t>
      </w:r>
    </w:p>
    <w:p w14:paraId="37C9E217" w14:textId="40B12A35" w:rsidR="00E31A68" w:rsidRDefault="00000000" w:rsidP="002C3BAA">
      <w:pPr>
        <w:pStyle w:val="Heading2"/>
      </w:pPr>
      <w:r>
        <w:t>10. Integrated Development Tooling Stack, Quality Auditing, &amp; Conclusion</w:t>
      </w:r>
    </w:p>
    <w:p w14:paraId="56F36A17" w14:textId="77777777" w:rsidR="00E31A68" w:rsidRDefault="00000000">
      <w:pPr>
        <w:rPr>
          <w:rFonts w:hint="eastAsia"/>
        </w:rPr>
      </w:pPr>
      <w:r>
        <w:t>To maintain high performance and code consistency across development iterations, Stackly Business Solutions utilizes an established development tooling structure paired with automated deployment systems.</w:t>
      </w:r>
    </w:p>
    <w:p w14:paraId="5339D71C" w14:textId="77777777" w:rsidR="00E31A68" w:rsidRDefault="00000000">
      <w:pPr>
        <w:rPr>
          <w:rFonts w:hint="eastAsia"/>
        </w:rPr>
      </w:pPr>
      <w:r>
        <w:t>The engineering workspace uses specialized utilities to align formatting patterns and ensure quick local testing cycles: Visual Studio Code serves as the primary code builder with matching workspace files, and developers use the Live Server utility to run localized preview nodes with automated browser refresh logic.</w:t>
      </w:r>
    </w:p>
    <w:p w14:paraId="73149AB4" w14:textId="5FDF033A" w:rsidR="00E31A68" w:rsidRDefault="00000000">
      <w:pPr>
        <w:pStyle w:val="Heading2"/>
        <w:spacing w:before="240" w:after="120"/>
      </w:pPr>
      <w:r>
        <w:t>10.</w:t>
      </w:r>
      <w:r w:rsidR="002C3BAA">
        <w:t>1</w:t>
      </w:r>
      <w:r>
        <w:t xml:space="preserve"> Quality Auditing &amp; Performance Check Intervals</w:t>
      </w:r>
    </w:p>
    <w:p w14:paraId="787FE080" w14:textId="77777777" w:rsidR="00E31A68" w:rsidRDefault="00000000">
      <w:pPr>
        <w:rPr>
          <w:rFonts w:hint="eastAsia"/>
        </w:rPr>
      </w:pPr>
      <w:r>
        <w:t>Technical administrators run automated diagnostic evaluations on a set schedule to verify site health over time: Bi-Annual Performance Checks use comprehensive Google Lighthouse sweeps to verify page speeds score above 90. Quarterly Link Audits check navigation networks to repair broken links or outdated targets immediately.</w:t>
      </w:r>
    </w:p>
    <w:p w14:paraId="5CD48B1B" w14:textId="5169C44B" w:rsidR="00E31A68" w:rsidRDefault="00000000">
      <w:pPr>
        <w:pStyle w:val="Heading2"/>
        <w:spacing w:before="240" w:after="120"/>
      </w:pPr>
      <w:r>
        <w:t>10.</w:t>
      </w:r>
      <w:r w:rsidR="002C3BAA">
        <w:t>2</w:t>
      </w:r>
      <w:r>
        <w:t xml:space="preserve"> System Conclusion &amp; Operational Summary</w:t>
      </w:r>
    </w:p>
    <w:p w14:paraId="60E96758" w14:textId="77777777" w:rsidR="00E31A68" w:rsidRDefault="00000000">
      <w:pPr>
        <w:rPr>
          <w:rFonts w:hint="eastAsia"/>
        </w:rPr>
      </w:pPr>
      <w:r>
        <w:t>The architectural design of the Stackly Business Solutions web platform provides a secure, performant, and reliable web workspace. By using native front-end web standards—built on semantic HTML5 markup, responsive CSS3 variables, and clean vanilla JavaScript ES6+ logic—the system completely removes backend calculation overhead, lowers the infrastructure vulnerability surface, and avoids complex external dependency management cycles.</w:t>
      </w:r>
    </w:p>
    <w:p w14:paraId="752E8151" w14:textId="77777777" w:rsidR="00E31A68" w:rsidRDefault="00000000">
      <w:pPr>
        <w:rPr>
          <w:rFonts w:hint="eastAsia"/>
        </w:rPr>
      </w:pPr>
      <w:r>
        <w:t>This optimization approach ensures that the consulting framework maintains excellent Google Lighthouse performance boundaries, optimizes Core Web Vitals, and delivers a smooth, responsive experience for corporate clients accessing metrics dashboards under low-bandwidth network constraints. Consistent adherence to the git branching strategies, edge content delivery networks, and recurring site maintenance audits outlined within this document will ensure long-term codebase stability and sustain Stackly Business Solutions' high digital delivery standards.</w:t>
      </w:r>
    </w:p>
    <w:sectPr w:rsidR="00E31A68"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321216">
    <w:abstractNumId w:val="8"/>
  </w:num>
  <w:num w:numId="2" w16cid:durableId="2091386887">
    <w:abstractNumId w:val="6"/>
  </w:num>
  <w:num w:numId="3" w16cid:durableId="1933272324">
    <w:abstractNumId w:val="5"/>
  </w:num>
  <w:num w:numId="4" w16cid:durableId="865169268">
    <w:abstractNumId w:val="4"/>
  </w:num>
  <w:num w:numId="5" w16cid:durableId="982778518">
    <w:abstractNumId w:val="7"/>
  </w:num>
  <w:num w:numId="6" w16cid:durableId="2122650532">
    <w:abstractNumId w:val="3"/>
  </w:num>
  <w:num w:numId="7" w16cid:durableId="198782803">
    <w:abstractNumId w:val="2"/>
  </w:num>
  <w:num w:numId="8" w16cid:durableId="1573000893">
    <w:abstractNumId w:val="1"/>
  </w:num>
  <w:num w:numId="9" w16cid:durableId="875655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BAA"/>
    <w:rsid w:val="00326F90"/>
    <w:rsid w:val="0036144B"/>
    <w:rsid w:val="00AA1D8D"/>
    <w:rsid w:val="00B47730"/>
    <w:rsid w:val="00CB0664"/>
    <w:rsid w:val="00E23613"/>
    <w:rsid w:val="00E31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D3DD35"/>
  <w14:defaultImageDpi w14:val="300"/>
  <w15:docId w15:val="{A2BBFFB5-8E20-46F0-BD51-60B6803B8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24" w:lineRule="auto"/>
    </w:pPr>
    <w:rPr>
      <w:rFonts w:ascii="Segoe UI" w:hAnsi="Segoe U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2902</Words>
  <Characters>16544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Raj M</cp:lastModifiedBy>
  <cp:revision>2</cp:revision>
  <dcterms:created xsi:type="dcterms:W3CDTF">2013-12-23T23:15:00Z</dcterms:created>
  <dcterms:modified xsi:type="dcterms:W3CDTF">2026-07-06T13:07:00Z</dcterms:modified>
  <cp:category/>
</cp:coreProperties>
</file>