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1CD0F" w14:textId="77777777" w:rsidR="00116AF6" w:rsidRDefault="00116AF6">
      <w:pPr>
        <w:rPr>
          <w:sz w:val="56"/>
          <w:szCs w:val="56"/>
        </w:rPr>
      </w:pPr>
      <w:r>
        <w:rPr>
          <w:sz w:val="56"/>
          <w:szCs w:val="56"/>
        </w:rPr>
        <w:t xml:space="preserve">         </w:t>
      </w:r>
    </w:p>
    <w:p w14:paraId="05BAC250" w14:textId="0BC27E47" w:rsidR="00DB0D69" w:rsidRPr="00116AF6" w:rsidRDefault="00116AF6">
      <w:pPr>
        <w:rPr>
          <w:sz w:val="56"/>
          <w:szCs w:val="56"/>
        </w:rPr>
      </w:pPr>
      <w:r>
        <w:rPr>
          <w:sz w:val="56"/>
          <w:szCs w:val="56"/>
        </w:rPr>
        <w:t xml:space="preserve">          </w:t>
      </w:r>
      <w:r w:rsidR="007C7D84" w:rsidRPr="00116AF6">
        <w:rPr>
          <w:sz w:val="44"/>
          <w:szCs w:val="44"/>
        </w:rPr>
        <w:t>TECHNICAL DOCUMENTATION</w:t>
      </w:r>
    </w:p>
    <w:p w14:paraId="7E2D6437" w14:textId="72C85DC7" w:rsidR="007C7D84" w:rsidRPr="00116AF6" w:rsidRDefault="00116AF6">
      <w:pPr>
        <w:rPr>
          <w:rFonts w:hint="eastAsia"/>
          <w:b/>
          <w:bCs/>
          <w:sz w:val="56"/>
          <w:szCs w:val="56"/>
        </w:rPr>
      </w:pPr>
      <w:r w:rsidRPr="00116AF6">
        <w:rPr>
          <w:b/>
          <w:bCs/>
          <w:sz w:val="56"/>
          <w:szCs w:val="56"/>
        </w:rPr>
        <w:t xml:space="preserve">    </w:t>
      </w:r>
      <w:r w:rsidR="007C7D84" w:rsidRPr="00116AF6">
        <w:rPr>
          <w:b/>
          <w:bCs/>
          <w:sz w:val="56"/>
          <w:szCs w:val="56"/>
        </w:rPr>
        <w:t>STACKLY SWIMMING SCHOOL</w:t>
      </w:r>
    </w:p>
    <w:p w14:paraId="3643FDA0" w14:textId="77777777" w:rsidR="00116AF6" w:rsidRDefault="00116AF6" w:rsidP="00116AF6">
      <w:pPr>
        <w:rPr>
          <w:sz w:val="36"/>
          <w:szCs w:val="36"/>
        </w:rPr>
      </w:pPr>
    </w:p>
    <w:p w14:paraId="79CC90DC" w14:textId="4F882D70" w:rsidR="00116AF6" w:rsidRPr="00116AF6" w:rsidRDefault="00000000" w:rsidP="00116AF6">
      <w:pPr>
        <w:rPr>
          <w:color w:val="548DD4" w:themeColor="text2" w:themeTint="99"/>
          <w:sz w:val="36"/>
          <w:szCs w:val="36"/>
        </w:rPr>
      </w:pPr>
      <w:proofErr w:type="spellStart"/>
      <w:r w:rsidRPr="00116AF6">
        <w:rPr>
          <w:color w:val="548DD4" w:themeColor="text2" w:themeTint="99"/>
          <w:sz w:val="36"/>
          <w:szCs w:val="36"/>
        </w:rPr>
        <w:t>Stackly</w:t>
      </w:r>
      <w:proofErr w:type="spellEnd"/>
      <w:r w:rsidRPr="00116AF6">
        <w:rPr>
          <w:color w:val="548DD4" w:themeColor="text2" w:themeTint="99"/>
          <w:sz w:val="36"/>
          <w:szCs w:val="36"/>
        </w:rPr>
        <w:t xml:space="preserve"> Swimming School Production Platform</w:t>
      </w:r>
      <w:r w:rsidRPr="00116AF6">
        <w:rPr>
          <w:color w:val="548DD4" w:themeColor="text2" w:themeTint="99"/>
          <w:sz w:val="36"/>
          <w:szCs w:val="36"/>
        </w:rPr>
        <w:br/>
        <w:t>Exhaustive Technical Curriculums, Institutional Milestones, UX Layout Frameworks</w:t>
      </w:r>
      <w:r w:rsidR="007C7D84" w:rsidRPr="00116AF6">
        <w:rPr>
          <w:color w:val="548DD4" w:themeColor="text2" w:themeTint="99"/>
          <w:sz w:val="36"/>
          <w:szCs w:val="36"/>
        </w:rPr>
        <w:t>.</w:t>
      </w:r>
    </w:p>
    <w:p w14:paraId="18E55696" w14:textId="77777777" w:rsidR="00116AF6" w:rsidRDefault="00116AF6" w:rsidP="00116AF6">
      <w:pPr>
        <w:rPr>
          <w:sz w:val="40"/>
          <w:szCs w:val="40"/>
        </w:rPr>
      </w:pPr>
    </w:p>
    <w:p w14:paraId="3AD065BE" w14:textId="77777777" w:rsidR="00116AF6" w:rsidRDefault="00116AF6" w:rsidP="00116AF6">
      <w:pPr>
        <w:rPr>
          <w:sz w:val="40"/>
          <w:szCs w:val="40"/>
        </w:rPr>
      </w:pPr>
    </w:p>
    <w:p w14:paraId="54E0176F" w14:textId="77777777" w:rsidR="00116AF6" w:rsidRDefault="00000000" w:rsidP="00116AF6">
      <w:pPr>
        <w:rPr>
          <w:sz w:val="40"/>
          <w:szCs w:val="40"/>
        </w:rPr>
      </w:pPr>
      <w:r w:rsidRPr="00116AF6">
        <w:rPr>
          <w:sz w:val="40"/>
          <w:szCs w:val="40"/>
        </w:rPr>
        <w:t>Platform Architecture Specification Document</w:t>
      </w:r>
      <w:r w:rsidRPr="00116AF6">
        <w:rPr>
          <w:sz w:val="40"/>
          <w:szCs w:val="40"/>
        </w:rPr>
        <w:br/>
        <w:t>Target Stack: Pure Semantic HTML5, CSS3, and J</w:t>
      </w:r>
      <w:r w:rsidR="007C7D84" w:rsidRPr="00116AF6">
        <w:rPr>
          <w:sz w:val="40"/>
          <w:szCs w:val="40"/>
        </w:rPr>
        <w:t>ava</w:t>
      </w:r>
      <w:r w:rsidRPr="00116AF6">
        <w:rPr>
          <w:sz w:val="40"/>
          <w:szCs w:val="40"/>
        </w:rPr>
        <w:t>S</w:t>
      </w:r>
      <w:r w:rsidR="007C7D84" w:rsidRPr="00116AF6">
        <w:rPr>
          <w:sz w:val="40"/>
          <w:szCs w:val="40"/>
        </w:rPr>
        <w:t>cript</w:t>
      </w:r>
      <w:r w:rsidRPr="00116AF6">
        <w:rPr>
          <w:sz w:val="40"/>
          <w:szCs w:val="40"/>
        </w:rPr>
        <w:t xml:space="preserve"> </w:t>
      </w:r>
      <w:r w:rsidRPr="00116AF6">
        <w:rPr>
          <w:sz w:val="40"/>
          <w:szCs w:val="40"/>
        </w:rPr>
        <w:br/>
        <w:t xml:space="preserve">Prepared by: </w:t>
      </w:r>
      <w:r w:rsidR="007C7D84" w:rsidRPr="00116AF6">
        <w:rPr>
          <w:sz w:val="40"/>
          <w:szCs w:val="40"/>
        </w:rPr>
        <w:t>Nithish Raj M</w:t>
      </w:r>
    </w:p>
    <w:p w14:paraId="3D7751E6" w14:textId="086990AE" w:rsidR="00DB0D69" w:rsidRPr="00116AF6" w:rsidRDefault="00000000" w:rsidP="00116AF6">
      <w:pPr>
        <w:rPr>
          <w:rFonts w:hint="eastAsia"/>
          <w:sz w:val="40"/>
          <w:szCs w:val="40"/>
        </w:rPr>
      </w:pPr>
      <w:r w:rsidRPr="00116AF6">
        <w:rPr>
          <w:sz w:val="40"/>
          <w:szCs w:val="40"/>
        </w:rPr>
        <w:t>Date: July 2026</w:t>
      </w:r>
      <w:r w:rsidRPr="00116AF6">
        <w:rPr>
          <w:sz w:val="40"/>
          <w:szCs w:val="40"/>
        </w:rPr>
        <w:br/>
      </w:r>
    </w:p>
    <w:p w14:paraId="4883693C" w14:textId="16966FF9" w:rsidR="00DB0D69" w:rsidRPr="00116AF6" w:rsidRDefault="00000000" w:rsidP="00116AF6">
      <w:pPr>
        <w:pStyle w:val="Heading1"/>
      </w:pPr>
      <w:r w:rsidRPr="00116AF6">
        <w:lastRenderedPageBreak/>
        <w:t>Document Control &amp; Project Manifest</w:t>
      </w:r>
    </w:p>
    <w:p w14:paraId="746909BF" w14:textId="77777777" w:rsidR="00DB0D69" w:rsidRPr="006E1A5C" w:rsidRDefault="00000000">
      <w:pPr>
        <w:rPr>
          <w:rFonts w:hint="eastAsia"/>
          <w:sz w:val="24"/>
          <w:szCs w:val="24"/>
        </w:rPr>
      </w:pPr>
      <w:r w:rsidRPr="006E1A5C">
        <w:rPr>
          <w:sz w:val="24"/>
          <w:szCs w:val="24"/>
        </w:rPr>
        <w:t>This technical architecture documentation serves as an exhaustive, code-free analytical specification for the structural organization, layout profiles, user experience hierarchies, developer workspace configurations, and edge deployment platforms of the Stackly Swimming School digital web platform. Designed to present athletic training courses, expert safety coaching, facility operational parameters, historical achievements, and user admission channels, this application operates entirely on native browser execution standards.</w:t>
      </w:r>
    </w:p>
    <w:p w14:paraId="7CA7D440" w14:textId="77777777" w:rsidR="00DB0D69" w:rsidRPr="006E1A5C" w:rsidRDefault="00000000">
      <w:pPr>
        <w:rPr>
          <w:rFonts w:hint="eastAsia"/>
          <w:sz w:val="24"/>
          <w:szCs w:val="24"/>
        </w:rPr>
      </w:pPr>
      <w:r w:rsidRPr="006E1A5C">
        <w:rPr>
          <w:sz w:val="24"/>
          <w:szCs w:val="24"/>
        </w:rPr>
        <w:t>By completely omitting active programming scripts, live code blocks, and syntax configurations from the written content of this manual, it provides detailed narrative analysis, data grid matrices, and logical workflows. This setup ensures clear, seamless comprehension across athletic training directors, institutional shareholders, facility safety managers, frontend developers, and hosting groups.</w:t>
      </w:r>
    </w:p>
    <w:p w14:paraId="4D86A2CB" w14:textId="77777777" w:rsidR="00DB0D69" w:rsidRPr="006E1A5C" w:rsidRDefault="00000000" w:rsidP="006E1A5C">
      <w:pPr>
        <w:pStyle w:val="Heading2"/>
      </w:pPr>
      <w:r w:rsidRPr="006E1A5C">
        <w:t>Document Topology Matrix</w:t>
      </w:r>
    </w:p>
    <w:p w14:paraId="41203637" w14:textId="29DC5598" w:rsidR="00DB0D69" w:rsidRPr="006E1A5C" w:rsidRDefault="00000000">
      <w:pPr>
        <w:spacing w:after="120"/>
        <w:ind w:left="360"/>
        <w:rPr>
          <w:rFonts w:hint="eastAsia"/>
          <w:sz w:val="24"/>
          <w:szCs w:val="24"/>
        </w:rPr>
      </w:pPr>
      <w:r w:rsidRPr="006E1A5C">
        <w:rPr>
          <w:sz w:val="24"/>
          <w:szCs w:val="24"/>
        </w:rPr>
        <w:t>Chapter 1: Architectural Foundation &amp; Client-Side Execution Paradigm</w:t>
      </w:r>
      <w:r w:rsidR="007C7D84" w:rsidRPr="006E1A5C">
        <w:rPr>
          <w:sz w:val="24"/>
          <w:szCs w:val="24"/>
        </w:rPr>
        <w:t>.</w:t>
      </w:r>
    </w:p>
    <w:p w14:paraId="0BCCA81C" w14:textId="68D28DB4" w:rsidR="00DB0D69" w:rsidRPr="006E1A5C" w:rsidRDefault="00000000">
      <w:pPr>
        <w:spacing w:after="120"/>
        <w:ind w:left="360"/>
        <w:rPr>
          <w:rFonts w:hint="eastAsia"/>
          <w:sz w:val="24"/>
          <w:szCs w:val="24"/>
        </w:rPr>
      </w:pPr>
      <w:r w:rsidRPr="006E1A5C">
        <w:rPr>
          <w:sz w:val="24"/>
          <w:szCs w:val="24"/>
        </w:rPr>
        <w:t>Chapter 2: Production Repository Layout &amp; Manifest Matrix</w:t>
      </w:r>
      <w:r w:rsidR="007C7D84" w:rsidRPr="006E1A5C">
        <w:rPr>
          <w:sz w:val="24"/>
          <w:szCs w:val="24"/>
        </w:rPr>
        <w:t>.</w:t>
      </w:r>
    </w:p>
    <w:p w14:paraId="455A02A1" w14:textId="62D4C7B8" w:rsidR="00DB0D69" w:rsidRPr="006E1A5C" w:rsidRDefault="00000000">
      <w:pPr>
        <w:spacing w:after="120"/>
        <w:ind w:left="360"/>
        <w:rPr>
          <w:rFonts w:hint="eastAsia"/>
          <w:sz w:val="24"/>
          <w:szCs w:val="24"/>
        </w:rPr>
      </w:pPr>
      <w:r w:rsidRPr="006E1A5C">
        <w:rPr>
          <w:sz w:val="24"/>
          <w:szCs w:val="24"/>
        </w:rPr>
        <w:t>Chapter 3: Page-by-Page Deep Content Architecture - Homepage &amp; About Us</w:t>
      </w:r>
      <w:r w:rsidR="007C7D84" w:rsidRPr="006E1A5C">
        <w:rPr>
          <w:sz w:val="24"/>
          <w:szCs w:val="24"/>
        </w:rPr>
        <w:t>.</w:t>
      </w:r>
    </w:p>
    <w:p w14:paraId="2923A6C4" w14:textId="3E1E93E8" w:rsidR="00DB0D69" w:rsidRPr="006E1A5C" w:rsidRDefault="00000000">
      <w:pPr>
        <w:spacing w:after="120"/>
        <w:ind w:left="360"/>
        <w:rPr>
          <w:rFonts w:hint="eastAsia"/>
          <w:sz w:val="24"/>
          <w:szCs w:val="24"/>
        </w:rPr>
      </w:pPr>
      <w:r w:rsidRPr="006E1A5C">
        <w:rPr>
          <w:sz w:val="24"/>
          <w:szCs w:val="24"/>
        </w:rPr>
        <w:t>Chapter 4: Page-by-Page Deep Content Architecture - Training Programs &amp; Achievements</w:t>
      </w:r>
      <w:r w:rsidR="007C7D84" w:rsidRPr="006E1A5C">
        <w:rPr>
          <w:sz w:val="24"/>
          <w:szCs w:val="24"/>
        </w:rPr>
        <w:t>.</w:t>
      </w:r>
    </w:p>
    <w:p w14:paraId="57C18398" w14:textId="288A7E6C" w:rsidR="00DB0D69" w:rsidRPr="006E1A5C" w:rsidRDefault="00000000">
      <w:pPr>
        <w:spacing w:after="120"/>
        <w:ind w:left="360"/>
        <w:rPr>
          <w:rFonts w:hint="eastAsia"/>
          <w:sz w:val="24"/>
          <w:szCs w:val="24"/>
        </w:rPr>
      </w:pPr>
      <w:r w:rsidRPr="006E1A5C">
        <w:rPr>
          <w:sz w:val="24"/>
          <w:szCs w:val="24"/>
        </w:rPr>
        <w:t>Chapter 5: Page-by-Page Deep Content Architecture - Course Admission &amp; Contact Interfaces</w:t>
      </w:r>
      <w:r w:rsidR="007C7D84" w:rsidRPr="006E1A5C">
        <w:rPr>
          <w:sz w:val="24"/>
          <w:szCs w:val="24"/>
        </w:rPr>
        <w:t>.</w:t>
      </w:r>
    </w:p>
    <w:p w14:paraId="35E2489E" w14:textId="2FE94BC1" w:rsidR="00DB0D69" w:rsidRPr="006E1A5C" w:rsidRDefault="00000000">
      <w:pPr>
        <w:spacing w:after="120"/>
        <w:ind w:left="360"/>
        <w:rPr>
          <w:rFonts w:hint="eastAsia"/>
          <w:sz w:val="24"/>
          <w:szCs w:val="24"/>
        </w:rPr>
      </w:pPr>
      <w:r w:rsidRPr="006E1A5C">
        <w:rPr>
          <w:sz w:val="24"/>
          <w:szCs w:val="24"/>
        </w:rPr>
        <w:t>Chapter 6: Inter-Page Routing Patterns &amp; Document Object Model Hierarchy</w:t>
      </w:r>
      <w:r w:rsidR="007C7D84" w:rsidRPr="006E1A5C">
        <w:rPr>
          <w:sz w:val="24"/>
          <w:szCs w:val="24"/>
        </w:rPr>
        <w:t>.</w:t>
      </w:r>
    </w:p>
    <w:p w14:paraId="4508AC8A" w14:textId="2FD11241" w:rsidR="00DB0D69" w:rsidRPr="006E1A5C" w:rsidRDefault="00000000">
      <w:pPr>
        <w:spacing w:after="120"/>
        <w:ind w:left="360"/>
        <w:rPr>
          <w:rFonts w:hint="eastAsia"/>
          <w:sz w:val="24"/>
          <w:szCs w:val="24"/>
        </w:rPr>
      </w:pPr>
      <w:r w:rsidRPr="006E1A5C">
        <w:rPr>
          <w:sz w:val="24"/>
          <w:szCs w:val="24"/>
        </w:rPr>
        <w:t>Chapter 7: Presentational Engineering, Custom Properties, &amp; Visual Tokens</w:t>
      </w:r>
      <w:r w:rsidR="007C7D84" w:rsidRPr="006E1A5C">
        <w:rPr>
          <w:sz w:val="24"/>
          <w:szCs w:val="24"/>
        </w:rPr>
        <w:t>.</w:t>
      </w:r>
    </w:p>
    <w:p w14:paraId="78D00D7C" w14:textId="0FB4327B" w:rsidR="00DB0D69" w:rsidRPr="006E1A5C" w:rsidRDefault="00000000">
      <w:pPr>
        <w:spacing w:after="120"/>
        <w:ind w:left="360"/>
        <w:rPr>
          <w:rFonts w:hint="eastAsia"/>
          <w:sz w:val="24"/>
          <w:szCs w:val="24"/>
        </w:rPr>
      </w:pPr>
      <w:r w:rsidRPr="006E1A5C">
        <w:rPr>
          <w:sz w:val="24"/>
          <w:szCs w:val="24"/>
        </w:rPr>
        <w:t>Chapter 8: Responsive Layout Mechanics, Flex Grids, &amp; Viewport Adaptability</w:t>
      </w:r>
      <w:r w:rsidR="007C7D84" w:rsidRPr="006E1A5C">
        <w:rPr>
          <w:sz w:val="24"/>
          <w:szCs w:val="24"/>
        </w:rPr>
        <w:t>.</w:t>
      </w:r>
    </w:p>
    <w:p w14:paraId="60A248B4" w14:textId="1D567A20" w:rsidR="00DB0D69" w:rsidRPr="006E1A5C" w:rsidRDefault="00000000">
      <w:pPr>
        <w:spacing w:after="120"/>
        <w:ind w:left="360"/>
        <w:rPr>
          <w:rFonts w:hint="eastAsia"/>
          <w:sz w:val="24"/>
          <w:szCs w:val="24"/>
        </w:rPr>
      </w:pPr>
      <w:r w:rsidRPr="006E1A5C">
        <w:rPr>
          <w:sz w:val="24"/>
          <w:szCs w:val="24"/>
        </w:rPr>
        <w:t>Chapter 9: Behavioral Logic Engineering, Interaction Scopes</w:t>
      </w:r>
    </w:p>
    <w:p w14:paraId="4CCC0891" w14:textId="7F748914" w:rsidR="00DB0D69" w:rsidRPr="006E1A5C" w:rsidRDefault="00000000">
      <w:pPr>
        <w:spacing w:after="120"/>
        <w:ind w:left="360"/>
        <w:rPr>
          <w:rFonts w:hint="eastAsia"/>
          <w:sz w:val="24"/>
          <w:szCs w:val="24"/>
        </w:rPr>
      </w:pPr>
      <w:r w:rsidRPr="006E1A5C">
        <w:rPr>
          <w:sz w:val="24"/>
          <w:szCs w:val="24"/>
        </w:rPr>
        <w:lastRenderedPageBreak/>
        <w:t>Chapter 10: Integrated Development Tooling Stack &amp; Conclusion</w:t>
      </w:r>
      <w:r w:rsidR="007C7D84" w:rsidRPr="006E1A5C">
        <w:rPr>
          <w:sz w:val="24"/>
          <w:szCs w:val="24"/>
        </w:rPr>
        <w:t>.</w:t>
      </w:r>
    </w:p>
    <w:p w14:paraId="15C56C0A" w14:textId="77777777" w:rsidR="00116AF6" w:rsidRPr="006E1A5C" w:rsidRDefault="00116AF6" w:rsidP="00116AF6">
      <w:pPr>
        <w:rPr>
          <w:sz w:val="24"/>
          <w:szCs w:val="24"/>
        </w:rPr>
      </w:pPr>
    </w:p>
    <w:p w14:paraId="7F71FDBC" w14:textId="4E0E4DA4" w:rsidR="00DB0D69" w:rsidRPr="006E1A5C" w:rsidRDefault="00000000" w:rsidP="006E1A5C">
      <w:pPr>
        <w:pStyle w:val="Heading2"/>
      </w:pPr>
      <w:r w:rsidRPr="006E1A5C">
        <w:t>1. Architectural Foundation &amp; Client-Side Execution Paradigm</w:t>
      </w:r>
    </w:p>
    <w:p w14:paraId="531FFFD8" w14:textId="77777777" w:rsidR="00DB0D69" w:rsidRPr="006E1A5C" w:rsidRDefault="00000000">
      <w:pPr>
        <w:rPr>
          <w:rFonts w:hint="eastAsia"/>
          <w:sz w:val="24"/>
          <w:szCs w:val="24"/>
        </w:rPr>
      </w:pPr>
      <w:r w:rsidRPr="006E1A5C">
        <w:rPr>
          <w:sz w:val="24"/>
          <w:szCs w:val="24"/>
        </w:rPr>
        <w:t xml:space="preserve">The </w:t>
      </w:r>
      <w:proofErr w:type="spellStart"/>
      <w:r w:rsidRPr="006E1A5C">
        <w:rPr>
          <w:sz w:val="24"/>
          <w:szCs w:val="24"/>
        </w:rPr>
        <w:t>Stackly</w:t>
      </w:r>
      <w:proofErr w:type="spellEnd"/>
      <w:r w:rsidRPr="006E1A5C">
        <w:rPr>
          <w:sz w:val="24"/>
          <w:szCs w:val="24"/>
        </w:rPr>
        <w:t xml:space="preserve"> Swimming School web application is engineered on a static front-end architecture model. Instead of relying on dynamic database backends that compile interface layouts on-demand whenever a page is requested, the platform serves pre-rendered semantic documents, centralized design tokens, and scoped behavioral logic packages directly to user systems via distributed edge networks.</w:t>
      </w:r>
    </w:p>
    <w:p w14:paraId="0DA6E6B3" w14:textId="77777777" w:rsidR="00DB0D69" w:rsidRPr="006E1A5C" w:rsidRDefault="00000000">
      <w:pPr>
        <w:rPr>
          <w:rFonts w:hint="eastAsia"/>
          <w:sz w:val="24"/>
          <w:szCs w:val="24"/>
        </w:rPr>
      </w:pPr>
      <w:r w:rsidRPr="006E1A5C">
        <w:rPr>
          <w:sz w:val="24"/>
          <w:szCs w:val="24"/>
        </w:rPr>
        <w:t>This approach speeds up data loading times for parents browsing course details on mobile devices near training sites. By completely removing active server-side runtimes (such as Node.js or PHP) from the production framework, the security perimeter is simplified, protecting user information against database breaches, cross-site scripting (XSS), and malicious injection attacks.</w:t>
      </w:r>
    </w:p>
    <w:p w14:paraId="56ED23B6" w14:textId="77777777" w:rsidR="00DB0D69" w:rsidRPr="006E1A5C" w:rsidRDefault="00000000" w:rsidP="006E1A5C">
      <w:pPr>
        <w:pStyle w:val="Heading2"/>
      </w:pPr>
      <w:r w:rsidRPr="006E1A5C">
        <w:t>1.1 Standard Front-End Isolation Model</w:t>
      </w:r>
    </w:p>
    <w:p w14:paraId="627FF048" w14:textId="77777777" w:rsidR="00DB0D69" w:rsidRPr="006E1A5C" w:rsidRDefault="00000000">
      <w:pPr>
        <w:rPr>
          <w:rFonts w:hint="eastAsia"/>
          <w:sz w:val="24"/>
          <w:szCs w:val="24"/>
        </w:rPr>
      </w:pPr>
      <w:r w:rsidRPr="006E1A5C">
        <w:rPr>
          <w:sz w:val="24"/>
          <w:szCs w:val="24"/>
        </w:rPr>
        <w:t>The client runtime separates systems logic into three clean layers to protect the integrity of content, styling, and behavior:</w:t>
      </w:r>
    </w:p>
    <w:tbl>
      <w:tblPr>
        <w:tblW w:w="0" w:type="auto"/>
        <w:jc w:val="center"/>
        <w:tblLook w:val="04A0" w:firstRow="1" w:lastRow="0" w:firstColumn="1" w:lastColumn="0" w:noHBand="0" w:noVBand="1"/>
      </w:tblPr>
      <w:tblGrid>
        <w:gridCol w:w="3120"/>
        <w:gridCol w:w="3120"/>
        <w:gridCol w:w="3120"/>
      </w:tblGrid>
      <w:tr w:rsidR="00DB0D69" w:rsidRPr="006E1A5C" w14:paraId="0BABBA71" w14:textId="77777777">
        <w:trPr>
          <w:jc w:val="center"/>
        </w:trPr>
        <w:tc>
          <w:tcPr>
            <w:tcW w:w="3120" w:type="dxa"/>
            <w:shd w:val="clear" w:color="auto" w:fill="0F172A"/>
            <w:tcMar>
              <w:top w:w="140" w:type="dxa"/>
              <w:left w:w="180" w:type="dxa"/>
              <w:bottom w:w="140" w:type="dxa"/>
              <w:right w:w="180" w:type="dxa"/>
            </w:tcMar>
          </w:tcPr>
          <w:p w14:paraId="6131DAF6" w14:textId="77777777" w:rsidR="00DB0D69" w:rsidRPr="006E1A5C" w:rsidRDefault="00000000">
            <w:pPr>
              <w:rPr>
                <w:rFonts w:hint="eastAsia"/>
                <w:sz w:val="24"/>
                <w:szCs w:val="24"/>
              </w:rPr>
            </w:pPr>
            <w:r w:rsidRPr="006E1A5C">
              <w:rPr>
                <w:b/>
                <w:color w:val="FFFFFF"/>
                <w:sz w:val="24"/>
                <w:szCs w:val="24"/>
              </w:rPr>
              <w:t>Architecture Layer</w:t>
            </w:r>
          </w:p>
        </w:tc>
        <w:tc>
          <w:tcPr>
            <w:tcW w:w="3120" w:type="dxa"/>
            <w:shd w:val="clear" w:color="auto" w:fill="0F172A"/>
            <w:tcMar>
              <w:top w:w="140" w:type="dxa"/>
              <w:left w:w="180" w:type="dxa"/>
              <w:bottom w:w="140" w:type="dxa"/>
              <w:right w:w="180" w:type="dxa"/>
            </w:tcMar>
          </w:tcPr>
          <w:p w14:paraId="50AA0348" w14:textId="77777777" w:rsidR="00DB0D69" w:rsidRPr="006E1A5C" w:rsidRDefault="00000000">
            <w:pPr>
              <w:rPr>
                <w:rFonts w:hint="eastAsia"/>
                <w:sz w:val="24"/>
                <w:szCs w:val="24"/>
              </w:rPr>
            </w:pPr>
            <w:r w:rsidRPr="006E1A5C">
              <w:rPr>
                <w:b/>
                <w:color w:val="FFFFFF"/>
                <w:sz w:val="24"/>
                <w:szCs w:val="24"/>
              </w:rPr>
              <w:t>Technology Medium</w:t>
            </w:r>
          </w:p>
        </w:tc>
        <w:tc>
          <w:tcPr>
            <w:tcW w:w="3120" w:type="dxa"/>
            <w:shd w:val="clear" w:color="auto" w:fill="0F172A"/>
            <w:tcMar>
              <w:top w:w="140" w:type="dxa"/>
              <w:left w:w="180" w:type="dxa"/>
              <w:bottom w:w="140" w:type="dxa"/>
              <w:right w:w="180" w:type="dxa"/>
            </w:tcMar>
          </w:tcPr>
          <w:p w14:paraId="254CBAEC" w14:textId="77777777" w:rsidR="00DB0D69" w:rsidRPr="006E1A5C" w:rsidRDefault="00000000">
            <w:pPr>
              <w:rPr>
                <w:rFonts w:hint="eastAsia"/>
                <w:sz w:val="24"/>
                <w:szCs w:val="24"/>
              </w:rPr>
            </w:pPr>
            <w:r w:rsidRPr="006E1A5C">
              <w:rPr>
                <w:b/>
                <w:color w:val="FFFFFF"/>
                <w:sz w:val="24"/>
                <w:szCs w:val="24"/>
              </w:rPr>
              <w:t>Functional Responsibility Summary</w:t>
            </w:r>
          </w:p>
        </w:tc>
      </w:tr>
      <w:tr w:rsidR="00DB0D69" w:rsidRPr="006E1A5C" w14:paraId="4EA4142C" w14:textId="77777777">
        <w:trPr>
          <w:jc w:val="center"/>
        </w:trPr>
        <w:tc>
          <w:tcPr>
            <w:tcW w:w="3120" w:type="dxa"/>
            <w:shd w:val="clear" w:color="auto" w:fill="F8FAFC"/>
            <w:tcMar>
              <w:top w:w="140" w:type="dxa"/>
              <w:left w:w="180" w:type="dxa"/>
              <w:bottom w:w="140" w:type="dxa"/>
              <w:right w:w="180" w:type="dxa"/>
            </w:tcMar>
          </w:tcPr>
          <w:p w14:paraId="561C3832" w14:textId="77777777" w:rsidR="00DB0D69" w:rsidRPr="006E1A5C" w:rsidRDefault="00000000">
            <w:pPr>
              <w:rPr>
                <w:rFonts w:hint="eastAsia"/>
                <w:sz w:val="24"/>
                <w:szCs w:val="24"/>
              </w:rPr>
            </w:pPr>
            <w:r w:rsidRPr="006E1A5C">
              <w:rPr>
                <w:sz w:val="24"/>
                <w:szCs w:val="24"/>
              </w:rPr>
              <w:t>Document Structure Tiers</w:t>
            </w:r>
          </w:p>
        </w:tc>
        <w:tc>
          <w:tcPr>
            <w:tcW w:w="3120" w:type="dxa"/>
            <w:shd w:val="clear" w:color="auto" w:fill="F8FAFC"/>
            <w:tcMar>
              <w:top w:w="140" w:type="dxa"/>
              <w:left w:w="180" w:type="dxa"/>
              <w:bottom w:w="140" w:type="dxa"/>
              <w:right w:w="180" w:type="dxa"/>
            </w:tcMar>
          </w:tcPr>
          <w:p w14:paraId="13A4CA62" w14:textId="77777777" w:rsidR="00DB0D69" w:rsidRPr="006E1A5C" w:rsidRDefault="00000000">
            <w:pPr>
              <w:rPr>
                <w:rFonts w:hint="eastAsia"/>
                <w:sz w:val="24"/>
                <w:szCs w:val="24"/>
              </w:rPr>
            </w:pPr>
            <w:r w:rsidRPr="006E1A5C">
              <w:rPr>
                <w:sz w:val="24"/>
                <w:szCs w:val="24"/>
              </w:rPr>
              <w:t>Semantic HTML5 Matrix</w:t>
            </w:r>
          </w:p>
        </w:tc>
        <w:tc>
          <w:tcPr>
            <w:tcW w:w="3120" w:type="dxa"/>
            <w:shd w:val="clear" w:color="auto" w:fill="F8FAFC"/>
            <w:tcMar>
              <w:top w:w="140" w:type="dxa"/>
              <w:left w:w="180" w:type="dxa"/>
              <w:bottom w:w="140" w:type="dxa"/>
              <w:right w:w="180" w:type="dxa"/>
            </w:tcMar>
          </w:tcPr>
          <w:p w14:paraId="33F4BA83" w14:textId="77777777" w:rsidR="00DB0D69" w:rsidRPr="006E1A5C" w:rsidRDefault="00000000">
            <w:pPr>
              <w:rPr>
                <w:rFonts w:hint="eastAsia"/>
                <w:sz w:val="24"/>
                <w:szCs w:val="24"/>
              </w:rPr>
            </w:pPr>
            <w:r w:rsidRPr="006E1A5C">
              <w:rPr>
                <w:sz w:val="24"/>
                <w:szCs w:val="24"/>
              </w:rPr>
              <w:t>Coordinates text hierarchies, structural page tags, media access hooks, and search engine optimization landmarks.</w:t>
            </w:r>
          </w:p>
        </w:tc>
      </w:tr>
      <w:tr w:rsidR="00DB0D69" w:rsidRPr="006E1A5C" w14:paraId="5EF63EB6" w14:textId="77777777">
        <w:trPr>
          <w:jc w:val="center"/>
        </w:trPr>
        <w:tc>
          <w:tcPr>
            <w:tcW w:w="3120" w:type="dxa"/>
            <w:tcMar>
              <w:top w:w="140" w:type="dxa"/>
              <w:left w:w="180" w:type="dxa"/>
              <w:bottom w:w="140" w:type="dxa"/>
              <w:right w:w="180" w:type="dxa"/>
            </w:tcMar>
          </w:tcPr>
          <w:p w14:paraId="07A6BAFF" w14:textId="77777777" w:rsidR="00DB0D69" w:rsidRPr="006E1A5C" w:rsidRDefault="00000000">
            <w:pPr>
              <w:rPr>
                <w:rFonts w:hint="eastAsia"/>
                <w:sz w:val="24"/>
                <w:szCs w:val="24"/>
              </w:rPr>
            </w:pPr>
            <w:r w:rsidRPr="006E1A5C">
              <w:rPr>
                <w:sz w:val="24"/>
                <w:szCs w:val="24"/>
              </w:rPr>
              <w:t xml:space="preserve">Presentational Theme </w:t>
            </w:r>
            <w:r w:rsidRPr="006E1A5C">
              <w:rPr>
                <w:sz w:val="24"/>
                <w:szCs w:val="24"/>
              </w:rPr>
              <w:lastRenderedPageBreak/>
              <w:t>Tiers</w:t>
            </w:r>
          </w:p>
        </w:tc>
        <w:tc>
          <w:tcPr>
            <w:tcW w:w="3120" w:type="dxa"/>
            <w:tcMar>
              <w:top w:w="140" w:type="dxa"/>
              <w:left w:w="180" w:type="dxa"/>
              <w:bottom w:w="140" w:type="dxa"/>
              <w:right w:w="180" w:type="dxa"/>
            </w:tcMar>
          </w:tcPr>
          <w:p w14:paraId="22608867" w14:textId="77777777" w:rsidR="00DB0D69" w:rsidRPr="006E1A5C" w:rsidRDefault="00000000">
            <w:pPr>
              <w:rPr>
                <w:rFonts w:hint="eastAsia"/>
                <w:sz w:val="24"/>
                <w:szCs w:val="24"/>
              </w:rPr>
            </w:pPr>
            <w:r w:rsidRPr="006E1A5C">
              <w:rPr>
                <w:sz w:val="24"/>
                <w:szCs w:val="24"/>
              </w:rPr>
              <w:lastRenderedPageBreak/>
              <w:t xml:space="preserve">CSS3 Variable </w:t>
            </w:r>
            <w:r w:rsidRPr="006E1A5C">
              <w:rPr>
                <w:sz w:val="24"/>
                <w:szCs w:val="24"/>
              </w:rPr>
              <w:lastRenderedPageBreak/>
              <w:t>Architectures</w:t>
            </w:r>
          </w:p>
        </w:tc>
        <w:tc>
          <w:tcPr>
            <w:tcW w:w="3120" w:type="dxa"/>
            <w:tcMar>
              <w:top w:w="140" w:type="dxa"/>
              <w:left w:w="180" w:type="dxa"/>
              <w:bottom w:w="140" w:type="dxa"/>
              <w:right w:w="180" w:type="dxa"/>
            </w:tcMar>
          </w:tcPr>
          <w:p w14:paraId="6C5DA0FF" w14:textId="61414E1E" w:rsidR="00DB0D69" w:rsidRPr="006E1A5C" w:rsidRDefault="00000000">
            <w:pPr>
              <w:rPr>
                <w:rFonts w:hint="eastAsia"/>
                <w:sz w:val="24"/>
                <w:szCs w:val="24"/>
              </w:rPr>
            </w:pPr>
            <w:r w:rsidRPr="006E1A5C">
              <w:rPr>
                <w:sz w:val="24"/>
                <w:szCs w:val="24"/>
              </w:rPr>
              <w:lastRenderedPageBreak/>
              <w:t xml:space="preserve">Applies, layout grids, </w:t>
            </w:r>
            <w:r w:rsidRPr="006E1A5C">
              <w:rPr>
                <w:sz w:val="24"/>
                <w:szCs w:val="24"/>
              </w:rPr>
              <w:lastRenderedPageBreak/>
              <w:t>branding color rulesets, and transition effects.</w:t>
            </w:r>
          </w:p>
        </w:tc>
      </w:tr>
      <w:tr w:rsidR="00DB0D69" w:rsidRPr="006E1A5C" w14:paraId="5FBF209C" w14:textId="77777777">
        <w:trPr>
          <w:jc w:val="center"/>
        </w:trPr>
        <w:tc>
          <w:tcPr>
            <w:tcW w:w="3120" w:type="dxa"/>
            <w:shd w:val="clear" w:color="auto" w:fill="F8FAFC"/>
            <w:tcMar>
              <w:top w:w="140" w:type="dxa"/>
              <w:left w:w="180" w:type="dxa"/>
              <w:bottom w:w="140" w:type="dxa"/>
              <w:right w:w="180" w:type="dxa"/>
            </w:tcMar>
          </w:tcPr>
          <w:p w14:paraId="27D0B17F" w14:textId="77777777" w:rsidR="00DB0D69" w:rsidRPr="006E1A5C" w:rsidRDefault="00000000">
            <w:pPr>
              <w:rPr>
                <w:rFonts w:hint="eastAsia"/>
                <w:sz w:val="24"/>
                <w:szCs w:val="24"/>
              </w:rPr>
            </w:pPr>
            <w:r w:rsidRPr="006E1A5C">
              <w:rPr>
                <w:sz w:val="24"/>
                <w:szCs w:val="24"/>
              </w:rPr>
              <w:lastRenderedPageBreak/>
              <w:t>Behavioral Logic Tiers</w:t>
            </w:r>
          </w:p>
        </w:tc>
        <w:tc>
          <w:tcPr>
            <w:tcW w:w="3120" w:type="dxa"/>
            <w:shd w:val="clear" w:color="auto" w:fill="F8FAFC"/>
            <w:tcMar>
              <w:top w:w="140" w:type="dxa"/>
              <w:left w:w="180" w:type="dxa"/>
              <w:bottom w:w="140" w:type="dxa"/>
              <w:right w:w="180" w:type="dxa"/>
            </w:tcMar>
          </w:tcPr>
          <w:p w14:paraId="0C3625C3" w14:textId="35FD67DD" w:rsidR="00DB0D69" w:rsidRPr="006E1A5C" w:rsidRDefault="00000000">
            <w:pPr>
              <w:rPr>
                <w:rFonts w:hint="eastAsia"/>
                <w:sz w:val="24"/>
                <w:szCs w:val="24"/>
              </w:rPr>
            </w:pPr>
            <w:r w:rsidRPr="006E1A5C">
              <w:rPr>
                <w:sz w:val="24"/>
                <w:szCs w:val="24"/>
              </w:rPr>
              <w:t xml:space="preserve"> JavaScript ES6+</w:t>
            </w:r>
          </w:p>
        </w:tc>
        <w:tc>
          <w:tcPr>
            <w:tcW w:w="3120" w:type="dxa"/>
            <w:shd w:val="clear" w:color="auto" w:fill="F8FAFC"/>
            <w:tcMar>
              <w:top w:w="140" w:type="dxa"/>
              <w:left w:w="180" w:type="dxa"/>
              <w:bottom w:w="140" w:type="dxa"/>
              <w:right w:w="180" w:type="dxa"/>
            </w:tcMar>
          </w:tcPr>
          <w:p w14:paraId="14536E67" w14:textId="77777777" w:rsidR="00DB0D69" w:rsidRPr="006E1A5C" w:rsidRDefault="00000000">
            <w:pPr>
              <w:rPr>
                <w:rFonts w:hint="eastAsia"/>
                <w:sz w:val="24"/>
                <w:szCs w:val="24"/>
              </w:rPr>
            </w:pPr>
            <w:r w:rsidRPr="006E1A5C">
              <w:rPr>
                <w:sz w:val="24"/>
                <w:szCs w:val="24"/>
              </w:rPr>
              <w:t>Controls structural link updates, validates input fields, manages animation states, and triggers transport pipelines.</w:t>
            </w:r>
          </w:p>
        </w:tc>
      </w:tr>
    </w:tbl>
    <w:p w14:paraId="34D6C26C" w14:textId="77777777" w:rsidR="00116AF6" w:rsidRPr="006E1A5C" w:rsidRDefault="00116AF6" w:rsidP="00116AF6">
      <w:pPr>
        <w:rPr>
          <w:sz w:val="24"/>
          <w:szCs w:val="24"/>
        </w:rPr>
      </w:pPr>
    </w:p>
    <w:p w14:paraId="026FC46B" w14:textId="1B1FFA6C" w:rsidR="00DB0D69" w:rsidRPr="006E1A5C" w:rsidRDefault="00000000" w:rsidP="006E1A5C">
      <w:pPr>
        <w:pStyle w:val="Heading2"/>
      </w:pPr>
      <w:r w:rsidRPr="006E1A5C">
        <w:t>2. Production Repository Layout</w:t>
      </w:r>
    </w:p>
    <w:p w14:paraId="14CEE4F6" w14:textId="77777777" w:rsidR="00DB0D69" w:rsidRPr="006E1A5C" w:rsidRDefault="00000000">
      <w:pPr>
        <w:rPr>
          <w:rFonts w:hint="eastAsia"/>
          <w:sz w:val="24"/>
          <w:szCs w:val="24"/>
        </w:rPr>
      </w:pPr>
      <w:r w:rsidRPr="006E1A5C">
        <w:rPr>
          <w:sz w:val="24"/>
          <w:szCs w:val="24"/>
        </w:rPr>
        <w:t>To support collaborative parallel engineering across course marketing updates, program scheduling, and admission form development without causing code conflicts, the repository uses a modular file structure organized by asset types.</w:t>
      </w:r>
    </w:p>
    <w:p w14:paraId="60326BA9" w14:textId="77777777" w:rsidR="00DB0D69" w:rsidRPr="006E1A5C" w:rsidRDefault="00000000" w:rsidP="006E1A5C">
      <w:pPr>
        <w:pStyle w:val="Heading2"/>
      </w:pPr>
      <w:r w:rsidRPr="006E1A5C">
        <w:t>2.1 Repository Folder Hierarchy</w:t>
      </w:r>
    </w:p>
    <w:p w14:paraId="09592F61" w14:textId="77777777" w:rsidR="00DB0D69" w:rsidRPr="006E1A5C" w:rsidRDefault="00000000">
      <w:pPr>
        <w:rPr>
          <w:rFonts w:hint="eastAsia"/>
          <w:sz w:val="24"/>
          <w:szCs w:val="24"/>
        </w:rPr>
      </w:pPr>
      <w:r w:rsidRPr="006E1A5C">
        <w:rPr>
          <w:sz w:val="24"/>
          <w:szCs w:val="24"/>
        </w:rPr>
        <w:t>The system directory branches out logically from the project root. The parent level houses the main pages: index.html (the main dashboard), about.html (school background), programs.html (course syllabi), achievements.html (awards catalog), admission.html (registration intake), and contact.html (facility map coordinates). Specialized subfolders group assets cleanly:</w:t>
      </w:r>
    </w:p>
    <w:p w14:paraId="3D7B4ED1" w14:textId="77777777" w:rsidR="00DB0D69" w:rsidRPr="006E1A5C" w:rsidRDefault="00000000">
      <w:pPr>
        <w:pStyle w:val="ListBullet"/>
        <w:rPr>
          <w:rFonts w:hint="eastAsia"/>
          <w:sz w:val="24"/>
          <w:szCs w:val="24"/>
        </w:rPr>
      </w:pPr>
      <w:r w:rsidRPr="006E1A5C">
        <w:rPr>
          <w:sz w:val="24"/>
          <w:szCs w:val="24"/>
        </w:rPr>
        <w:t>css/ — Holds the master stylesheet main.css (global baseline resets), alongside layout styles variables.css (design tokens) and responsive.css (media breakpoints).</w:t>
      </w:r>
    </w:p>
    <w:p w14:paraId="3E8B72B4" w14:textId="77777777" w:rsidR="00DB0D69" w:rsidRPr="006E1A5C" w:rsidRDefault="00000000">
      <w:pPr>
        <w:pStyle w:val="ListBullet"/>
        <w:rPr>
          <w:rFonts w:hint="eastAsia"/>
          <w:sz w:val="24"/>
          <w:szCs w:val="24"/>
        </w:rPr>
      </w:pPr>
      <w:r w:rsidRPr="006E1A5C">
        <w:rPr>
          <w:sz w:val="24"/>
          <w:szCs w:val="24"/>
        </w:rPr>
        <w:t>js/ — Stores app.js (main script initializer) and admission-validation.js (user intake form verification rules).</w:t>
      </w:r>
    </w:p>
    <w:p w14:paraId="06BC47E0" w14:textId="77777777" w:rsidR="00DB0D69" w:rsidRPr="006E1A5C" w:rsidRDefault="00000000">
      <w:pPr>
        <w:pStyle w:val="ListBullet"/>
        <w:rPr>
          <w:rFonts w:hint="eastAsia"/>
          <w:sz w:val="24"/>
          <w:szCs w:val="24"/>
        </w:rPr>
      </w:pPr>
      <w:r w:rsidRPr="006E1A5C">
        <w:rPr>
          <w:sz w:val="24"/>
          <w:szCs w:val="24"/>
        </w:rPr>
        <w:t>assets/ — Contains brand/ (vector corporate symbols in SVG configuration) and images/ (high-definition WebP aquatic and training graphics).</w:t>
      </w:r>
    </w:p>
    <w:p w14:paraId="001DFFBF" w14:textId="77777777" w:rsidR="00DB0D69" w:rsidRPr="006E1A5C" w:rsidRDefault="00000000" w:rsidP="006E1A5C">
      <w:pPr>
        <w:pStyle w:val="Heading2"/>
      </w:pPr>
      <w:r w:rsidRPr="006E1A5C">
        <w:lastRenderedPageBreak/>
        <w:t>2.2 Production Extension Rule Configurations</w:t>
      </w:r>
    </w:p>
    <w:tbl>
      <w:tblPr>
        <w:tblW w:w="0" w:type="auto"/>
        <w:jc w:val="center"/>
        <w:tblLook w:val="04A0" w:firstRow="1" w:lastRow="0" w:firstColumn="1" w:lastColumn="0" w:noHBand="0" w:noVBand="1"/>
      </w:tblPr>
      <w:tblGrid>
        <w:gridCol w:w="3120"/>
        <w:gridCol w:w="3120"/>
        <w:gridCol w:w="3120"/>
      </w:tblGrid>
      <w:tr w:rsidR="00DB0D69" w:rsidRPr="006E1A5C" w14:paraId="1A92448B" w14:textId="77777777">
        <w:trPr>
          <w:jc w:val="center"/>
        </w:trPr>
        <w:tc>
          <w:tcPr>
            <w:tcW w:w="3120" w:type="dxa"/>
            <w:shd w:val="clear" w:color="auto" w:fill="0F172A"/>
            <w:tcMar>
              <w:top w:w="140" w:type="dxa"/>
              <w:left w:w="180" w:type="dxa"/>
              <w:bottom w:w="140" w:type="dxa"/>
              <w:right w:w="180" w:type="dxa"/>
            </w:tcMar>
          </w:tcPr>
          <w:p w14:paraId="19E8EBAD" w14:textId="77777777" w:rsidR="00DB0D69" w:rsidRPr="006E1A5C" w:rsidRDefault="00000000">
            <w:pPr>
              <w:rPr>
                <w:rFonts w:hint="eastAsia"/>
                <w:sz w:val="24"/>
                <w:szCs w:val="24"/>
              </w:rPr>
            </w:pPr>
            <w:r w:rsidRPr="006E1A5C">
              <w:rPr>
                <w:b/>
                <w:color w:val="FFFFFF"/>
                <w:sz w:val="24"/>
                <w:szCs w:val="24"/>
              </w:rPr>
              <w:t>Extension Target</w:t>
            </w:r>
          </w:p>
        </w:tc>
        <w:tc>
          <w:tcPr>
            <w:tcW w:w="3120" w:type="dxa"/>
            <w:shd w:val="clear" w:color="auto" w:fill="0F172A"/>
            <w:tcMar>
              <w:top w:w="140" w:type="dxa"/>
              <w:left w:w="180" w:type="dxa"/>
              <w:bottom w:w="140" w:type="dxa"/>
              <w:right w:w="180" w:type="dxa"/>
            </w:tcMar>
          </w:tcPr>
          <w:p w14:paraId="17A6028D" w14:textId="77777777" w:rsidR="00DB0D69" w:rsidRPr="006E1A5C" w:rsidRDefault="00000000">
            <w:pPr>
              <w:rPr>
                <w:rFonts w:hint="eastAsia"/>
                <w:sz w:val="24"/>
                <w:szCs w:val="24"/>
              </w:rPr>
            </w:pPr>
            <w:r w:rsidRPr="006E1A5C">
              <w:rPr>
                <w:b/>
                <w:color w:val="FFFFFF"/>
                <w:sz w:val="24"/>
                <w:szCs w:val="24"/>
              </w:rPr>
              <w:t>Designated Framework Role</w:t>
            </w:r>
          </w:p>
        </w:tc>
        <w:tc>
          <w:tcPr>
            <w:tcW w:w="3120" w:type="dxa"/>
            <w:shd w:val="clear" w:color="auto" w:fill="0F172A"/>
            <w:tcMar>
              <w:top w:w="140" w:type="dxa"/>
              <w:left w:w="180" w:type="dxa"/>
              <w:bottom w:w="140" w:type="dxa"/>
              <w:right w:w="180" w:type="dxa"/>
            </w:tcMar>
          </w:tcPr>
          <w:p w14:paraId="56BC8DA1" w14:textId="77777777" w:rsidR="00DB0D69" w:rsidRPr="006E1A5C" w:rsidRDefault="00000000">
            <w:pPr>
              <w:rPr>
                <w:rFonts w:hint="eastAsia"/>
                <w:sz w:val="24"/>
                <w:szCs w:val="24"/>
              </w:rPr>
            </w:pPr>
            <w:r w:rsidRPr="006E1A5C">
              <w:rPr>
                <w:b/>
                <w:color w:val="FFFFFF"/>
                <w:sz w:val="24"/>
                <w:szCs w:val="24"/>
              </w:rPr>
              <w:t>Quality &amp; Compliance Metrics</w:t>
            </w:r>
          </w:p>
        </w:tc>
      </w:tr>
      <w:tr w:rsidR="00DB0D69" w:rsidRPr="006E1A5C" w14:paraId="6C835F5A" w14:textId="77777777">
        <w:trPr>
          <w:jc w:val="center"/>
        </w:trPr>
        <w:tc>
          <w:tcPr>
            <w:tcW w:w="3120" w:type="dxa"/>
            <w:shd w:val="clear" w:color="auto" w:fill="F8FAFC"/>
            <w:tcMar>
              <w:top w:w="140" w:type="dxa"/>
              <w:left w:w="180" w:type="dxa"/>
              <w:bottom w:w="140" w:type="dxa"/>
              <w:right w:w="180" w:type="dxa"/>
            </w:tcMar>
          </w:tcPr>
          <w:p w14:paraId="785C597E" w14:textId="77777777" w:rsidR="00DB0D69" w:rsidRPr="006E1A5C" w:rsidRDefault="00000000">
            <w:pPr>
              <w:rPr>
                <w:rFonts w:hint="eastAsia"/>
                <w:sz w:val="24"/>
                <w:szCs w:val="24"/>
              </w:rPr>
            </w:pPr>
            <w:r w:rsidRPr="006E1A5C">
              <w:rPr>
                <w:sz w:val="24"/>
                <w:szCs w:val="24"/>
              </w:rPr>
              <w:t>.html Formats</w:t>
            </w:r>
          </w:p>
        </w:tc>
        <w:tc>
          <w:tcPr>
            <w:tcW w:w="3120" w:type="dxa"/>
            <w:shd w:val="clear" w:color="auto" w:fill="F8FAFC"/>
            <w:tcMar>
              <w:top w:w="140" w:type="dxa"/>
              <w:left w:w="180" w:type="dxa"/>
              <w:bottom w:w="140" w:type="dxa"/>
              <w:right w:w="180" w:type="dxa"/>
            </w:tcMar>
          </w:tcPr>
          <w:p w14:paraId="09E21E2E" w14:textId="77777777" w:rsidR="00DB0D69" w:rsidRPr="006E1A5C" w:rsidRDefault="00000000">
            <w:pPr>
              <w:rPr>
                <w:rFonts w:hint="eastAsia"/>
                <w:sz w:val="24"/>
                <w:szCs w:val="24"/>
              </w:rPr>
            </w:pPr>
            <w:r w:rsidRPr="006E1A5C">
              <w:rPr>
                <w:sz w:val="24"/>
                <w:szCs w:val="24"/>
              </w:rPr>
              <w:t>Declarative Data Layout</w:t>
            </w:r>
          </w:p>
        </w:tc>
        <w:tc>
          <w:tcPr>
            <w:tcW w:w="3120" w:type="dxa"/>
            <w:shd w:val="clear" w:color="auto" w:fill="F8FAFC"/>
            <w:tcMar>
              <w:top w:w="140" w:type="dxa"/>
              <w:left w:w="180" w:type="dxa"/>
              <w:bottom w:w="140" w:type="dxa"/>
              <w:right w:w="180" w:type="dxa"/>
            </w:tcMar>
          </w:tcPr>
          <w:p w14:paraId="42AC714D" w14:textId="77777777" w:rsidR="00DB0D69" w:rsidRPr="006E1A5C" w:rsidRDefault="00000000">
            <w:pPr>
              <w:rPr>
                <w:rFonts w:hint="eastAsia"/>
                <w:sz w:val="24"/>
                <w:szCs w:val="24"/>
              </w:rPr>
            </w:pPr>
            <w:r w:rsidRPr="006E1A5C">
              <w:rPr>
                <w:sz w:val="24"/>
                <w:szCs w:val="24"/>
              </w:rPr>
              <w:t>Must pass W3C validation models without structural syntax anomalies, layout bugs, or missing access markers.</w:t>
            </w:r>
          </w:p>
        </w:tc>
      </w:tr>
      <w:tr w:rsidR="00DB0D69" w:rsidRPr="006E1A5C" w14:paraId="01E97D6E" w14:textId="77777777">
        <w:trPr>
          <w:jc w:val="center"/>
        </w:trPr>
        <w:tc>
          <w:tcPr>
            <w:tcW w:w="3120" w:type="dxa"/>
            <w:tcMar>
              <w:top w:w="140" w:type="dxa"/>
              <w:left w:w="180" w:type="dxa"/>
              <w:bottom w:w="140" w:type="dxa"/>
              <w:right w:w="180" w:type="dxa"/>
            </w:tcMar>
          </w:tcPr>
          <w:p w14:paraId="06EDEB5F" w14:textId="77777777" w:rsidR="00DB0D69" w:rsidRPr="006E1A5C" w:rsidRDefault="00000000">
            <w:pPr>
              <w:rPr>
                <w:rFonts w:hint="eastAsia"/>
                <w:sz w:val="24"/>
                <w:szCs w:val="24"/>
              </w:rPr>
            </w:pPr>
            <w:r w:rsidRPr="006E1A5C">
              <w:rPr>
                <w:sz w:val="24"/>
                <w:szCs w:val="24"/>
              </w:rPr>
              <w:t>.css Formats</w:t>
            </w:r>
          </w:p>
        </w:tc>
        <w:tc>
          <w:tcPr>
            <w:tcW w:w="3120" w:type="dxa"/>
            <w:tcMar>
              <w:top w:w="140" w:type="dxa"/>
              <w:left w:w="180" w:type="dxa"/>
              <w:bottom w:w="140" w:type="dxa"/>
              <w:right w:w="180" w:type="dxa"/>
            </w:tcMar>
          </w:tcPr>
          <w:p w14:paraId="706B4FBC" w14:textId="77777777" w:rsidR="00DB0D69" w:rsidRPr="006E1A5C" w:rsidRDefault="00000000">
            <w:pPr>
              <w:rPr>
                <w:rFonts w:hint="eastAsia"/>
                <w:sz w:val="24"/>
                <w:szCs w:val="24"/>
              </w:rPr>
            </w:pPr>
            <w:r w:rsidRPr="006E1A5C">
              <w:rPr>
                <w:sz w:val="24"/>
                <w:szCs w:val="24"/>
              </w:rPr>
              <w:t>Visual Brand Shell</w:t>
            </w:r>
          </w:p>
        </w:tc>
        <w:tc>
          <w:tcPr>
            <w:tcW w:w="3120" w:type="dxa"/>
            <w:tcMar>
              <w:top w:w="140" w:type="dxa"/>
              <w:left w:w="180" w:type="dxa"/>
              <w:bottom w:w="140" w:type="dxa"/>
              <w:right w:w="180" w:type="dxa"/>
            </w:tcMar>
          </w:tcPr>
          <w:p w14:paraId="5FDED04A" w14:textId="77777777" w:rsidR="00DB0D69" w:rsidRPr="006E1A5C" w:rsidRDefault="00000000">
            <w:pPr>
              <w:rPr>
                <w:rFonts w:hint="eastAsia"/>
                <w:sz w:val="24"/>
                <w:szCs w:val="24"/>
              </w:rPr>
            </w:pPr>
            <w:r w:rsidRPr="006E1A5C">
              <w:rPr>
                <w:sz w:val="24"/>
                <w:szCs w:val="24"/>
              </w:rPr>
              <w:t>Must operate via centralized custom variables. Absolute physical sizes are restricted in favor of fluid rem scalers.</w:t>
            </w:r>
          </w:p>
        </w:tc>
      </w:tr>
      <w:tr w:rsidR="00DB0D69" w:rsidRPr="006E1A5C" w14:paraId="4E2E48DE" w14:textId="77777777">
        <w:trPr>
          <w:jc w:val="center"/>
        </w:trPr>
        <w:tc>
          <w:tcPr>
            <w:tcW w:w="3120" w:type="dxa"/>
            <w:shd w:val="clear" w:color="auto" w:fill="F8FAFC"/>
            <w:tcMar>
              <w:top w:w="140" w:type="dxa"/>
              <w:left w:w="180" w:type="dxa"/>
              <w:bottom w:w="140" w:type="dxa"/>
              <w:right w:w="180" w:type="dxa"/>
            </w:tcMar>
          </w:tcPr>
          <w:p w14:paraId="757D9091" w14:textId="77777777" w:rsidR="00DB0D69" w:rsidRPr="006E1A5C" w:rsidRDefault="00000000">
            <w:pPr>
              <w:rPr>
                <w:rFonts w:hint="eastAsia"/>
                <w:sz w:val="24"/>
                <w:szCs w:val="24"/>
              </w:rPr>
            </w:pPr>
            <w:r w:rsidRPr="006E1A5C">
              <w:rPr>
                <w:sz w:val="24"/>
                <w:szCs w:val="24"/>
              </w:rPr>
              <w:t>.js Formats</w:t>
            </w:r>
          </w:p>
        </w:tc>
        <w:tc>
          <w:tcPr>
            <w:tcW w:w="3120" w:type="dxa"/>
            <w:shd w:val="clear" w:color="auto" w:fill="F8FAFC"/>
            <w:tcMar>
              <w:top w:w="140" w:type="dxa"/>
              <w:left w:w="180" w:type="dxa"/>
              <w:bottom w:w="140" w:type="dxa"/>
              <w:right w:w="180" w:type="dxa"/>
            </w:tcMar>
          </w:tcPr>
          <w:p w14:paraId="6D1FFFF0" w14:textId="77777777" w:rsidR="00DB0D69" w:rsidRPr="006E1A5C" w:rsidRDefault="00000000">
            <w:pPr>
              <w:rPr>
                <w:rFonts w:hint="eastAsia"/>
                <w:sz w:val="24"/>
                <w:szCs w:val="24"/>
              </w:rPr>
            </w:pPr>
            <w:r w:rsidRPr="006E1A5C">
              <w:rPr>
                <w:sz w:val="24"/>
                <w:szCs w:val="24"/>
              </w:rPr>
              <w:t>Dynamic Core Scripts</w:t>
            </w:r>
          </w:p>
        </w:tc>
        <w:tc>
          <w:tcPr>
            <w:tcW w:w="3120" w:type="dxa"/>
            <w:shd w:val="clear" w:color="auto" w:fill="F8FAFC"/>
            <w:tcMar>
              <w:top w:w="140" w:type="dxa"/>
              <w:left w:w="180" w:type="dxa"/>
              <w:bottom w:w="140" w:type="dxa"/>
              <w:right w:w="180" w:type="dxa"/>
            </w:tcMar>
          </w:tcPr>
          <w:p w14:paraId="7FAA954B" w14:textId="77777777" w:rsidR="00DB0D69" w:rsidRPr="006E1A5C" w:rsidRDefault="00000000">
            <w:pPr>
              <w:rPr>
                <w:rFonts w:hint="eastAsia"/>
                <w:sz w:val="24"/>
                <w:szCs w:val="24"/>
              </w:rPr>
            </w:pPr>
            <w:r w:rsidRPr="006E1A5C">
              <w:rPr>
                <w:sz w:val="24"/>
                <w:szCs w:val="24"/>
              </w:rPr>
              <w:t>Executed under strict mode ('use strict'). Global variable modifications are prohibited during script processes.</w:t>
            </w:r>
          </w:p>
        </w:tc>
      </w:tr>
    </w:tbl>
    <w:p w14:paraId="667D327A" w14:textId="77777777" w:rsidR="00116AF6" w:rsidRPr="006E1A5C" w:rsidRDefault="00116AF6" w:rsidP="00116AF6">
      <w:pPr>
        <w:rPr>
          <w:sz w:val="24"/>
          <w:szCs w:val="24"/>
        </w:rPr>
      </w:pPr>
    </w:p>
    <w:p w14:paraId="1B905B87" w14:textId="3982B597" w:rsidR="00DB0D69" w:rsidRPr="006E1A5C" w:rsidRDefault="00000000" w:rsidP="006E1A5C">
      <w:pPr>
        <w:pStyle w:val="Heading2"/>
      </w:pPr>
      <w:r w:rsidRPr="006E1A5C">
        <w:t>3. Page-by-Page Deep Content Architecture - Homepage &amp; About Us</w:t>
      </w:r>
    </w:p>
    <w:p w14:paraId="0C141B58" w14:textId="77777777" w:rsidR="00DB0D69" w:rsidRPr="006E1A5C" w:rsidRDefault="00000000">
      <w:pPr>
        <w:rPr>
          <w:rFonts w:hint="eastAsia"/>
          <w:sz w:val="24"/>
          <w:szCs w:val="24"/>
        </w:rPr>
      </w:pPr>
      <w:r w:rsidRPr="006E1A5C">
        <w:rPr>
          <w:sz w:val="24"/>
          <w:szCs w:val="24"/>
        </w:rPr>
        <w:t xml:space="preserve">The </w:t>
      </w:r>
      <w:proofErr w:type="spellStart"/>
      <w:r w:rsidRPr="006E1A5C">
        <w:rPr>
          <w:sz w:val="24"/>
          <w:szCs w:val="24"/>
        </w:rPr>
        <w:t>Stackly</w:t>
      </w:r>
      <w:proofErr w:type="spellEnd"/>
      <w:r w:rsidRPr="006E1A5C">
        <w:rPr>
          <w:sz w:val="24"/>
          <w:szCs w:val="24"/>
        </w:rPr>
        <w:t xml:space="preserve"> Swimming School web platform maps distinct athletic, safety, and business requirements into clear page configurations. This layout naturally guides users from exploring courses to completing student admission workflows.</w:t>
      </w:r>
    </w:p>
    <w:p w14:paraId="7A69B583" w14:textId="77777777" w:rsidR="00DB0D69" w:rsidRPr="006E1A5C" w:rsidRDefault="00000000" w:rsidP="006E1A5C">
      <w:pPr>
        <w:pStyle w:val="Heading2"/>
      </w:pPr>
      <w:r w:rsidRPr="006E1A5C">
        <w:lastRenderedPageBreak/>
        <w:t>3.1 Institutional Dashboard &amp; Central Hub (index.html)</w:t>
      </w:r>
    </w:p>
    <w:p w14:paraId="01E4C7FA" w14:textId="1A160C8B" w:rsidR="00DB0D69" w:rsidRPr="006E1A5C" w:rsidRDefault="00000000">
      <w:pPr>
        <w:rPr>
          <w:rFonts w:hint="eastAsia"/>
          <w:sz w:val="24"/>
          <w:szCs w:val="24"/>
        </w:rPr>
      </w:pPr>
      <w:r w:rsidRPr="006E1A5C">
        <w:rPr>
          <w:sz w:val="24"/>
          <w:szCs w:val="24"/>
        </w:rPr>
        <w:t xml:space="preserve">The homepage acts as the main gateway to the Stackly Swimming School digital ecosystem. The layout focuses on an aquatic-themed corporate hero section emphasizing professional training safety and water competency. Clear call-to-action triggers are integrated to route high-intent visitors immediately to the admission intake module or the training program </w:t>
      </w:r>
      <w:proofErr w:type="spellStart"/>
      <w:proofErr w:type="gramStart"/>
      <w:r w:rsidRPr="006E1A5C">
        <w:rPr>
          <w:sz w:val="24"/>
          <w:szCs w:val="24"/>
        </w:rPr>
        <w:t>directory.This</w:t>
      </w:r>
      <w:proofErr w:type="spellEnd"/>
      <w:proofErr w:type="gramEnd"/>
      <w:r w:rsidRPr="006E1A5C">
        <w:rPr>
          <w:sz w:val="24"/>
          <w:szCs w:val="24"/>
        </w:rPr>
        <w:t xml:space="preserve"> section also integrates preview cards showcasing the core age categories (infants, competitive teens, and adult wellness), followed by an overview of safety regulations, parent testimonials, and upcoming swim schedules.</w:t>
      </w:r>
    </w:p>
    <w:p w14:paraId="40D88003" w14:textId="77777777" w:rsidR="00DB0D69" w:rsidRPr="006E1A5C" w:rsidRDefault="00000000" w:rsidP="006E1A5C">
      <w:pPr>
        <w:pStyle w:val="Heading2"/>
      </w:pPr>
      <w:r w:rsidRPr="006E1A5C">
        <w:t>3.2 Institutional Profile &amp; Coaching Credentials (about.html)</w:t>
      </w:r>
    </w:p>
    <w:p w14:paraId="4CB3C3CA" w14:textId="77777777" w:rsidR="00DB0D69" w:rsidRPr="006E1A5C" w:rsidRDefault="00000000">
      <w:pPr>
        <w:rPr>
          <w:rFonts w:hint="eastAsia"/>
          <w:sz w:val="24"/>
          <w:szCs w:val="24"/>
        </w:rPr>
      </w:pPr>
      <w:r w:rsidRPr="006E1A5C">
        <w:rPr>
          <w:sz w:val="24"/>
          <w:szCs w:val="24"/>
        </w:rPr>
        <w:t>The about section presents detailed breakdowns of Stackly's history, safety mission statements, and coaching leadership. A grid layout displays biographical profile cards for the swim instructors and lifeguard trainers. Each card systematically details active certifications (such as WSI or Lifeguard Training), background screening checks, academic degrees, and past athletic competition milestones.</w:t>
      </w:r>
    </w:p>
    <w:p w14:paraId="276AFEEA" w14:textId="77777777" w:rsidR="00DB0D69" w:rsidRPr="006E1A5C" w:rsidRDefault="00000000">
      <w:pPr>
        <w:rPr>
          <w:rFonts w:hint="eastAsia"/>
          <w:sz w:val="24"/>
          <w:szCs w:val="24"/>
        </w:rPr>
      </w:pPr>
      <w:r w:rsidRPr="006E1A5C">
        <w:rPr>
          <w:sz w:val="24"/>
          <w:szCs w:val="24"/>
        </w:rPr>
        <w:t>This page also explains the school's water safety philosophies and facility operation rules. It details pool sanitization schedules, water chemical balance testing protocols, and emergency readiness standards. This operational transparency establishes strong consumer confidence before families ever enter the physical facility.</w:t>
      </w:r>
    </w:p>
    <w:p w14:paraId="0A06EFF3" w14:textId="4880CF99" w:rsidR="00DB0D69" w:rsidRPr="006E1A5C" w:rsidRDefault="00000000" w:rsidP="006E1A5C">
      <w:pPr>
        <w:pStyle w:val="Heading2"/>
      </w:pPr>
      <w:r w:rsidRPr="006E1A5C">
        <w:t>4. Page-by-Page Deep Content Architecture - Training Programs &amp; Achievements</w:t>
      </w:r>
    </w:p>
    <w:p w14:paraId="472FEA3C" w14:textId="77777777" w:rsidR="00DB0D69" w:rsidRPr="006E1A5C" w:rsidRDefault="00000000">
      <w:pPr>
        <w:rPr>
          <w:rFonts w:hint="eastAsia"/>
          <w:sz w:val="24"/>
          <w:szCs w:val="24"/>
        </w:rPr>
      </w:pPr>
      <w:r w:rsidRPr="006E1A5C">
        <w:rPr>
          <w:sz w:val="24"/>
          <w:szCs w:val="24"/>
        </w:rPr>
        <w:t>This chapter breaks down the core educational paths and the historical athletic success of the institution, providing comprehensive information for prospective competitive swimmers.</w:t>
      </w:r>
    </w:p>
    <w:p w14:paraId="1439D90A" w14:textId="77777777" w:rsidR="00DB0D69" w:rsidRPr="006E1A5C" w:rsidRDefault="00000000" w:rsidP="006E1A5C">
      <w:pPr>
        <w:pStyle w:val="Heading2"/>
      </w:pPr>
      <w:r w:rsidRPr="006E1A5C">
        <w:t>4.1 Course Syllabi &amp; Skill Progression Categories (programs.html)</w:t>
      </w:r>
    </w:p>
    <w:p w14:paraId="0A4814ED" w14:textId="77777777" w:rsidR="00DB0D69" w:rsidRPr="006E1A5C" w:rsidRDefault="00000000">
      <w:pPr>
        <w:rPr>
          <w:rFonts w:hint="eastAsia"/>
          <w:sz w:val="24"/>
          <w:szCs w:val="24"/>
        </w:rPr>
      </w:pPr>
      <w:r w:rsidRPr="006E1A5C">
        <w:rPr>
          <w:sz w:val="24"/>
          <w:szCs w:val="24"/>
        </w:rPr>
        <w:t xml:space="preserve">The programs page contains detailed data describing the swimming school's educational paths. Courses are split into three structural skill categories to help users </w:t>
      </w:r>
      <w:r w:rsidRPr="006E1A5C">
        <w:rPr>
          <w:sz w:val="24"/>
          <w:szCs w:val="24"/>
        </w:rPr>
        <w:lastRenderedPageBreak/>
        <w:t>evaluate training levels: Fundamental Water Safety, Technical Stroke Refinement, and Elite Competitive Prep.</w:t>
      </w:r>
    </w:p>
    <w:p w14:paraId="0A5775BC" w14:textId="77777777" w:rsidR="00DB0D69" w:rsidRPr="006E1A5C" w:rsidRDefault="00000000">
      <w:pPr>
        <w:rPr>
          <w:rFonts w:hint="eastAsia"/>
          <w:sz w:val="24"/>
          <w:szCs w:val="24"/>
        </w:rPr>
      </w:pPr>
      <w:r w:rsidRPr="006E1A5C">
        <w:rPr>
          <w:sz w:val="24"/>
          <w:szCs w:val="24"/>
        </w:rPr>
        <w:t>The Fundamental tier emphasizes survival techniques, breath control rules, and water acclimation parameters. The Stroke Refinement tier focuses on body orientation adjustments and mechanics for freestyle, backstroke, breaststroke, and butterfly techniques. The Elite Competitive tier covers racing starts, flip turns, advanced stamina building, and timed swim sets. Each category includes lesson timelines, age boundaries, and mandatory graduation performance limits.</w:t>
      </w:r>
    </w:p>
    <w:p w14:paraId="584C5229" w14:textId="77777777" w:rsidR="00DB0D69" w:rsidRPr="006E1A5C" w:rsidRDefault="00000000" w:rsidP="006E1A5C">
      <w:pPr>
        <w:pStyle w:val="Heading2"/>
      </w:pPr>
      <w:r w:rsidRPr="006E1A5C">
        <w:t>4.2 Record Books &amp; Historical Awards Catalog (achievements.html)</w:t>
      </w:r>
    </w:p>
    <w:p w14:paraId="02F8D6D3" w14:textId="77777777" w:rsidR="00DB0D69" w:rsidRPr="006E1A5C" w:rsidRDefault="00000000">
      <w:pPr>
        <w:rPr>
          <w:rFonts w:hint="eastAsia"/>
          <w:sz w:val="24"/>
          <w:szCs w:val="24"/>
        </w:rPr>
      </w:pPr>
      <w:r w:rsidRPr="006E1A5C">
        <w:rPr>
          <w:sz w:val="24"/>
          <w:szCs w:val="24"/>
        </w:rPr>
        <w:t>The achievements page showcases Stackly's competitive excellence and alumni success records. Content elements are organized within an elegant grid display tracking historical tournament medals, national club rankings, and regional swim meet records broken by Stackly athletes.</w:t>
      </w:r>
    </w:p>
    <w:p w14:paraId="1F560DA8" w14:textId="77777777" w:rsidR="00DB0D69" w:rsidRPr="006E1A5C" w:rsidRDefault="00000000">
      <w:pPr>
        <w:rPr>
          <w:rFonts w:hint="eastAsia"/>
          <w:sz w:val="24"/>
          <w:szCs w:val="24"/>
        </w:rPr>
      </w:pPr>
      <w:r w:rsidRPr="006E1A5C">
        <w:rPr>
          <w:sz w:val="24"/>
          <w:szCs w:val="24"/>
        </w:rPr>
        <w:t>Beyond competitive awards, this view chronicles institutional safety milestones—such as consecutive accident-free instructional hours and community water safety advocacy program recognitions. It establishes Stackly as a premium athletic program focused equally on safety compliance and top-tier competitive training outcomes.</w:t>
      </w:r>
    </w:p>
    <w:p w14:paraId="70DB0464" w14:textId="02DC3D09" w:rsidR="00DB0D69" w:rsidRPr="006E1A5C" w:rsidRDefault="00000000" w:rsidP="006E1A5C">
      <w:pPr>
        <w:pStyle w:val="Heading2"/>
      </w:pPr>
      <w:r w:rsidRPr="006E1A5C">
        <w:t>5. Page-by-Page Deep Content Architecture - Course Admission &amp; Contact Interfaces</w:t>
      </w:r>
    </w:p>
    <w:p w14:paraId="1D4475DA" w14:textId="77777777" w:rsidR="00DB0D69" w:rsidRPr="006E1A5C" w:rsidRDefault="00000000">
      <w:pPr>
        <w:rPr>
          <w:rFonts w:hint="eastAsia"/>
          <w:sz w:val="24"/>
          <w:szCs w:val="24"/>
        </w:rPr>
      </w:pPr>
      <w:r w:rsidRPr="006E1A5C">
        <w:rPr>
          <w:sz w:val="24"/>
          <w:szCs w:val="24"/>
        </w:rPr>
        <w:t>This chapter explains the primary student onboarding pipelines and corporate communication systems, ensuring simple access paths for new registration intakes.</w:t>
      </w:r>
    </w:p>
    <w:p w14:paraId="6669FA0B" w14:textId="77777777" w:rsidR="00DB0D69" w:rsidRPr="006E1A5C" w:rsidRDefault="00000000" w:rsidP="006E1A5C">
      <w:pPr>
        <w:pStyle w:val="Heading2"/>
      </w:pPr>
      <w:r w:rsidRPr="006E1A5C">
        <w:t>5.1 Student Registration Funnel &amp; Data Intake (admission.html)</w:t>
      </w:r>
    </w:p>
    <w:p w14:paraId="0AAA6DA3" w14:textId="77777777" w:rsidR="00DB0D69" w:rsidRPr="006E1A5C" w:rsidRDefault="00000000">
      <w:pPr>
        <w:rPr>
          <w:rFonts w:hint="eastAsia"/>
          <w:sz w:val="24"/>
          <w:szCs w:val="24"/>
        </w:rPr>
      </w:pPr>
      <w:r w:rsidRPr="006E1A5C">
        <w:rPr>
          <w:sz w:val="24"/>
          <w:szCs w:val="24"/>
        </w:rPr>
        <w:t xml:space="preserve">The admission page serves as the primary transaction intake form for the digital platform. It features an intuitive, user-friendly field system designed to collect student profiles safely. Users navigate through entry inputs requesting student data (name, age </w:t>
      </w:r>
      <w:r w:rsidRPr="006E1A5C">
        <w:rPr>
          <w:sz w:val="24"/>
          <w:szCs w:val="24"/>
        </w:rPr>
        <w:lastRenderedPageBreak/>
        <w:t>parameters, and previous swimming experience metrics), health disclosure notes (including asthma details or physical recovery limits), and scheduling preferences.</w:t>
      </w:r>
    </w:p>
    <w:p w14:paraId="473CC06F" w14:textId="77777777" w:rsidR="00DB0D69" w:rsidRPr="006E1A5C" w:rsidRDefault="00000000">
      <w:pPr>
        <w:rPr>
          <w:rFonts w:hint="eastAsia"/>
          <w:sz w:val="24"/>
          <w:szCs w:val="24"/>
        </w:rPr>
      </w:pPr>
      <w:r w:rsidRPr="006E1A5C">
        <w:rPr>
          <w:sz w:val="24"/>
          <w:szCs w:val="24"/>
        </w:rPr>
        <w:t>The interface includes a responsive calendar component to pick course start dates. The data form communicates directly with validation scripts to confirm fields are completed properly, blocking incomplete submissions before data is sent to the administration database.</w:t>
      </w:r>
    </w:p>
    <w:p w14:paraId="00AF4156" w14:textId="77777777" w:rsidR="00DB0D69" w:rsidRPr="006E1A5C" w:rsidRDefault="00000000" w:rsidP="006E1A5C">
      <w:pPr>
        <w:pStyle w:val="Heading2"/>
      </w:pPr>
      <w:r w:rsidRPr="006E1A5C">
        <w:t>5.2 Facility Coordinates &amp; Communication Channels (contact.html)</w:t>
      </w:r>
    </w:p>
    <w:p w14:paraId="2D26564F" w14:textId="7D145D74" w:rsidR="00DB0D69" w:rsidRPr="006E1A5C" w:rsidRDefault="00000000">
      <w:pPr>
        <w:rPr>
          <w:rFonts w:hint="eastAsia"/>
          <w:sz w:val="24"/>
          <w:szCs w:val="24"/>
        </w:rPr>
      </w:pPr>
      <w:r w:rsidRPr="006E1A5C">
        <w:rPr>
          <w:sz w:val="24"/>
          <w:szCs w:val="24"/>
        </w:rPr>
        <w:t xml:space="preserve">The contact section provides information for customer service and emergency inquiries. Below the primary communication details, the view integrates maps, turn-by-turn driving directions, facility parking coordinates, and digital email inquiry inputs. It also features an </w:t>
      </w:r>
      <w:proofErr w:type="gramStart"/>
      <w:r w:rsidRPr="006E1A5C">
        <w:rPr>
          <w:sz w:val="24"/>
          <w:szCs w:val="24"/>
        </w:rPr>
        <w:t>instant text block listing safety requirements</w:t>
      </w:r>
      <w:proofErr w:type="gramEnd"/>
      <w:r w:rsidRPr="006E1A5C">
        <w:rPr>
          <w:sz w:val="24"/>
          <w:szCs w:val="24"/>
        </w:rPr>
        <w:t xml:space="preserve"> for drop-off and pick-off operations, ensuring orderly vehicle movement around the pool campus.</w:t>
      </w:r>
    </w:p>
    <w:p w14:paraId="05EB2BAA" w14:textId="3EDAEC3C" w:rsidR="00DB0D69" w:rsidRPr="006E1A5C" w:rsidRDefault="00000000" w:rsidP="006E1A5C">
      <w:pPr>
        <w:pStyle w:val="Heading2"/>
      </w:pPr>
      <w:r w:rsidRPr="006E1A5C">
        <w:t>6. Inter-Page Routing Patterns &amp; Document Object Model Hierarchy</w:t>
      </w:r>
    </w:p>
    <w:p w14:paraId="7CD7C206" w14:textId="6C223F99" w:rsidR="00DB0D69" w:rsidRPr="006E1A5C" w:rsidRDefault="00000000">
      <w:pPr>
        <w:rPr>
          <w:rFonts w:hint="eastAsia"/>
          <w:sz w:val="24"/>
          <w:szCs w:val="24"/>
        </w:rPr>
      </w:pPr>
      <w:r w:rsidRPr="006E1A5C">
        <w:rPr>
          <w:sz w:val="24"/>
          <w:szCs w:val="24"/>
        </w:rPr>
        <w:t>To keep user navigation fluid across multiple distinct pages, the platform utilizes a relative link configuration. The layout architecture applies strict HTML5 structural landmarks to support screen-reader arrays. Every page matches an identical structural template: a high-contrast global header bar with accessible navigation menus, an isolated main element with tabindex properties to manage active focus shifts, and an informative footer containing safety certifications, legal liability notes, and institutional credentials.</w:t>
      </w:r>
    </w:p>
    <w:p w14:paraId="7C3B6600" w14:textId="77777777" w:rsidR="00DB0D69" w:rsidRPr="006E1A5C" w:rsidRDefault="00000000" w:rsidP="006E1A5C">
      <w:pPr>
        <w:pStyle w:val="Heading2"/>
      </w:pPr>
      <w:r w:rsidRPr="006E1A5C">
        <w:t>6.1 Platform Navigation Interface Mappings</w:t>
      </w:r>
    </w:p>
    <w:p w14:paraId="0DC4F7BA" w14:textId="77777777" w:rsidR="00DB0D69" w:rsidRPr="006E1A5C" w:rsidRDefault="00000000">
      <w:pPr>
        <w:rPr>
          <w:rFonts w:hint="eastAsia"/>
          <w:sz w:val="24"/>
          <w:szCs w:val="24"/>
        </w:rPr>
      </w:pPr>
      <w:r w:rsidRPr="006E1A5C">
        <w:rPr>
          <w:sz w:val="24"/>
          <w:szCs w:val="24"/>
        </w:rPr>
        <w:t>The layout map below tracks how core page linkages connect to guide users through conversion and registration pathways:</w:t>
      </w:r>
    </w:p>
    <w:tbl>
      <w:tblPr>
        <w:tblW w:w="0" w:type="auto"/>
        <w:jc w:val="center"/>
        <w:tblLook w:val="04A0" w:firstRow="1" w:lastRow="0" w:firstColumn="1" w:lastColumn="0" w:noHBand="0" w:noVBand="1"/>
      </w:tblPr>
      <w:tblGrid>
        <w:gridCol w:w="3120"/>
        <w:gridCol w:w="3120"/>
        <w:gridCol w:w="3120"/>
      </w:tblGrid>
      <w:tr w:rsidR="00DB0D69" w:rsidRPr="006E1A5C" w14:paraId="263BC0A9" w14:textId="77777777">
        <w:trPr>
          <w:jc w:val="center"/>
        </w:trPr>
        <w:tc>
          <w:tcPr>
            <w:tcW w:w="3120" w:type="dxa"/>
            <w:shd w:val="clear" w:color="auto" w:fill="0F172A"/>
            <w:tcMar>
              <w:top w:w="140" w:type="dxa"/>
              <w:left w:w="180" w:type="dxa"/>
              <w:bottom w:w="140" w:type="dxa"/>
              <w:right w:w="180" w:type="dxa"/>
            </w:tcMar>
          </w:tcPr>
          <w:p w14:paraId="5860596F" w14:textId="77777777" w:rsidR="00DB0D69" w:rsidRPr="006E1A5C" w:rsidRDefault="00000000">
            <w:pPr>
              <w:rPr>
                <w:rFonts w:hint="eastAsia"/>
                <w:sz w:val="24"/>
                <w:szCs w:val="24"/>
              </w:rPr>
            </w:pPr>
            <w:r w:rsidRPr="006E1A5C">
              <w:rPr>
                <w:b/>
                <w:color w:val="FFFFFF"/>
                <w:sz w:val="24"/>
                <w:szCs w:val="24"/>
              </w:rPr>
              <w:t>Source View Layout</w:t>
            </w:r>
          </w:p>
        </w:tc>
        <w:tc>
          <w:tcPr>
            <w:tcW w:w="3120" w:type="dxa"/>
            <w:shd w:val="clear" w:color="auto" w:fill="0F172A"/>
            <w:tcMar>
              <w:top w:w="140" w:type="dxa"/>
              <w:left w:w="180" w:type="dxa"/>
              <w:bottom w:w="140" w:type="dxa"/>
              <w:right w:w="180" w:type="dxa"/>
            </w:tcMar>
          </w:tcPr>
          <w:p w14:paraId="0353E061" w14:textId="77777777" w:rsidR="00DB0D69" w:rsidRPr="006E1A5C" w:rsidRDefault="00000000">
            <w:pPr>
              <w:rPr>
                <w:rFonts w:hint="eastAsia"/>
                <w:sz w:val="24"/>
                <w:szCs w:val="24"/>
              </w:rPr>
            </w:pPr>
            <w:r w:rsidRPr="006E1A5C">
              <w:rPr>
                <w:b/>
                <w:color w:val="FFFFFF"/>
                <w:sz w:val="24"/>
                <w:szCs w:val="24"/>
              </w:rPr>
              <w:t>Target Destination Route</w:t>
            </w:r>
          </w:p>
        </w:tc>
        <w:tc>
          <w:tcPr>
            <w:tcW w:w="3120" w:type="dxa"/>
            <w:shd w:val="clear" w:color="auto" w:fill="0F172A"/>
            <w:tcMar>
              <w:top w:w="140" w:type="dxa"/>
              <w:left w:w="180" w:type="dxa"/>
              <w:bottom w:w="140" w:type="dxa"/>
              <w:right w:w="180" w:type="dxa"/>
            </w:tcMar>
          </w:tcPr>
          <w:p w14:paraId="43D38FAD" w14:textId="77777777" w:rsidR="00DB0D69" w:rsidRPr="006E1A5C" w:rsidRDefault="00000000">
            <w:pPr>
              <w:rPr>
                <w:rFonts w:hint="eastAsia"/>
                <w:sz w:val="24"/>
                <w:szCs w:val="24"/>
              </w:rPr>
            </w:pPr>
            <w:r w:rsidRPr="006E1A5C">
              <w:rPr>
                <w:b/>
                <w:color w:val="FFFFFF"/>
                <w:sz w:val="24"/>
                <w:szCs w:val="24"/>
              </w:rPr>
              <w:t>Strategic User Experience Intent</w:t>
            </w:r>
          </w:p>
        </w:tc>
      </w:tr>
      <w:tr w:rsidR="00DB0D69" w:rsidRPr="006E1A5C" w14:paraId="49BF22F4" w14:textId="77777777">
        <w:trPr>
          <w:jc w:val="center"/>
        </w:trPr>
        <w:tc>
          <w:tcPr>
            <w:tcW w:w="3120" w:type="dxa"/>
            <w:shd w:val="clear" w:color="auto" w:fill="F8FAFC"/>
            <w:tcMar>
              <w:top w:w="140" w:type="dxa"/>
              <w:left w:w="180" w:type="dxa"/>
              <w:bottom w:w="140" w:type="dxa"/>
              <w:right w:w="180" w:type="dxa"/>
            </w:tcMar>
          </w:tcPr>
          <w:p w14:paraId="5D5AD195" w14:textId="77777777" w:rsidR="00DB0D69" w:rsidRPr="006E1A5C" w:rsidRDefault="00000000">
            <w:pPr>
              <w:rPr>
                <w:rFonts w:hint="eastAsia"/>
                <w:sz w:val="24"/>
                <w:szCs w:val="24"/>
              </w:rPr>
            </w:pPr>
            <w:r w:rsidRPr="006E1A5C">
              <w:rPr>
                <w:sz w:val="24"/>
                <w:szCs w:val="24"/>
              </w:rPr>
              <w:lastRenderedPageBreak/>
              <w:t>Landing Hub (index.html)</w:t>
            </w:r>
          </w:p>
        </w:tc>
        <w:tc>
          <w:tcPr>
            <w:tcW w:w="3120" w:type="dxa"/>
            <w:shd w:val="clear" w:color="auto" w:fill="F8FAFC"/>
            <w:tcMar>
              <w:top w:w="140" w:type="dxa"/>
              <w:left w:w="180" w:type="dxa"/>
              <w:bottom w:w="140" w:type="dxa"/>
              <w:right w:w="180" w:type="dxa"/>
            </w:tcMar>
          </w:tcPr>
          <w:p w14:paraId="00273832" w14:textId="77777777" w:rsidR="00DB0D69" w:rsidRPr="006E1A5C" w:rsidRDefault="00000000">
            <w:pPr>
              <w:rPr>
                <w:rFonts w:hint="eastAsia"/>
                <w:sz w:val="24"/>
                <w:szCs w:val="24"/>
              </w:rPr>
            </w:pPr>
            <w:r w:rsidRPr="006E1A5C">
              <w:rPr>
                <w:sz w:val="24"/>
                <w:szCs w:val="24"/>
              </w:rPr>
              <w:t>admission.html</w:t>
            </w:r>
          </w:p>
        </w:tc>
        <w:tc>
          <w:tcPr>
            <w:tcW w:w="3120" w:type="dxa"/>
            <w:shd w:val="clear" w:color="auto" w:fill="F8FAFC"/>
            <w:tcMar>
              <w:top w:w="140" w:type="dxa"/>
              <w:left w:w="180" w:type="dxa"/>
              <w:bottom w:w="140" w:type="dxa"/>
              <w:right w:w="180" w:type="dxa"/>
            </w:tcMar>
          </w:tcPr>
          <w:p w14:paraId="7BA37B53" w14:textId="77777777" w:rsidR="00DB0D69" w:rsidRPr="006E1A5C" w:rsidRDefault="00000000">
            <w:pPr>
              <w:rPr>
                <w:rFonts w:hint="eastAsia"/>
                <w:sz w:val="24"/>
                <w:szCs w:val="24"/>
              </w:rPr>
            </w:pPr>
            <w:r w:rsidRPr="006E1A5C">
              <w:rPr>
                <w:sz w:val="24"/>
                <w:szCs w:val="24"/>
              </w:rPr>
              <w:t>Directs high-intent parents immediately to the student registration form.</w:t>
            </w:r>
          </w:p>
        </w:tc>
      </w:tr>
      <w:tr w:rsidR="00DB0D69" w:rsidRPr="006E1A5C" w14:paraId="168B5DD7" w14:textId="77777777">
        <w:trPr>
          <w:jc w:val="center"/>
        </w:trPr>
        <w:tc>
          <w:tcPr>
            <w:tcW w:w="3120" w:type="dxa"/>
            <w:tcMar>
              <w:top w:w="140" w:type="dxa"/>
              <w:left w:w="180" w:type="dxa"/>
              <w:bottom w:w="140" w:type="dxa"/>
              <w:right w:w="180" w:type="dxa"/>
            </w:tcMar>
          </w:tcPr>
          <w:p w14:paraId="44ACBFFC" w14:textId="77777777" w:rsidR="00DB0D69" w:rsidRPr="006E1A5C" w:rsidRDefault="00000000">
            <w:pPr>
              <w:rPr>
                <w:rFonts w:hint="eastAsia"/>
                <w:sz w:val="24"/>
                <w:szCs w:val="24"/>
              </w:rPr>
            </w:pPr>
            <w:r w:rsidRPr="006E1A5C">
              <w:rPr>
                <w:sz w:val="24"/>
                <w:szCs w:val="24"/>
              </w:rPr>
              <w:t>Landing Hub (index.html)</w:t>
            </w:r>
          </w:p>
        </w:tc>
        <w:tc>
          <w:tcPr>
            <w:tcW w:w="3120" w:type="dxa"/>
            <w:tcMar>
              <w:top w:w="140" w:type="dxa"/>
              <w:left w:w="180" w:type="dxa"/>
              <w:bottom w:w="140" w:type="dxa"/>
              <w:right w:w="180" w:type="dxa"/>
            </w:tcMar>
          </w:tcPr>
          <w:p w14:paraId="324DFC1E" w14:textId="77777777" w:rsidR="00DB0D69" w:rsidRPr="006E1A5C" w:rsidRDefault="00000000">
            <w:pPr>
              <w:rPr>
                <w:rFonts w:hint="eastAsia"/>
                <w:sz w:val="24"/>
                <w:szCs w:val="24"/>
              </w:rPr>
            </w:pPr>
            <w:r w:rsidRPr="006E1A5C">
              <w:rPr>
                <w:sz w:val="24"/>
                <w:szCs w:val="24"/>
              </w:rPr>
              <w:t>programs.html</w:t>
            </w:r>
          </w:p>
        </w:tc>
        <w:tc>
          <w:tcPr>
            <w:tcW w:w="3120" w:type="dxa"/>
            <w:tcMar>
              <w:top w:w="140" w:type="dxa"/>
              <w:left w:w="180" w:type="dxa"/>
              <w:bottom w:w="140" w:type="dxa"/>
              <w:right w:w="180" w:type="dxa"/>
            </w:tcMar>
          </w:tcPr>
          <w:p w14:paraId="74CDCF01" w14:textId="77777777" w:rsidR="00DB0D69" w:rsidRPr="006E1A5C" w:rsidRDefault="00000000">
            <w:pPr>
              <w:rPr>
                <w:rFonts w:hint="eastAsia"/>
                <w:sz w:val="24"/>
                <w:szCs w:val="24"/>
              </w:rPr>
            </w:pPr>
            <w:r w:rsidRPr="006E1A5C">
              <w:rPr>
                <w:sz w:val="24"/>
                <w:szCs w:val="24"/>
              </w:rPr>
              <w:t>Provides rapid educational routing to skill progression definitions.</w:t>
            </w:r>
          </w:p>
        </w:tc>
      </w:tr>
      <w:tr w:rsidR="00DB0D69" w:rsidRPr="006E1A5C" w14:paraId="259778DA" w14:textId="77777777">
        <w:trPr>
          <w:jc w:val="center"/>
        </w:trPr>
        <w:tc>
          <w:tcPr>
            <w:tcW w:w="3120" w:type="dxa"/>
            <w:shd w:val="clear" w:color="auto" w:fill="F8FAFC"/>
            <w:tcMar>
              <w:top w:w="140" w:type="dxa"/>
              <w:left w:w="180" w:type="dxa"/>
              <w:bottom w:w="140" w:type="dxa"/>
              <w:right w:w="180" w:type="dxa"/>
            </w:tcMar>
          </w:tcPr>
          <w:p w14:paraId="7B9BB9F9" w14:textId="77777777" w:rsidR="00DB0D69" w:rsidRPr="006E1A5C" w:rsidRDefault="00000000">
            <w:pPr>
              <w:rPr>
                <w:rFonts w:hint="eastAsia"/>
                <w:sz w:val="24"/>
                <w:szCs w:val="24"/>
              </w:rPr>
            </w:pPr>
            <w:r w:rsidRPr="006E1A5C">
              <w:rPr>
                <w:sz w:val="24"/>
                <w:szCs w:val="24"/>
              </w:rPr>
              <w:t>Programs List (programs.html)</w:t>
            </w:r>
          </w:p>
        </w:tc>
        <w:tc>
          <w:tcPr>
            <w:tcW w:w="3120" w:type="dxa"/>
            <w:shd w:val="clear" w:color="auto" w:fill="F8FAFC"/>
            <w:tcMar>
              <w:top w:w="140" w:type="dxa"/>
              <w:left w:w="180" w:type="dxa"/>
              <w:bottom w:w="140" w:type="dxa"/>
              <w:right w:w="180" w:type="dxa"/>
            </w:tcMar>
          </w:tcPr>
          <w:p w14:paraId="203A807E" w14:textId="77777777" w:rsidR="00DB0D69" w:rsidRPr="006E1A5C" w:rsidRDefault="00000000">
            <w:pPr>
              <w:rPr>
                <w:rFonts w:hint="eastAsia"/>
                <w:sz w:val="24"/>
                <w:szCs w:val="24"/>
              </w:rPr>
            </w:pPr>
            <w:r w:rsidRPr="006E1A5C">
              <w:rPr>
                <w:sz w:val="24"/>
                <w:szCs w:val="24"/>
              </w:rPr>
              <w:t>admission.html</w:t>
            </w:r>
          </w:p>
        </w:tc>
        <w:tc>
          <w:tcPr>
            <w:tcW w:w="3120" w:type="dxa"/>
            <w:shd w:val="clear" w:color="auto" w:fill="F8FAFC"/>
            <w:tcMar>
              <w:top w:w="140" w:type="dxa"/>
              <w:left w:w="180" w:type="dxa"/>
              <w:bottom w:w="140" w:type="dxa"/>
              <w:right w:w="180" w:type="dxa"/>
            </w:tcMar>
          </w:tcPr>
          <w:p w14:paraId="7F601F23" w14:textId="77777777" w:rsidR="00DB0D69" w:rsidRPr="006E1A5C" w:rsidRDefault="00000000">
            <w:pPr>
              <w:rPr>
                <w:rFonts w:hint="eastAsia"/>
                <w:sz w:val="24"/>
                <w:szCs w:val="24"/>
              </w:rPr>
            </w:pPr>
            <w:r w:rsidRPr="006E1A5C">
              <w:rPr>
                <w:sz w:val="24"/>
                <w:szCs w:val="24"/>
              </w:rPr>
              <w:t>Converts curriculum exploration immediately into course enrollment requests.</w:t>
            </w:r>
          </w:p>
        </w:tc>
      </w:tr>
      <w:tr w:rsidR="00DB0D69" w:rsidRPr="006E1A5C" w14:paraId="65BDC14F" w14:textId="77777777">
        <w:trPr>
          <w:jc w:val="center"/>
        </w:trPr>
        <w:tc>
          <w:tcPr>
            <w:tcW w:w="3120" w:type="dxa"/>
            <w:tcMar>
              <w:top w:w="140" w:type="dxa"/>
              <w:left w:w="180" w:type="dxa"/>
              <w:bottom w:w="140" w:type="dxa"/>
              <w:right w:w="180" w:type="dxa"/>
            </w:tcMar>
          </w:tcPr>
          <w:p w14:paraId="3F0415D7" w14:textId="77777777" w:rsidR="00DB0D69" w:rsidRPr="006E1A5C" w:rsidRDefault="00000000">
            <w:pPr>
              <w:rPr>
                <w:rFonts w:hint="eastAsia"/>
                <w:sz w:val="24"/>
                <w:szCs w:val="24"/>
              </w:rPr>
            </w:pPr>
            <w:r w:rsidRPr="006E1A5C">
              <w:rPr>
                <w:sz w:val="24"/>
                <w:szCs w:val="24"/>
              </w:rPr>
              <w:t>Awards Ledger (achievements.html)</w:t>
            </w:r>
          </w:p>
        </w:tc>
        <w:tc>
          <w:tcPr>
            <w:tcW w:w="3120" w:type="dxa"/>
            <w:tcMar>
              <w:top w:w="140" w:type="dxa"/>
              <w:left w:w="180" w:type="dxa"/>
              <w:bottom w:w="140" w:type="dxa"/>
              <w:right w:w="180" w:type="dxa"/>
            </w:tcMar>
          </w:tcPr>
          <w:p w14:paraId="1AC6C05C" w14:textId="77777777" w:rsidR="00DB0D69" w:rsidRPr="006E1A5C" w:rsidRDefault="00000000">
            <w:pPr>
              <w:rPr>
                <w:rFonts w:hint="eastAsia"/>
                <w:sz w:val="24"/>
                <w:szCs w:val="24"/>
              </w:rPr>
            </w:pPr>
            <w:r w:rsidRPr="006E1A5C">
              <w:rPr>
                <w:sz w:val="24"/>
                <w:szCs w:val="24"/>
              </w:rPr>
              <w:t>about.html</w:t>
            </w:r>
          </w:p>
        </w:tc>
        <w:tc>
          <w:tcPr>
            <w:tcW w:w="3120" w:type="dxa"/>
            <w:tcMar>
              <w:top w:w="140" w:type="dxa"/>
              <w:left w:w="180" w:type="dxa"/>
              <w:bottom w:w="140" w:type="dxa"/>
              <w:right w:w="180" w:type="dxa"/>
            </w:tcMar>
          </w:tcPr>
          <w:p w14:paraId="55CE4870" w14:textId="77777777" w:rsidR="00DB0D69" w:rsidRPr="006E1A5C" w:rsidRDefault="00000000">
            <w:pPr>
              <w:rPr>
                <w:rFonts w:hint="eastAsia"/>
                <w:sz w:val="24"/>
                <w:szCs w:val="24"/>
              </w:rPr>
            </w:pPr>
            <w:r w:rsidRPr="006E1A5C">
              <w:rPr>
                <w:sz w:val="24"/>
                <w:szCs w:val="24"/>
              </w:rPr>
              <w:t>Validates athletic success by linking back to coaching staff bio pages.</w:t>
            </w:r>
          </w:p>
        </w:tc>
      </w:tr>
      <w:tr w:rsidR="00DB0D69" w:rsidRPr="006E1A5C" w14:paraId="19DB7D87" w14:textId="77777777">
        <w:trPr>
          <w:jc w:val="center"/>
        </w:trPr>
        <w:tc>
          <w:tcPr>
            <w:tcW w:w="3120" w:type="dxa"/>
            <w:shd w:val="clear" w:color="auto" w:fill="F8FAFC"/>
            <w:tcMar>
              <w:top w:w="140" w:type="dxa"/>
              <w:left w:w="180" w:type="dxa"/>
              <w:bottom w:w="140" w:type="dxa"/>
              <w:right w:w="180" w:type="dxa"/>
            </w:tcMar>
          </w:tcPr>
          <w:p w14:paraId="3BADDE9F" w14:textId="77777777" w:rsidR="00DB0D69" w:rsidRPr="006E1A5C" w:rsidRDefault="00000000">
            <w:pPr>
              <w:rPr>
                <w:rFonts w:hint="eastAsia"/>
                <w:sz w:val="24"/>
                <w:szCs w:val="24"/>
              </w:rPr>
            </w:pPr>
            <w:r w:rsidRPr="006E1A5C">
              <w:rPr>
                <w:sz w:val="24"/>
                <w:szCs w:val="24"/>
              </w:rPr>
              <w:t>About Board (about.html)</w:t>
            </w:r>
          </w:p>
        </w:tc>
        <w:tc>
          <w:tcPr>
            <w:tcW w:w="3120" w:type="dxa"/>
            <w:shd w:val="clear" w:color="auto" w:fill="F8FAFC"/>
            <w:tcMar>
              <w:top w:w="140" w:type="dxa"/>
              <w:left w:w="180" w:type="dxa"/>
              <w:bottom w:w="140" w:type="dxa"/>
              <w:right w:w="180" w:type="dxa"/>
            </w:tcMar>
          </w:tcPr>
          <w:p w14:paraId="18425B52" w14:textId="77777777" w:rsidR="00DB0D69" w:rsidRPr="006E1A5C" w:rsidRDefault="00000000">
            <w:pPr>
              <w:rPr>
                <w:rFonts w:hint="eastAsia"/>
                <w:sz w:val="24"/>
                <w:szCs w:val="24"/>
              </w:rPr>
            </w:pPr>
            <w:r w:rsidRPr="006E1A5C">
              <w:rPr>
                <w:sz w:val="24"/>
                <w:szCs w:val="24"/>
              </w:rPr>
              <w:t>contact.html</w:t>
            </w:r>
          </w:p>
        </w:tc>
        <w:tc>
          <w:tcPr>
            <w:tcW w:w="3120" w:type="dxa"/>
            <w:shd w:val="clear" w:color="auto" w:fill="F8FAFC"/>
            <w:tcMar>
              <w:top w:w="140" w:type="dxa"/>
              <w:left w:w="180" w:type="dxa"/>
              <w:bottom w:w="140" w:type="dxa"/>
              <w:right w:w="180" w:type="dxa"/>
            </w:tcMar>
          </w:tcPr>
          <w:p w14:paraId="44B61F4C" w14:textId="77777777" w:rsidR="00DB0D69" w:rsidRPr="006E1A5C" w:rsidRDefault="00000000">
            <w:pPr>
              <w:rPr>
                <w:rFonts w:hint="eastAsia"/>
                <w:sz w:val="24"/>
                <w:szCs w:val="24"/>
              </w:rPr>
            </w:pPr>
            <w:r w:rsidRPr="006E1A5C">
              <w:rPr>
                <w:sz w:val="24"/>
                <w:szCs w:val="24"/>
              </w:rPr>
              <w:t>Routes families to map coordinates to audit pool facilities in person.</w:t>
            </w:r>
          </w:p>
        </w:tc>
      </w:tr>
    </w:tbl>
    <w:p w14:paraId="79142C6E" w14:textId="226F7C32" w:rsidR="00DB0D69" w:rsidRPr="006E1A5C" w:rsidRDefault="00000000" w:rsidP="006E1A5C">
      <w:pPr>
        <w:pStyle w:val="Heading2"/>
      </w:pPr>
      <w:r w:rsidRPr="006E1A5C">
        <w:t>7. Presentational Engineering, Custom Properties, &amp; Visual Tokens</w:t>
      </w:r>
    </w:p>
    <w:p w14:paraId="15F95DF1" w14:textId="77777777" w:rsidR="00DB0D69" w:rsidRPr="006E1A5C" w:rsidRDefault="00000000">
      <w:pPr>
        <w:rPr>
          <w:rFonts w:hint="eastAsia"/>
          <w:sz w:val="24"/>
          <w:szCs w:val="24"/>
        </w:rPr>
      </w:pPr>
      <w:r w:rsidRPr="006E1A5C">
        <w:rPr>
          <w:sz w:val="24"/>
          <w:szCs w:val="24"/>
        </w:rPr>
        <w:t>The presentation engine for Stackly Swimming School decouples aesthetic styling from document content. Centralizing visual rules within custom variables inside the root element allows developers to update colors or text scales site-wide from a single style sheet.</w:t>
      </w:r>
    </w:p>
    <w:p w14:paraId="1A95A245" w14:textId="77777777" w:rsidR="00DB0D69" w:rsidRPr="006E1A5C" w:rsidRDefault="00000000" w:rsidP="006E1A5C">
      <w:pPr>
        <w:pStyle w:val="Heading2"/>
      </w:pPr>
      <w:r w:rsidRPr="006E1A5C">
        <w:lastRenderedPageBreak/>
        <w:t>7.1 Production Style Token Architecture Specs</w:t>
      </w:r>
    </w:p>
    <w:p w14:paraId="797F01FC" w14:textId="77777777" w:rsidR="00DB0D69" w:rsidRPr="006E1A5C" w:rsidRDefault="00000000">
      <w:pPr>
        <w:rPr>
          <w:rFonts w:hint="eastAsia"/>
          <w:sz w:val="24"/>
          <w:szCs w:val="24"/>
        </w:rPr>
      </w:pPr>
      <w:r w:rsidRPr="006E1A5C">
        <w:rPr>
          <w:sz w:val="24"/>
          <w:szCs w:val="24"/>
        </w:rPr>
        <w:t>The application relies on a strict set of design tokens to maintain a uniform brand presence across all pages:</w:t>
      </w:r>
    </w:p>
    <w:p w14:paraId="187C2758" w14:textId="77777777" w:rsidR="00DB0D69" w:rsidRPr="006E1A5C" w:rsidRDefault="00000000">
      <w:pPr>
        <w:pStyle w:val="ListBullet"/>
        <w:rPr>
          <w:rFonts w:hint="eastAsia"/>
          <w:sz w:val="24"/>
          <w:szCs w:val="24"/>
        </w:rPr>
      </w:pPr>
      <w:r w:rsidRPr="006E1A5C">
        <w:rPr>
          <w:sz w:val="24"/>
          <w:szCs w:val="24"/>
        </w:rPr>
        <w:t>Corporate Color Palette: The primary color selector maps to a professional Sky Blue (#0284c7), reflecting clarity and aquatic performance. The secondary color uses a deep slate charcoal (#0f172a) for structural headings, and body text styles apply neutral slate tones (#334155) to guarantee comfortable readability scores.</w:t>
      </w:r>
    </w:p>
    <w:p w14:paraId="6DFE2C1D" w14:textId="77777777" w:rsidR="00DB0D69" w:rsidRPr="006E1A5C" w:rsidRDefault="00000000">
      <w:pPr>
        <w:pStyle w:val="ListBullet"/>
        <w:rPr>
          <w:rFonts w:hint="eastAsia"/>
          <w:sz w:val="24"/>
          <w:szCs w:val="24"/>
        </w:rPr>
      </w:pPr>
      <w:r w:rsidRPr="006E1A5C">
        <w:rPr>
          <w:sz w:val="24"/>
          <w:szCs w:val="24"/>
        </w:rPr>
        <w:t>System Feedback Indicators: Layout alert rules use specific error tints—such as a deep warning red (#ef4444)—to flag invalid form entries or system exceptions clearly.</w:t>
      </w:r>
    </w:p>
    <w:p w14:paraId="4AEF49DF" w14:textId="77777777" w:rsidR="00DB0D69" w:rsidRPr="006E1A5C" w:rsidRDefault="00000000">
      <w:pPr>
        <w:pStyle w:val="ListBullet"/>
        <w:rPr>
          <w:rFonts w:hint="eastAsia"/>
          <w:sz w:val="24"/>
          <w:szCs w:val="24"/>
        </w:rPr>
      </w:pPr>
      <w:r w:rsidRPr="006E1A5C">
        <w:rPr>
          <w:sz w:val="24"/>
          <w:szCs w:val="24"/>
        </w:rPr>
        <w:t>Fluid Typography Vector Systems: Built around a clean, professional font family ('Segoe UI', system-ui). Font sizes scale dynamically using fluid calculation values (headers resize smoothly between 2rem and 3.5rem based on screen widths), preventing text layout collisions.</w:t>
      </w:r>
    </w:p>
    <w:p w14:paraId="58F1DB3C" w14:textId="77777777" w:rsidR="00DB0D69" w:rsidRPr="006E1A5C" w:rsidRDefault="00000000">
      <w:pPr>
        <w:pStyle w:val="ListBullet"/>
        <w:rPr>
          <w:rFonts w:hint="eastAsia"/>
          <w:sz w:val="24"/>
          <w:szCs w:val="24"/>
        </w:rPr>
      </w:pPr>
      <w:r w:rsidRPr="006E1A5C">
        <w:rPr>
          <w:sz w:val="24"/>
          <w:szCs w:val="24"/>
        </w:rPr>
        <w:t>Structured Sizing Proportions: Element spacings apply relative rem increments (small limits at 0.5rem, intermediate layouts at 1rem, and wide blocks at 2rem) to maintain balanced white space across content sections.</w:t>
      </w:r>
    </w:p>
    <w:p w14:paraId="0C6F2BE7" w14:textId="7E92EB87" w:rsidR="00DB0D69" w:rsidRPr="006E1A5C" w:rsidRDefault="00000000" w:rsidP="006E1A5C">
      <w:pPr>
        <w:pStyle w:val="Heading2"/>
      </w:pPr>
      <w:r w:rsidRPr="006E1A5C">
        <w:t>8. Responsive Layout Mechanics, Grid Frameworks, &amp; Viewport Adaptability</w:t>
      </w:r>
    </w:p>
    <w:p w14:paraId="1FF3FD49" w14:textId="77777777" w:rsidR="00DB0D69" w:rsidRPr="006E1A5C" w:rsidRDefault="00000000">
      <w:pPr>
        <w:rPr>
          <w:rFonts w:hint="eastAsia"/>
          <w:sz w:val="24"/>
          <w:szCs w:val="24"/>
        </w:rPr>
      </w:pPr>
      <w:r w:rsidRPr="006E1A5C">
        <w:rPr>
          <w:sz w:val="24"/>
          <w:szCs w:val="24"/>
        </w:rPr>
        <w:t>To ensure that course details and training grids display clearly whether viewed on an office ultra-wide display or a mobile device at the pool, the presentational framework uses fluid responsive mechanics.</w:t>
      </w:r>
    </w:p>
    <w:p w14:paraId="6E488E1E" w14:textId="77777777" w:rsidR="00DB0D69" w:rsidRPr="006E1A5C" w:rsidRDefault="00000000" w:rsidP="006E1A5C">
      <w:pPr>
        <w:pStyle w:val="Heading2"/>
      </w:pPr>
      <w:r w:rsidRPr="006E1A5C">
        <w:t>8.1 Layout Normalization &amp; Universal Reset Patterns</w:t>
      </w:r>
    </w:p>
    <w:p w14:paraId="7081025E" w14:textId="77777777" w:rsidR="00DB0D69" w:rsidRPr="006E1A5C" w:rsidRDefault="00000000">
      <w:pPr>
        <w:rPr>
          <w:rFonts w:hint="eastAsia"/>
          <w:sz w:val="24"/>
          <w:szCs w:val="24"/>
        </w:rPr>
      </w:pPr>
      <w:r w:rsidRPr="006E1A5C">
        <w:rPr>
          <w:sz w:val="24"/>
          <w:szCs w:val="24"/>
        </w:rPr>
        <w:t>Every stylesheet layout starts with a strict box-sizing reset rule. This configures elements to calculate borders and internal paddings within their overall defined widths, preventing rendering differences across different browser layout engines.</w:t>
      </w:r>
    </w:p>
    <w:p w14:paraId="2044B887" w14:textId="77777777" w:rsidR="00DB0D69" w:rsidRPr="006E1A5C" w:rsidRDefault="00000000" w:rsidP="006E1A5C">
      <w:pPr>
        <w:pStyle w:val="Heading2"/>
      </w:pPr>
      <w:r w:rsidRPr="006E1A5C">
        <w:lastRenderedPageBreak/>
        <w:t>8.2 Fluid Grid Systems &amp; Fluid Component Cards</w:t>
      </w:r>
    </w:p>
    <w:p w14:paraId="0767C792" w14:textId="77777777" w:rsidR="00DB0D69" w:rsidRPr="006E1A5C" w:rsidRDefault="00000000">
      <w:pPr>
        <w:rPr>
          <w:rFonts w:hint="eastAsia"/>
          <w:sz w:val="24"/>
          <w:szCs w:val="24"/>
        </w:rPr>
      </w:pPr>
      <w:r w:rsidRPr="006E1A5C">
        <w:rPr>
          <w:sz w:val="24"/>
          <w:szCs w:val="24"/>
        </w:rPr>
        <w:t>The program boards, coaching listings, and awards metrics are arranged inside flexible grid containers. By defining grid profiles with an auto-fit template using minmax restrictions (setting a 280px minimum boundary and a 1-fraction maximum expand limit), cards rearrange automatically as browser widths change. This responsive system ensures smooth presentation layouts without relying on excessive device breakpoints.</w:t>
      </w:r>
    </w:p>
    <w:p w14:paraId="335FEC2E" w14:textId="77777777" w:rsidR="00DB0D69" w:rsidRPr="006E1A5C" w:rsidRDefault="00000000" w:rsidP="006E1A5C">
      <w:pPr>
        <w:pStyle w:val="Heading2"/>
      </w:pPr>
      <w:r w:rsidRPr="006E1A5C">
        <w:t>8.3 Viewport Media Query Breakpoint Strategies</w:t>
      </w:r>
    </w:p>
    <w:p w14:paraId="01F466C6" w14:textId="77777777" w:rsidR="00DB0D69" w:rsidRPr="006E1A5C" w:rsidRDefault="00000000">
      <w:pPr>
        <w:rPr>
          <w:rFonts w:hint="eastAsia"/>
          <w:sz w:val="24"/>
          <w:szCs w:val="24"/>
        </w:rPr>
      </w:pPr>
      <w:r w:rsidRPr="006E1A5C">
        <w:rPr>
          <w:sz w:val="24"/>
          <w:szCs w:val="24"/>
        </w:rPr>
        <w:t>When viewport boundaries drop past a standard 768px small-screen limit, the system triggers targeted style overrides. The horizontal navigation list converts into a vertical side menu, hidden off-screen to preserve limited real estate. Its visibility states are managed dynamically by client script files, ensuring smooth interactions on mobile layouts.</w:t>
      </w:r>
    </w:p>
    <w:p w14:paraId="54D8AB72" w14:textId="6B36781D" w:rsidR="00DB0D69" w:rsidRPr="006E1A5C" w:rsidRDefault="00000000" w:rsidP="006E1A5C">
      <w:pPr>
        <w:pStyle w:val="Heading2"/>
      </w:pPr>
      <w:r w:rsidRPr="006E1A5C">
        <w:t>9. Behavioral Logic Engineering, Interaction Scopes</w:t>
      </w:r>
    </w:p>
    <w:p w14:paraId="173629D4" w14:textId="77777777" w:rsidR="00DB0D69" w:rsidRPr="006E1A5C" w:rsidRDefault="00000000">
      <w:pPr>
        <w:rPr>
          <w:rFonts w:hint="eastAsia"/>
          <w:sz w:val="24"/>
          <w:szCs w:val="24"/>
        </w:rPr>
      </w:pPr>
      <w:r w:rsidRPr="006E1A5C">
        <w:rPr>
          <w:sz w:val="24"/>
          <w:szCs w:val="24"/>
        </w:rPr>
        <w:t>The dynamic layer of Stackly Swimming School runs on clean, native JavaScript logic. This zero-dependency setup improves security by eliminating external libraries, and ensures rapid script processing on both desktop and mobile devices.</w:t>
      </w:r>
    </w:p>
    <w:p w14:paraId="13EF75B2" w14:textId="77777777" w:rsidR="00DB0D69" w:rsidRPr="006E1A5C" w:rsidRDefault="00000000" w:rsidP="006E1A5C">
      <w:pPr>
        <w:pStyle w:val="Heading2"/>
      </w:pPr>
      <w:r w:rsidRPr="006E1A5C">
        <w:t>9.1 Functional Scoping &amp; Safe Execution Frameworks</w:t>
      </w:r>
    </w:p>
    <w:p w14:paraId="6482F2AC" w14:textId="77777777" w:rsidR="00DB0D69" w:rsidRPr="006E1A5C" w:rsidRDefault="00000000">
      <w:pPr>
        <w:rPr>
          <w:rFonts w:hint="eastAsia"/>
          <w:sz w:val="24"/>
          <w:szCs w:val="24"/>
        </w:rPr>
      </w:pPr>
      <w:r w:rsidRPr="006E1A5C">
        <w:rPr>
          <w:sz w:val="24"/>
          <w:szCs w:val="24"/>
        </w:rPr>
        <w:t>Every interactive script is isolated inside a closed function scope and executes under strict evaluation settings ('use strict'). This engineering standard prevents global variable conflicts, manages memory allocations safely, and blocks unintended script variations inside client environments.</w:t>
      </w:r>
    </w:p>
    <w:p w14:paraId="0EA4957E" w14:textId="77777777" w:rsidR="00DB0D69" w:rsidRPr="006E1A5C" w:rsidRDefault="00000000" w:rsidP="006E1A5C">
      <w:pPr>
        <w:pStyle w:val="Heading2"/>
      </w:pPr>
      <w:r w:rsidRPr="006E1A5C">
        <w:t>9.2 Responsive Menu Interaction Handlers</w:t>
      </w:r>
    </w:p>
    <w:p w14:paraId="5B07B08E" w14:textId="77777777" w:rsidR="00DB0D69" w:rsidRPr="006E1A5C" w:rsidRDefault="00000000">
      <w:pPr>
        <w:rPr>
          <w:rFonts w:hint="eastAsia"/>
          <w:sz w:val="24"/>
          <w:szCs w:val="24"/>
        </w:rPr>
      </w:pPr>
      <w:r w:rsidRPr="006E1A5C">
        <w:rPr>
          <w:sz w:val="24"/>
          <w:szCs w:val="24"/>
        </w:rPr>
        <w:t>The navigation logic tracks tap events on the mobile menu buttons. When clicked, the script updates the element's accessibility status and alters helper visibility classes to show or hide the navigation menu, keeping the interface fully scannable for screen readers.</w:t>
      </w:r>
    </w:p>
    <w:p w14:paraId="510D10C0" w14:textId="77777777" w:rsidR="00DB0D69" w:rsidRPr="006E1A5C" w:rsidRDefault="00000000" w:rsidP="006E1A5C">
      <w:pPr>
        <w:pStyle w:val="Heading2"/>
      </w:pPr>
      <w:r w:rsidRPr="006E1A5C">
        <w:lastRenderedPageBreak/>
        <w:t>9.3 Passive Event Scroll Processing</w:t>
      </w:r>
    </w:p>
    <w:p w14:paraId="135E7F44" w14:textId="77777777" w:rsidR="00AF7282" w:rsidRPr="006E1A5C" w:rsidRDefault="00000000" w:rsidP="00AF7282">
      <w:pPr>
        <w:rPr>
          <w:sz w:val="24"/>
          <w:szCs w:val="24"/>
        </w:rPr>
      </w:pPr>
      <w:r w:rsidRPr="006E1A5C">
        <w:rPr>
          <w:sz w:val="24"/>
          <w:szCs w:val="24"/>
        </w:rPr>
        <w:t>To create clean visual design hierarchy during page navigation, the core script monitors window movement events. By using passive configurations, the logic updates the top navigation bar's appearance as users scroll past a 60px line without slowing down text rendering or causing layout lag.</w:t>
      </w:r>
    </w:p>
    <w:p w14:paraId="78BEC8E7" w14:textId="166DF50C" w:rsidR="00DB0D69" w:rsidRPr="006E1A5C" w:rsidRDefault="00000000" w:rsidP="006E1A5C">
      <w:pPr>
        <w:pStyle w:val="Heading2"/>
      </w:pPr>
      <w:r w:rsidRPr="006E1A5C">
        <w:t>10. Integrated Development Tooling Stack &amp; Conclusion</w:t>
      </w:r>
    </w:p>
    <w:p w14:paraId="4A2E4A51" w14:textId="77777777" w:rsidR="00DB0D69" w:rsidRPr="006E1A5C" w:rsidRDefault="00000000">
      <w:pPr>
        <w:rPr>
          <w:rFonts w:hint="eastAsia"/>
          <w:sz w:val="24"/>
          <w:szCs w:val="24"/>
        </w:rPr>
      </w:pPr>
      <w:r w:rsidRPr="006E1A5C">
        <w:rPr>
          <w:sz w:val="24"/>
          <w:szCs w:val="24"/>
        </w:rPr>
        <w:t>To maintain high performance and code consistency across development iterations, Stackly Swimming School utilizes an established development tooling structure paired with automated deployment systems.</w:t>
      </w:r>
    </w:p>
    <w:p w14:paraId="6CE5DDC4" w14:textId="77777777" w:rsidR="00DB0D69" w:rsidRPr="006E1A5C" w:rsidRDefault="00000000" w:rsidP="006E1A5C">
      <w:pPr>
        <w:pStyle w:val="Heading2"/>
      </w:pPr>
      <w:r w:rsidRPr="006E1A5C">
        <w:t>10.1 Standard Development Workspace Tooling Stack</w:t>
      </w:r>
    </w:p>
    <w:p w14:paraId="497987F6" w14:textId="77777777" w:rsidR="00DB0D69" w:rsidRPr="006E1A5C" w:rsidRDefault="00000000">
      <w:pPr>
        <w:rPr>
          <w:rFonts w:hint="eastAsia"/>
          <w:sz w:val="24"/>
          <w:szCs w:val="24"/>
        </w:rPr>
      </w:pPr>
      <w:r w:rsidRPr="006E1A5C">
        <w:rPr>
          <w:sz w:val="24"/>
          <w:szCs w:val="24"/>
        </w:rPr>
        <w:t>The engineering workspace uses specialized utilities to align formatting patterns and ensure quick local testing cycles:</w:t>
      </w:r>
    </w:p>
    <w:p w14:paraId="5661C79A" w14:textId="77777777" w:rsidR="00DB0D69" w:rsidRPr="006E1A5C" w:rsidRDefault="00000000">
      <w:pPr>
        <w:pStyle w:val="ListBullet"/>
        <w:rPr>
          <w:rFonts w:hint="eastAsia"/>
          <w:sz w:val="24"/>
          <w:szCs w:val="24"/>
        </w:rPr>
      </w:pPr>
      <w:r w:rsidRPr="006E1A5C">
        <w:rPr>
          <w:sz w:val="24"/>
          <w:szCs w:val="24"/>
        </w:rPr>
        <w:t>Integrated Coding Environments: Visual Studio Code serves as the primary code builder, using synchronized workspace settings to enforce matching indentation steps, tab sizes, and character sets across all files.</w:t>
      </w:r>
    </w:p>
    <w:p w14:paraId="474FF19D" w14:textId="605A22F9" w:rsidR="00DB0D69" w:rsidRPr="006E1A5C" w:rsidRDefault="00000000" w:rsidP="00AF7282">
      <w:pPr>
        <w:pStyle w:val="ListBullet"/>
        <w:rPr>
          <w:rFonts w:hint="eastAsia"/>
          <w:sz w:val="24"/>
          <w:szCs w:val="24"/>
        </w:rPr>
      </w:pPr>
      <w:r w:rsidRPr="006E1A5C">
        <w:rPr>
          <w:sz w:val="24"/>
          <w:szCs w:val="24"/>
        </w:rPr>
        <w:t xml:space="preserve">Real-Time Preview Servers: Engineers use the VS Code Live Server tool to run localized testing instances with auto-reloading features, enabling immediate evaluation of layout styling updates and form validation </w:t>
      </w:r>
      <w:proofErr w:type="gramStart"/>
      <w:r w:rsidRPr="006E1A5C">
        <w:rPr>
          <w:sz w:val="24"/>
          <w:szCs w:val="24"/>
        </w:rPr>
        <w:t>behaviors..</w:t>
      </w:r>
      <w:proofErr w:type="gramEnd"/>
    </w:p>
    <w:p w14:paraId="48084039" w14:textId="50731BB7" w:rsidR="00DB0D69" w:rsidRPr="006E1A5C" w:rsidRDefault="00000000" w:rsidP="006E1A5C">
      <w:pPr>
        <w:pStyle w:val="Heading2"/>
      </w:pPr>
      <w:r w:rsidRPr="006E1A5C">
        <w:t>10.</w:t>
      </w:r>
      <w:r w:rsidR="00AF7282" w:rsidRPr="006E1A5C">
        <w:t>2</w:t>
      </w:r>
      <w:r w:rsidRPr="006E1A5C">
        <w:t xml:space="preserve"> System Conclusion &amp; Operational Summary</w:t>
      </w:r>
    </w:p>
    <w:p w14:paraId="7F94A7FD" w14:textId="77777777" w:rsidR="00DB0D69" w:rsidRPr="006E1A5C" w:rsidRDefault="00000000">
      <w:pPr>
        <w:rPr>
          <w:rFonts w:hint="eastAsia"/>
          <w:sz w:val="24"/>
          <w:szCs w:val="24"/>
        </w:rPr>
      </w:pPr>
      <w:r w:rsidRPr="006E1A5C">
        <w:rPr>
          <w:sz w:val="24"/>
          <w:szCs w:val="24"/>
        </w:rPr>
        <w:t>The architectural design of the Stackly Swimming School web platform provides a secure, performant, and reliable web workspace. By using native front-end web standards—built on semantic HTML5 markup, responsive CSS3 variables, and clean vanilla JavaScript ES6+ logic—the system completely removes backend calculation overhead, lowers the infrastructure vulnerability surface, and avoids complex external dependency management cycles.</w:t>
      </w:r>
    </w:p>
    <w:p w14:paraId="04FD9A96" w14:textId="4649FD81" w:rsidR="00DB0D69" w:rsidRPr="006E1A5C" w:rsidRDefault="00DB0D69">
      <w:pPr>
        <w:rPr>
          <w:rFonts w:hint="eastAsia"/>
          <w:sz w:val="24"/>
          <w:szCs w:val="24"/>
        </w:rPr>
      </w:pPr>
    </w:p>
    <w:sectPr w:rsidR="00DB0D69" w:rsidRPr="006E1A5C"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0474878">
    <w:abstractNumId w:val="8"/>
  </w:num>
  <w:num w:numId="2" w16cid:durableId="957613664">
    <w:abstractNumId w:val="6"/>
  </w:num>
  <w:num w:numId="3" w16cid:durableId="530991301">
    <w:abstractNumId w:val="5"/>
  </w:num>
  <w:num w:numId="4" w16cid:durableId="1139297634">
    <w:abstractNumId w:val="4"/>
  </w:num>
  <w:num w:numId="5" w16cid:durableId="1875851092">
    <w:abstractNumId w:val="7"/>
  </w:num>
  <w:num w:numId="6" w16cid:durableId="1389723006">
    <w:abstractNumId w:val="3"/>
  </w:num>
  <w:num w:numId="7" w16cid:durableId="341977279">
    <w:abstractNumId w:val="2"/>
  </w:num>
  <w:num w:numId="8" w16cid:durableId="591008072">
    <w:abstractNumId w:val="1"/>
  </w:num>
  <w:num w:numId="9" w16cid:durableId="1871071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AF6"/>
    <w:rsid w:val="0015074B"/>
    <w:rsid w:val="0029639D"/>
    <w:rsid w:val="00326F90"/>
    <w:rsid w:val="0045573E"/>
    <w:rsid w:val="006E1A5C"/>
    <w:rsid w:val="007C7D84"/>
    <w:rsid w:val="00AA1D8D"/>
    <w:rsid w:val="00AF7282"/>
    <w:rsid w:val="00B47730"/>
    <w:rsid w:val="00CB0664"/>
    <w:rsid w:val="00DB0D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572050"/>
  <w14:defaultImageDpi w14:val="300"/>
  <w15:docId w15:val="{1088F3B6-9CC1-4E89-AC7C-E30BB0D69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24" w:lineRule="auto"/>
    </w:pPr>
    <w:rPr>
      <w:rFonts w:ascii="Segoe UI" w:hAnsi="Segoe U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284C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72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64748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12</Pages>
  <Words>2554</Words>
  <Characters>14561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Nithish Raj M</cp:lastModifiedBy>
  <cp:revision>2</cp:revision>
  <dcterms:created xsi:type="dcterms:W3CDTF">2013-12-23T23:15:00Z</dcterms:created>
  <dcterms:modified xsi:type="dcterms:W3CDTF">2026-07-01T12:03:00Z</dcterms:modified>
  <cp:category/>
</cp:coreProperties>
</file>