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2"/>
        </w:rPr>
        <w:t>Metro Ticket Generating System</w:t>
      </w:r>
    </w:p>
    <w:p>
      <w:pPr>
        <w:jc w:val="center"/>
      </w:pPr>
      <w:r>
        <w:rPr>
          <w:b/>
          <w:color w:val="4A90D9"/>
          <w:sz w:val="40"/>
        </w:rPr>
        <w:t>Project Planning Phase</w:t>
      </w:r>
    </w:p>
    <w:p>
      <w:pPr>
        <w:jc w:val="center"/>
      </w:pPr>
      <w:r>
        <w:rPr>
          <w:color w:val="646464"/>
          <w:sz w:val="24"/>
        </w:rPr>
        <w:t>Work Breakdown, Sprints &amp; Risk Management</w:t>
      </w:r>
    </w:p>
    <w:p/>
    <w:p>
      <w:pPr>
        <w:jc w:val="center"/>
      </w:pPr>
      <w:r>
        <w:rPr>
          <w:color w:val="828282"/>
          <w:sz w:val="20"/>
        </w:rPr>
        <w:t>ServiceNow Platform  |  Version 1.0.0  |  June 2026</w:t>
      </w:r>
    </w:p>
    <w:p>
      <w:pPr>
        <w:jc w:val="center"/>
      </w:pPr>
      <w:r>
        <w:rPr>
          <w:color w:val="828282"/>
          <w:sz w:val="20"/>
        </w:rPr>
        <w:t>Developed by Nithish Kanna</w:t>
      </w:r>
    </w:p>
    <w:p>
      <w:r>
        <w:br w:type="page"/>
      </w:r>
    </w:p>
    <w:p>
      <w:pPr>
        <w:pStyle w:val="Heading1"/>
      </w:pPr>
      <w:r>
        <w:rPr>
          <w:color w:val="1A1A2E"/>
        </w:rPr>
        <w:t>Introduction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This document outlines the project plan including work breakdown structure, sprint schedule, and risk management for the Metro Ticket Generating System.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Work Breakdown Structure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project was organized into four sprints across four weeks. Each sprint delivers a working increment of the system.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60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144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44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Story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000000"/>
                <w:sz w:val="20"/>
              </w:rPr>
              <w:t>Sprint 1</w:t>
            </w:r>
          </w:p>
        </w:tc>
        <w:tc>
          <w:tcPr>
            <w:tcW w:type="dxa" w:w="3600"/>
          </w:tcPr>
          <w:p>
            <w:r/>
            <w:r>
              <w:rPr>
                <w:color w:val="000000"/>
                <w:sz w:val="20"/>
              </w:rPr>
              <w:t>Foundation — Tables, data, schema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20"/>
              </w:rPr>
              <w:t>Week 1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20"/>
              </w:rPr>
              <w:t>9</w:t>
            </w:r>
          </w:p>
        </w:tc>
      </w:tr>
      <w:tr>
        <w:tc>
          <w:tcPr>
            <w:tcW w:type="dxa" w:w="1440"/>
            <w:shd w:fill="f5f5f5" w:val="clear"/>
          </w:tcPr>
          <w:p>
            <w:r/>
            <w:r>
              <w:rPr>
                <w:color w:val="000000"/>
                <w:sz w:val="20"/>
              </w:rPr>
              <w:t>Sprint 2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color w:val="000000"/>
                <w:sz w:val="20"/>
              </w:rPr>
              <w:t>Core Logic — Business rule, scripts</w:t>
            </w:r>
          </w:p>
        </w:tc>
        <w:tc>
          <w:tcPr>
            <w:tcW w:type="dxa" w:w="1440"/>
            <w:shd w:fill="f5f5f5" w:val="clear"/>
          </w:tcPr>
          <w:p>
            <w:r/>
            <w:r>
              <w:rPr>
                <w:color w:val="000000"/>
                <w:sz w:val="20"/>
              </w:rPr>
              <w:t>Week 2</w:t>
            </w:r>
          </w:p>
        </w:tc>
        <w:tc>
          <w:tcPr>
            <w:tcW w:type="dxa" w:w="1440"/>
            <w:shd w:fill="f5f5f5" w:val="clear"/>
          </w:tcPr>
          <w:p>
            <w:r/>
            <w:r>
              <w:rPr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000000"/>
                <w:sz w:val="20"/>
              </w:rPr>
              <w:t>Sprint 3</w:t>
            </w:r>
          </w:p>
        </w:tc>
        <w:tc>
          <w:tcPr>
            <w:tcW w:type="dxa" w:w="3600"/>
          </w:tcPr>
          <w:p>
            <w:r/>
            <w:r>
              <w:rPr>
                <w:color w:val="000000"/>
                <w:sz w:val="20"/>
              </w:rPr>
              <w:t>Portal &amp; UI — Service portal, reference config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20"/>
              </w:rPr>
              <w:t>Week 3</w:t>
            </w:r>
          </w:p>
        </w:tc>
        <w:tc>
          <w:tcPr>
            <w:tcW w:type="dxa" w:w="1440"/>
          </w:tcPr>
          <w:p>
            <w:r/>
            <w:r>
              <w:rPr>
                <w:color w:val="000000"/>
                <w:sz w:val="20"/>
              </w:rPr>
              <w:t>9</w:t>
            </w:r>
          </w:p>
        </w:tc>
      </w:tr>
      <w:tr>
        <w:tc>
          <w:tcPr>
            <w:tcW w:type="dxa" w:w="1440"/>
            <w:shd w:fill="f5f5f5" w:val="clear"/>
          </w:tcPr>
          <w:p>
            <w:r/>
            <w:r>
              <w:rPr>
                <w:color w:val="000000"/>
                <w:sz w:val="20"/>
              </w:rPr>
              <w:t>Sprint 4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color w:val="000000"/>
                <w:sz w:val="20"/>
              </w:rPr>
              <w:t>Test &amp; Deploy — Testing, docs, deployment</w:t>
            </w:r>
          </w:p>
        </w:tc>
        <w:tc>
          <w:tcPr>
            <w:tcW w:type="dxa" w:w="1440"/>
            <w:shd w:fill="f5f5f5" w:val="clear"/>
          </w:tcPr>
          <w:p>
            <w:r/>
            <w:r>
              <w:rPr>
                <w:color w:val="000000"/>
                <w:sz w:val="20"/>
              </w:rPr>
              <w:t>Week 4</w:t>
            </w:r>
          </w:p>
        </w:tc>
        <w:tc>
          <w:tcPr>
            <w:tcW w:type="dxa" w:w="1440"/>
            <w:shd w:fill="f5f5f5" w:val="clear"/>
          </w:tcPr>
          <w:p>
            <w:r/>
            <w:r>
              <w:rPr>
                <w:color w:val="000000"/>
                <w:sz w:val="20"/>
              </w:rPr>
              <w:t>12</w:t>
            </w:r>
          </w:p>
        </w:tc>
      </w:tr>
    </w:tbl>
    <w:p>
      <w:pPr>
        <w:spacing w:after="160"/>
      </w:pPr>
      <w:r>
        <w:rPr>
          <w:b w:val="0"/>
          <w:i w:val="0"/>
          <w:color w:val="000000"/>
          <w:sz w:val="22"/>
        </w:rPr>
        <w:t>Total estimated effort: 32 person-hours across 40 story points.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Sprint Burndown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All 40 story points were completed across four sprints with an average velocity of 10 points per sprint. The burndown chart shows consistent progress.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9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8"/>
        </w:rPr>
        <w:t>Figure 1: Sprint Burndown Chart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Key Risks &amp; Mitigation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following risks were identified and managed during the project:</w:t>
      </w:r>
    </w:p>
    <w:p>
      <w:pPr>
        <w:spacing w:after="160"/>
      </w:pPr>
      <w:r>
        <w:rPr>
          <w:b/>
          <w:i w:val="0"/>
          <w:color w:val="000000"/>
          <w:sz w:val="22"/>
        </w:rPr>
        <w:t>Business Rule Script Errors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Incorrect fare calculations due to script bugs. Mitigated through thorough unit testing with known fare values and gs.info logging for real-time debugging.</w:t>
      </w:r>
    </w:p>
    <w:p>
      <w:pPr>
        <w:spacing w:after="160"/>
      </w:pPr>
      <w:r>
        <w:rPr>
          <w:b/>
          <w:i w:val="0"/>
          <w:color w:val="000000"/>
          <w:sz w:val="22"/>
        </w:rPr>
        <w:t>Fare Matrix Data Entry Mistakes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Wrong rates or distance brackets entered by admin. Mitigated by double-checking data and creating a validation script.</w:t>
      </w:r>
    </w:p>
    <w:p>
      <w:pPr>
        <w:spacing w:after="160"/>
      </w:pPr>
      <w:r>
        <w:rPr>
          <w:b/>
          <w:i w:val="0"/>
          <w:color w:val="000000"/>
          <w:sz w:val="22"/>
        </w:rPr>
        <w:t>Update Set Import Failures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Application fails to import on target instance. Mitigated by testing the update set in a clean PDI and documenting all dependencies.</w:t>
      </w:r>
    </w:p>
    <w:p>
      <w:pPr>
        <w:spacing w:before="120" w:after="120"/>
        <w:pBdr>
          <w:bottom w:val="single" w:sz="4" w:space="1" w:color="cccccc"/>
        </w:pBd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