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7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7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03-06-2025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5E77876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B5BCE"/>
    <w:multiLevelType w:val="singleLevel"/>
    <w:tmpl w:val="C99B5B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30B7098A"/>
    <w:rsid w:val="449C1812"/>
    <w:rsid w:val="4A711958"/>
    <w:rsid w:val="64B97A50"/>
    <w:rsid w:val="65882F94"/>
    <w:rsid w:val="69B103D3"/>
    <w:rsid w:val="6BB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2025-06-02T16:55:06Z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18EA524956CE43C0B3FAAA9ADB1FC531_13</vt:lpwstr>
  </property>
</Properties>
</file>