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360"/>
        <w:jc w:val="center"/>
      </w:pPr>
      <w:r>
        <w:rPr>
          <w:rFonts w:ascii="Times New Roman" w:hAnsi="Times New Roman"/>
          <w:b/>
          <w:sz w:val="30"/>
        </w:rPr>
        <w:t>Data-Driven Knowledge-Based AI for Digital Transformation, Innovation, and Entrepreneurship: An Explainable Opportunity-Assessment Framework</w:t>
      </w:r>
    </w:p>
    <w:p>
      <w:pPr>
        <w:spacing w:line="240" w:lineRule="auto" w:after="80"/>
        <w:jc w:val="center"/>
      </w:pPr>
      <w:r>
        <w:rPr>
          <w:rFonts w:ascii="Times New Roman" w:hAnsi="Times New Roman"/>
          <w:sz w:val="22"/>
        </w:rPr>
        <w:t>Nithish Maley</w:t>
      </w:r>
    </w:p>
    <w:p>
      <w:pPr>
        <w:spacing w:line="240" w:lineRule="auto" w:after="120"/>
        <w:jc w:val="center"/>
      </w:pPr>
      <w:r>
        <w:rPr>
          <w:rFonts w:ascii="Times New Roman" w:hAnsi="Times New Roman"/>
          <w:i/>
          <w:sz w:val="22"/>
        </w:rPr>
        <w:t>Short Communication</w:t>
      </w:r>
    </w:p>
    <w:p>
      <w:pPr>
        <w:spacing w:line="240" w:lineRule="auto" w:after="80"/>
        <w:jc w:val="center"/>
      </w:pPr>
      <w:r>
        <w:rPr>
          <w:rFonts w:ascii="Times New Roman" w:hAnsi="Times New Roman"/>
          <w:sz w:val="22"/>
        </w:rPr>
        <w:t>Affiliation: [Insert institution and postal address]</w:t>
      </w:r>
    </w:p>
    <w:p>
      <w:pPr>
        <w:spacing w:line="240" w:lineRule="auto" w:after="80"/>
        <w:jc w:val="center"/>
      </w:pPr>
      <w:r>
        <w:rPr>
          <w:rFonts w:ascii="Times New Roman" w:hAnsi="Times New Roman"/>
          <w:sz w:val="22"/>
        </w:rPr>
        <w:t>Corresponding author: [Insert corresponding-author e-mail]</w:t>
      </w:r>
    </w:p>
    <w:p>
      <w:pPr>
        <w:spacing w:line="240" w:lineRule="auto" w:before="240" w:after="80"/>
        <w:jc w:val="left"/>
      </w:pPr>
      <w:r>
        <w:rPr>
          <w:rFonts w:ascii="Times New Roman" w:hAnsi="Times New Roman"/>
          <w:b/>
          <w:sz w:val="22"/>
        </w:rPr>
        <w:t>Abstract</w:t>
      </w:r>
    </w:p>
    <w:p>
      <w:pPr>
        <w:spacing w:line="480" w:lineRule="auto" w:after="0"/>
        <w:ind w:firstLine="360"/>
        <w:jc w:val="both"/>
      </w:pPr>
      <w:r>
        <w:rPr>
          <w:rFonts w:ascii="Times New Roman" w:hAnsi="Times New Roman"/>
          <w:sz w:val="22"/>
        </w:rPr>
        <w:t>Digital transformation decisions combine measurable signals with domain constraints that are rarely represented in a single data table. This Short Communication presents K-AIDE, a data-driven knowledge-based artificial intelligence framework for assessing digital innovation opportunities in entrepreneurial settings. K-AIDE combines a supervised data model with an explicit knowledge layer containing weighted criteria, hard constraints, and interaction rules. The knowledge layer produces an interpretable opportunity score and rule trace, while the data model captures nonlinear patterns in business and market indicators. A controlled benchmark of 15,000 deterministic synthetic records, evaluated across five fixed random seeds, demonstrates the method. The hybrid model achieved mean ROC-AUC 0.7450 (SD 0.0128), mean Brier score 0.2098 (SD 0.0031), and mean accuracy 0.6722 (SD 0.0224). The knowledge rules achieved the strongest ranking performance, with ROC-AUC 0.7539, while the hybrid model provided the best calibration and accuracy. A component ablation and paired error analysis show how each layer contributes to the result. These are reproducibility results rather than evidence of performance in a particular industry. The contribution is a compact, auditable design that connects knowledge engineering, data science, explainable AI, and business decision support.</w:t>
      </w:r>
    </w:p>
    <w:p>
      <w:pPr>
        <w:spacing w:line="240" w:lineRule="auto" w:after="160"/>
      </w:pPr>
      <w:r>
        <w:rPr>
          <w:rFonts w:ascii="Times New Roman" w:hAnsi="Times New Roman"/>
          <w:sz w:val="22"/>
        </w:rPr>
        <w:t>Keywords: artificial intelligence; data science; knowledge-based systems; decision support; digital transformation; innovation; entrepreneurship</w:t>
      </w:r>
    </w:p>
    <w:p>
      <w:pPr>
        <w:spacing w:line="240" w:lineRule="auto" w:before="240" w:after="80"/>
        <w:jc w:val="left"/>
      </w:pPr>
      <w:r>
        <w:rPr>
          <w:rFonts w:ascii="Times New Roman" w:hAnsi="Times New Roman"/>
          <w:b/>
          <w:sz w:val="22"/>
        </w:rPr>
        <w:t>Highlights</w:t>
      </w:r>
    </w:p>
    <w:p>
      <w:pPr>
        <w:spacing w:line="480" w:lineRule="auto" w:after="0"/>
        <w:ind w:firstLine="360"/>
        <w:jc w:val="both"/>
      </w:pPr>
      <w:r>
        <w:rPr>
          <w:rFonts w:ascii="Times New Roman" w:hAnsi="Times New Roman"/>
          <w:sz w:val="22"/>
        </w:rPr>
        <w:t>- Combines business data with explicit domain knowledge.</w:t>
      </w:r>
    </w:p>
    <w:p>
      <w:pPr>
        <w:spacing w:line="480" w:lineRule="auto" w:after="0"/>
        <w:ind w:firstLine="360"/>
        <w:jc w:val="both"/>
      </w:pPr>
      <w:r>
        <w:rPr>
          <w:rFonts w:ascii="Times New Roman" w:hAnsi="Times New Roman"/>
          <w:sz w:val="22"/>
        </w:rPr>
        <w:t>- Adds interpretable rules to a supervised AI model.</w:t>
      </w:r>
    </w:p>
    <w:p>
      <w:pPr>
        <w:spacing w:line="480" w:lineRule="auto" w:after="0"/>
        <w:ind w:firstLine="360"/>
        <w:jc w:val="both"/>
      </w:pPr>
      <w:r>
        <w:rPr>
          <w:rFonts w:ascii="Times New Roman" w:hAnsi="Times New Roman"/>
          <w:sz w:val="22"/>
        </w:rPr>
        <w:t>- Produces opportunity scores and rule-based explanations.</w:t>
      </w:r>
    </w:p>
    <w:p>
      <w:pPr>
        <w:spacing w:line="480" w:lineRule="auto" w:after="0"/>
        <w:ind w:firstLine="360"/>
        <w:jc w:val="both"/>
      </w:pPr>
      <w:r>
        <w:rPr>
          <w:rFonts w:ascii="Times New Roman" w:hAnsi="Times New Roman"/>
          <w:sz w:val="22"/>
        </w:rPr>
        <w:t>- Demonstrates repeated-seed reproducible evaluation.</w:t>
      </w:r>
    </w:p>
    <w:p>
      <w:pPr>
        <w:spacing w:line="480" w:lineRule="auto" w:after="0"/>
        <w:ind w:firstLine="360"/>
        <w:jc w:val="both"/>
      </w:pPr>
      <w:r>
        <w:rPr>
          <w:rFonts w:ascii="Times New Roman" w:hAnsi="Times New Roman"/>
          <w:sz w:val="22"/>
        </w:rPr>
        <w:t>- Separates data and knowledge contributions by ablation.</w:t>
      </w:r>
    </w:p>
    <w:p>
      <w:pPr>
        <w:spacing w:line="240" w:lineRule="auto" w:before="240" w:after="80"/>
        <w:jc w:val="left"/>
      </w:pPr>
      <w:r>
        <w:rPr>
          <w:rFonts w:ascii="Times New Roman" w:hAnsi="Times New Roman"/>
          <w:b/>
          <w:sz w:val="22"/>
        </w:rPr>
        <w:t>1. Introduction</w:t>
      </w:r>
    </w:p>
    <w:p>
      <w:pPr>
        <w:spacing w:line="480" w:lineRule="auto" w:after="0"/>
        <w:ind w:firstLine="360"/>
        <w:jc w:val="both"/>
      </w:pPr>
      <w:r>
        <w:rPr>
          <w:rFonts w:ascii="Times New Roman" w:hAnsi="Times New Roman"/>
          <w:sz w:val="22"/>
        </w:rPr>
        <w:t>Digital transformation changes how organizations create value, organize work, and engage with customers [1]. For entrepreneurs and innovation managers, the decision is rarely whether a digital technology exists. The practical decision is which opportunity should be pursued, with which resources, and under which constraints. Market demand, customer need, data readiness, organizational capability, regulatory exposure, and implementation complexity all influence that decision. These signals are heterogeneous and often incomplete. A system that uses only historical data can identify associations, but it may overlook a policy constraint or a condition that business experts regard as non-negotiable.</w:t>
      </w:r>
    </w:p>
    <w:p>
      <w:pPr>
        <w:spacing w:line="480" w:lineRule="auto" w:after="0"/>
        <w:ind w:firstLine="360"/>
        <w:jc w:val="both"/>
      </w:pPr>
      <w:r>
        <w:rPr>
          <w:rFonts w:ascii="Times New Roman" w:hAnsi="Times New Roman"/>
          <w:sz w:val="22"/>
        </w:rPr>
        <w:t>Digital entrepreneurship is shaped by the interaction between digital technologies and entrepreneurial processes [2]. This interaction creates a knowledge problem as well as a prediction problem. A decision-support system must use available observations while also representing relationships, thresholds, and constraints that are meaningful to the organization. Knowledge-based systems are well suited to this combination because they can encode domain concepts and reasoning procedures alongside computational models. The KBS aims and scope include data science, knowledge representation and engineering, intelligent decision-support systems, prediction systems, and business applications. The framework proposed here addresses these topics through a focused opportunity-assessment task.</w:t>
      </w:r>
    </w:p>
    <w:p>
      <w:pPr>
        <w:spacing w:line="480" w:lineRule="auto" w:after="0"/>
        <w:ind w:firstLine="360"/>
        <w:jc w:val="both"/>
      </w:pPr>
      <w:r>
        <w:rPr>
          <w:rFonts w:ascii="Times New Roman" w:hAnsi="Times New Roman"/>
          <w:sz w:val="22"/>
        </w:rPr>
        <w:t>Artificial intelligence can support managers by augmenting analysis and expanding the range of alternatives considered [3]. However, AI-supported recommendations are difficult to use when a manager cannot understand why an opportunity was ranked highly or why a recommendation was blocked. Explainability is therefore treated as a design requirement rather than an after-the-fact visualization [4]. The aim of this Short Communication is to present a compact hybrid method that joins a data model with an explicit knowledge layer and produces both a decision score and an explanation.</w:t>
      </w:r>
    </w:p>
    <w:p>
      <w:pPr>
        <w:spacing w:line="480" w:lineRule="auto" w:after="0"/>
        <w:ind w:firstLine="360"/>
        <w:jc w:val="both"/>
      </w:pPr>
      <w:r>
        <w:rPr>
          <w:rFonts w:ascii="Times New Roman" w:hAnsi="Times New Roman"/>
          <w:sz w:val="22"/>
        </w:rPr>
        <w:t>The contribution is threefold. First, the paper specifies K-AIDE, a knowledge-augmented intelligent decision engine for digital transformation, innovation, and entrepreneurship. Second, it gives an auditable scoring formulation and a short implementation procedure. Third, it provides a repeated-seed benchmark, component ablation, and compact code package. The methodological gap addressed is the lack of a compact evaluation that separates learned patterns from explicit business rules within one opportunity-assessment workflow. The benchmark is deliberately synthetic and controlled. It demonstrates method behavior and reproducibility; it does not make claims about a population of firms.</w:t>
      </w:r>
    </w:p>
    <w:p>
      <w:pPr>
        <w:spacing w:line="240" w:lineRule="auto" w:before="240" w:after="80"/>
        <w:jc w:val="left"/>
      </w:pPr>
      <w:r>
        <w:rPr>
          <w:rFonts w:ascii="Times New Roman" w:hAnsi="Times New Roman"/>
          <w:b/>
          <w:sz w:val="22"/>
        </w:rPr>
        <w:t>2. K-AIDE framework</w:t>
      </w:r>
    </w:p>
    <w:p>
      <w:pPr>
        <w:spacing w:line="240" w:lineRule="auto" w:before="120" w:after="80"/>
        <w:jc w:val="left"/>
      </w:pPr>
      <w:r>
        <w:rPr>
          <w:rFonts w:ascii="Times New Roman" w:hAnsi="Times New Roman"/>
          <w:b/>
          <w:sz w:val="22"/>
        </w:rPr>
        <w:t>2.1. Design requirements</w:t>
      </w:r>
    </w:p>
    <w:p>
      <w:pPr>
        <w:spacing w:line="480" w:lineRule="auto" w:after="0"/>
        <w:ind w:firstLine="360"/>
        <w:jc w:val="both"/>
      </w:pPr>
      <w:r>
        <w:rPr>
          <w:rFonts w:ascii="Times New Roman" w:hAnsi="Times New Roman"/>
          <w:sz w:val="22"/>
        </w:rPr>
        <w:t xml:space="preserve">K-AIDE was designed around four requirements. The first is </w:t>
      </w:r>
      <w:r>
        <w:rPr>
          <w:rFonts w:ascii="Times New Roman" w:hAnsi="Times New Roman"/>
          <w:b/>
          <w:sz w:val="22"/>
        </w:rPr>
        <w:t>data integration</w:t>
      </w:r>
      <w:r>
        <w:rPr>
          <w:rFonts w:ascii="Times New Roman" w:hAnsi="Times New Roman"/>
          <w:sz w:val="22"/>
        </w:rPr>
        <w:t xml:space="preserve">: the model should accept indicators describing an opportunity and its organizational setting. The second is </w:t>
      </w:r>
      <w:r>
        <w:rPr>
          <w:rFonts w:ascii="Times New Roman" w:hAnsi="Times New Roman"/>
          <w:b/>
          <w:sz w:val="22"/>
        </w:rPr>
        <w:t>knowledge integration</w:t>
      </w:r>
      <w:r>
        <w:rPr>
          <w:rFonts w:ascii="Times New Roman" w:hAnsi="Times New Roman"/>
          <w:sz w:val="22"/>
        </w:rPr>
        <w:t xml:space="preserve">: domain experts should be able to specify criteria, thresholds, and relationships without retraining the data model. The third is </w:t>
      </w:r>
      <w:r>
        <w:rPr>
          <w:rFonts w:ascii="Times New Roman" w:hAnsi="Times New Roman"/>
          <w:b/>
          <w:sz w:val="22"/>
        </w:rPr>
        <w:t>decision transparency</w:t>
      </w:r>
      <w:r>
        <w:rPr>
          <w:rFonts w:ascii="Times New Roman" w:hAnsi="Times New Roman"/>
          <w:sz w:val="22"/>
        </w:rPr>
        <w:t xml:space="preserve">: every recommendation should expose the main score components and the rules that affected the result. The fourth is </w:t>
      </w:r>
      <w:r>
        <w:rPr>
          <w:rFonts w:ascii="Times New Roman" w:hAnsi="Times New Roman"/>
          <w:b/>
          <w:sz w:val="22"/>
        </w:rPr>
        <w:t>operational simplicity</w:t>
      </w:r>
      <w:r>
        <w:rPr>
          <w:rFonts w:ascii="Times New Roman" w:hAnsi="Times New Roman"/>
          <w:sz w:val="22"/>
        </w:rPr>
        <w:t>: the method should be implementable with a small software footprint and support a transition from an illustrative benchmark to approved organizational data.</w:t>
      </w:r>
    </w:p>
    <w:p>
      <w:pPr>
        <w:spacing w:line="480" w:lineRule="auto" w:after="0"/>
        <w:ind w:firstLine="360"/>
        <w:jc w:val="both"/>
      </w:pPr>
      <w:r>
        <w:rPr>
          <w:rFonts w:ascii="Times New Roman" w:hAnsi="Times New Roman"/>
          <w:sz w:val="22"/>
        </w:rPr>
        <w:t>The framework is not intended to replace entrepreneurial judgment. It provides a repeatable screening layer that helps a decision-maker compare opportunities, identify missing capabilities, and see where a recommendation depends on a constraint. This human-in-the-loop orientation is consistent with the view that AI can automate portions of a process while leaving judgment and responsibility with managers [3].</w:t>
      </w:r>
    </w:p>
    <w:p>
      <w:pPr>
        <w:spacing w:line="240" w:lineRule="auto" w:before="120" w:after="80"/>
        <w:jc w:val="left"/>
      </w:pPr>
      <w:r>
        <w:rPr>
          <w:rFonts w:ascii="Times New Roman" w:hAnsi="Times New Roman"/>
          <w:b/>
          <w:sz w:val="22"/>
        </w:rPr>
        <w:t>2.2. Data and knowledge layers</w:t>
      </w:r>
    </w:p>
    <w:p>
      <w:pPr>
        <w:spacing w:line="480" w:lineRule="auto" w:after="0"/>
        <w:ind w:firstLine="360"/>
        <w:jc w:val="both"/>
      </w:pPr>
      <w:r>
        <w:rPr>
          <w:rFonts w:ascii="Times New Roman" w:hAnsi="Times New Roman"/>
          <w:sz w:val="22"/>
        </w:rPr>
        <w:t>The data layer contains ten normalized indicators: market signal, customer need, data readiness, digital maturity, innovation novelty, ecosystem support, resource capacity, implementation complexity, regulatory exposure, and organizational agility. The indicators are examples rather than a universal measurement instrument. In an applied study, each should be operationalized with validated measures and documented data provenance.</w:t>
      </w:r>
    </w:p>
    <w:p>
      <w:pPr>
        <w:spacing w:line="480" w:lineRule="auto" w:after="0"/>
        <w:ind w:firstLine="360"/>
        <w:jc w:val="both"/>
      </w:pPr>
      <w:r>
        <w:rPr>
          <w:rFonts w:ascii="Times New Roman" w:hAnsi="Times New Roman"/>
          <w:sz w:val="22"/>
        </w:rPr>
        <w:t xml:space="preserve">The knowledge layer contains three kinds of objects. </w:t>
      </w:r>
      <w:r>
        <w:rPr>
          <w:rFonts w:ascii="Times New Roman" w:hAnsi="Times New Roman"/>
          <w:b/>
          <w:sz w:val="22"/>
        </w:rPr>
        <w:t>Weighted criteria</w:t>
      </w:r>
      <w:r>
        <w:rPr>
          <w:rFonts w:ascii="Times New Roman" w:hAnsi="Times New Roman"/>
          <w:sz w:val="22"/>
        </w:rPr>
        <w:t xml:space="preserve"> represent the relative importance of value, feasibility, innovation, and organizational readiness. </w:t>
      </w:r>
      <w:r>
        <w:rPr>
          <w:rFonts w:ascii="Times New Roman" w:hAnsi="Times New Roman"/>
          <w:b/>
          <w:sz w:val="22"/>
        </w:rPr>
        <w:t>Hard constraints</w:t>
      </w:r>
      <w:r>
        <w:rPr>
          <w:rFonts w:ascii="Times New Roman" w:hAnsi="Times New Roman"/>
          <w:sz w:val="22"/>
        </w:rPr>
        <w:t xml:space="preserve"> represent conditions under which an opportunity should be blocked or strongly penalized. </w:t>
      </w:r>
      <w:r>
        <w:rPr>
          <w:rFonts w:ascii="Times New Roman" w:hAnsi="Times New Roman"/>
          <w:b/>
          <w:sz w:val="22"/>
        </w:rPr>
        <w:t>Interaction rules</w:t>
      </w:r>
      <w:r>
        <w:rPr>
          <w:rFonts w:ascii="Times New Roman" w:hAnsi="Times New Roman"/>
          <w:sz w:val="22"/>
        </w:rPr>
        <w:t xml:space="preserve"> represent useful combinations, such as the joint presence of market demand and innovation novelty. In the executable benchmark, the low-readiness gate is activated when data readiness is below 0.22 and digital maturity is below 0.25; the regulatory gate is activated when regulatory exposure exceeds 0.82 while data readiness is below 0.45; and the market-novelty synergy is activated when market signal exceeds 0.62 and innovation novelty exceeds 0.68. The knowledge layer can be implemented as a rules table, lightweight ontology, or knowledge graph. The important property is that the reasoning structure remains inspectable and can be revised independently from the statistical model.</w:t>
      </w:r>
    </w:p>
    <w:p>
      <w:pPr>
        <w:spacing w:line="240" w:lineRule="auto" w:before="120" w:after="80"/>
        <w:jc w:val="left"/>
      </w:pPr>
      <w:r>
        <w:rPr>
          <w:rFonts w:ascii="Times New Roman" w:hAnsi="Times New Roman"/>
          <w:b/>
          <w:sz w:val="22"/>
        </w:rPr>
        <w:t>2.3. Hybrid inference and explanation</w:t>
      </w:r>
    </w:p>
    <w:p>
      <w:pPr>
        <w:spacing w:line="480" w:lineRule="auto" w:after="0"/>
        <w:ind w:firstLine="360"/>
        <w:jc w:val="both"/>
      </w:pPr>
      <w:r>
        <w:rPr>
          <w:rFonts w:ascii="Times New Roman" w:hAnsi="Times New Roman"/>
          <w:sz w:val="22"/>
        </w:rPr>
        <w:t>Let p_data(x) be the probability returned by the data model for opportunity x, and let s_KB(x) be the normalized score returned by the knowledge layer. The hybrid decision score is:</w:t>
      </w:r>
    </w:p>
    <w:p>
      <w:pPr>
        <w:spacing w:line="360" w:lineRule="auto" w:after="0"/>
        <w:ind w:firstLine="0"/>
        <w:jc w:val="center"/>
      </w:pPr>
      <w:r>
        <w:rPr>
          <w:rFonts w:ascii="Times New Roman" w:hAnsi="Times New Roman"/>
          <w:sz w:val="22"/>
        </w:rPr>
        <w:t xml:space="preserve">(1)  </w:t>
      </w:r>
      <w:r>
        <w:rPr>
          <w:rFonts w:ascii="Times New Roman" w:hAnsi="Times New Roman"/>
          <w:i/>
          <w:sz w:val="22"/>
        </w:rPr>
        <w:t>p_K-AIDE(x) = α p_data(x) + (1 - α) s_KB(x)</w:t>
      </w:r>
    </w:p>
    <w:p>
      <w:pPr>
        <w:spacing w:line="480" w:lineRule="auto" w:after="0"/>
        <w:ind w:firstLine="360"/>
        <w:jc w:val="both"/>
      </w:pPr>
      <w:r>
        <w:t>where 0 ≤ α ≤ 1. The demonstration uses α = 0.65; the sensitivity curve in Fig. 2 shows how the blend behaves across the full range. In an applied study, α should be selected on validation data. The knowledge score uses the weighted criteria and thresholds in Section 2.2, adds 0.10 for the market-novelty synergy, subtracts 0.32 when either hard gate is active, and maps the resulting score z_KB to the closed interval 0 to 1 with clip((z_KB + 0.20)/1.10, 0, 1). A rule trace records the conditions that contributed to the score. The final output contains (i) a ranked opportunity score, (ii) the data-model probability, (iii) the knowledge score, and (iv) the activated rules.</w:t>
      </w:r>
    </w:p>
    <w:p>
      <w:pPr>
        <w:spacing w:line="480" w:lineRule="auto" w:after="0"/>
        <w:ind w:firstLine="360"/>
        <w:jc w:val="both"/>
      </w:pPr>
      <w:r>
        <w:rPr>
          <w:rFonts w:ascii="Times New Roman" w:hAnsi="Times New Roman"/>
          <w:sz w:val="22"/>
        </w:rPr>
        <w:t>Figure 1 shows the information flow. Business data and organizational knowledge enter the hybrid AI layer separately, which prevents the knowledge structure from being hidden inside an opaque model. The resulting score can be connected to an innovation portfolio review, a digital-transformation roadmap, or an entrepreneurial opportunity-screening process.</w:t>
      </w:r>
    </w:p>
    <w:p>
      <w:pPr>
        <w:spacing w:line="240" w:lineRule="auto" w:before="120" w:after="60"/>
        <w:jc w:val="center"/>
      </w:pPr>
      <w:r>
        <w:drawing>
          <wp:inline xmlns:a="http://schemas.openxmlformats.org/drawingml/2006/main" xmlns:pic="http://schemas.openxmlformats.org/drawingml/2006/picture">
            <wp:extent cx="5897880" cy="2901671"/>
            <wp:docPr id="1" name="Picture 1" descr="K-AIDE framework showing business data and domain knowledge entering a hybrid AI layer and producing an explainable opportunity score, rule trace, and decision use." title="figure 1 framework"/>
            <wp:cNvGraphicFramePr>
              <a:graphicFrameLocks noChangeAspect="1"/>
            </wp:cNvGraphicFramePr>
            <a:graphic>
              <a:graphicData uri="http://schemas.openxmlformats.org/drawingml/2006/picture">
                <pic:pic>
                  <pic:nvPicPr>
                    <pic:cNvPr id="0" name="figure_1_framework.png"/>
                    <pic:cNvPicPr/>
                  </pic:nvPicPr>
                  <pic:blipFill>
                    <a:blip r:embed="rId10"/>
                    <a:stretch>
                      <a:fillRect/>
                    </a:stretch>
                  </pic:blipFill>
                  <pic:spPr>
                    <a:xfrm>
                      <a:off x="0" y="0"/>
                      <a:ext cx="5897880" cy="2901671"/>
                    </a:xfrm>
                    <a:prstGeom prst="rect"/>
                  </pic:spPr>
                </pic:pic>
              </a:graphicData>
            </a:graphic>
          </wp:inline>
        </w:drawing>
      </w:r>
    </w:p>
    <w:p>
      <w:pPr>
        <w:spacing w:line="240" w:lineRule="auto" w:after="120"/>
        <w:jc w:val="left"/>
      </w:pPr>
      <w:r>
        <w:rPr>
          <w:rFonts w:ascii="Times New Roman" w:hAnsi="Times New Roman"/>
          <w:i/>
          <w:sz w:val="20"/>
        </w:rPr>
        <w:t>Fig. 1. K-AIDE framework. Business data and explicit knowledge are combined in a hybrid inference layer that returns an opportunity score, rule trace, and decision-support output.</w:t>
      </w:r>
    </w:p>
    <w:p>
      <w:pPr>
        <w:spacing w:line="240" w:lineRule="auto" w:before="120" w:after="80"/>
        <w:jc w:val="left"/>
      </w:pPr>
      <w:r>
        <w:rPr>
          <w:rFonts w:ascii="Times New Roman" w:hAnsi="Times New Roman"/>
          <w:b/>
          <w:sz w:val="22"/>
        </w:rPr>
        <w:t>2.4. Assessment procedure</w:t>
      </w:r>
    </w:p>
    <w:p>
      <w:pPr>
        <w:spacing w:line="480" w:lineRule="auto" w:after="0"/>
        <w:ind w:firstLine="360"/>
        <w:jc w:val="both"/>
      </w:pPr>
      <w:r>
        <w:rPr>
          <w:rFonts w:ascii="Times New Roman" w:hAnsi="Times New Roman"/>
          <w:sz w:val="22"/>
        </w:rPr>
        <w:t>The executable assessment follows five steps. First, it normalizes the opportunity indicators and separates training and test records. Second, it calculates the knowledge score and records every activated rule. Third, it fits a random-forest classifier to the training indicators. Fourth, it blends the data probability and knowledge score using Eq. (1). Fifth, it returns the score, the rule trace, and a ranking that a manager can review. The procedure keeps the symbolic layer visible rather than embedding all reasoning inside the statistical model.</w:t>
      </w:r>
    </w:p>
    <w:p>
      <w:pPr>
        <w:spacing w:line="240" w:lineRule="auto" w:before="240" w:after="80"/>
        <w:jc w:val="left"/>
      </w:pPr>
      <w:r>
        <w:rPr>
          <w:rFonts w:ascii="Times New Roman" w:hAnsi="Times New Roman"/>
          <w:b/>
          <w:sz w:val="22"/>
        </w:rPr>
        <w:t>3. Demonstration design</w:t>
      </w:r>
    </w:p>
    <w:p>
      <w:pPr>
        <w:spacing w:line="240" w:lineRule="auto" w:before="120" w:after="80"/>
        <w:jc w:val="left"/>
      </w:pPr>
      <w:r>
        <w:rPr>
          <w:rFonts w:ascii="Times New Roman" w:hAnsi="Times New Roman"/>
          <w:b/>
          <w:sz w:val="22"/>
        </w:rPr>
        <w:t>3.1. Controlled benchmark</w:t>
      </w:r>
    </w:p>
    <w:p>
      <w:pPr>
        <w:spacing w:line="480" w:lineRule="auto" w:after="0"/>
        <w:ind w:firstLine="360"/>
        <w:jc w:val="both"/>
      </w:pPr>
      <w:r>
        <w:rPr>
          <w:rFonts w:ascii="Times New Roman" w:hAnsi="Times New Roman"/>
          <w:sz w:val="22"/>
        </w:rPr>
        <w:t>The demonstration uses 15,000 opportunity records generated across five fixed random seeds, with 3,000 records per seed. Each record contains the ten indicators listed in Section 2.2, sampled from bounded distributions to represent normalized business signals. A latent adoption value is generated from value, feasibility, risk, and interaction terms. Two explicit knowledge constraints are then applied: the low-readiness gate and the regulatory gate defined in Section 2.2. A synergy rule rewards opportunities with both a strong market signal and high innovation novelty. The binary outcome indicates whether an opportunity passes the simulated adoption threshold.</w:t>
      </w:r>
    </w:p>
    <w:p>
      <w:pPr>
        <w:spacing w:line="480" w:lineRule="auto" w:after="0"/>
        <w:ind w:firstLine="360"/>
        <w:jc w:val="both"/>
      </w:pPr>
      <w:r>
        <w:rPr>
          <w:rFonts w:ascii="Times New Roman" w:hAnsi="Times New Roman"/>
          <w:sz w:val="22"/>
        </w:rPr>
        <w:t>This design makes it possible to test whether a model that exposes the knowledge structure behaves differently from a model that receives only raw indicators. The benchmark does not represent a real industry, and the rules are not claimed to be universal. Its purpose is reproducibility: another researcher can run the supplied script with the same five seeds and regenerate the data, figures, and metrics.</w:t>
      </w:r>
    </w:p>
    <w:p>
      <w:pPr>
        <w:spacing w:line="240" w:lineRule="auto" w:before="120" w:after="80"/>
        <w:jc w:val="left"/>
      </w:pPr>
      <w:r>
        <w:rPr>
          <w:rFonts w:ascii="Times New Roman" w:hAnsi="Times New Roman"/>
          <w:b/>
          <w:sz w:val="22"/>
        </w:rPr>
        <w:t>3.2. Baselines, repeated evaluation, and ablation</w:t>
      </w:r>
    </w:p>
    <w:p>
      <w:pPr>
        <w:spacing w:line="480" w:lineRule="auto" w:after="0"/>
        <w:ind w:firstLine="360"/>
        <w:jc w:val="both"/>
      </w:pPr>
      <w:r>
        <w:rPr>
          <w:rFonts w:ascii="Times New Roman" w:hAnsi="Times New Roman"/>
          <w:sz w:val="22"/>
        </w:rPr>
        <w:t xml:space="preserve">Three estimators are compared. The </w:t>
      </w:r>
      <w:r>
        <w:rPr>
          <w:rFonts w:ascii="Times New Roman" w:hAnsi="Times New Roman"/>
          <w:b/>
          <w:sz w:val="22"/>
        </w:rPr>
        <w:t>data-only AI</w:t>
      </w:r>
      <w:r>
        <w:rPr>
          <w:rFonts w:ascii="Times New Roman" w:hAnsi="Times New Roman"/>
          <w:sz w:val="22"/>
        </w:rPr>
        <w:t xml:space="preserve"> is a random forest trained on the ten indicators. Random forests are a useful baseline for a short proof of concept because they model nonlinear interactions without requiring a large neural architecture [5]. The implementation uses 350 trees, a minimum leaf size of 8, class-balanced weights, single-threaded execution, and the benchmark seed as the model seed. The </w:t>
      </w:r>
      <w:r>
        <w:rPr>
          <w:rFonts w:ascii="Times New Roman" w:hAnsi="Times New Roman"/>
          <w:b/>
          <w:sz w:val="22"/>
        </w:rPr>
        <w:t>knowledge rules</w:t>
      </w:r>
      <w:r>
        <w:rPr>
          <w:rFonts w:ascii="Times New Roman" w:hAnsi="Times New Roman"/>
          <w:sz w:val="22"/>
        </w:rPr>
        <w:t xml:space="preserve"> estimator uses the normalized knowledge score without training. The </w:t>
      </w:r>
      <w:r>
        <w:rPr>
          <w:rFonts w:ascii="Times New Roman" w:hAnsi="Times New Roman"/>
          <w:b/>
          <w:sz w:val="22"/>
        </w:rPr>
        <w:t>hybrid K-AIDE</w:t>
      </w:r>
      <w:r>
        <w:rPr>
          <w:rFonts w:ascii="Times New Roman" w:hAnsi="Times New Roman"/>
          <w:sz w:val="22"/>
        </w:rPr>
        <w:t xml:space="preserve"> estimator combines the data-model probability and the knowledge score using Eq. (1). Each seed uses a stratified 70% training and 30% test split, yielding 900 held-out records per seed and 4,500 paired held-out records overall. A capability perspective is also relevant because model performance depends on complementary organizational resources, not only on the algorithm [6].</w:t>
      </w:r>
    </w:p>
    <w:p>
      <w:pPr>
        <w:spacing w:line="480" w:lineRule="auto" w:after="0"/>
        <w:ind w:firstLine="360"/>
        <w:jc w:val="both"/>
      </w:pPr>
      <w:r>
        <w:rPr>
          <w:rFonts w:ascii="Times New Roman" w:hAnsi="Times New Roman"/>
          <w:sz w:val="22"/>
        </w:rPr>
        <w:t>The evaluation reports ROC-AUC, PR-AUC, Brier score, and accuracy. ROC-AUC and PR-AUC evaluate ranking and positive-class retrieval, while the Brier score evaluates probabilistic calibration. These predictive measures are appropriate for a screening system because they separate ranking quality from probability quality [7]. Accuracy is a secondary descriptive measure. Table 1 reports the mean and standard deviation across seeds.</w:t>
      </w:r>
    </w:p>
    <w:p>
      <w:pPr>
        <w:spacing w:line="480" w:lineRule="auto" w:after="0"/>
        <w:ind w:firstLine="360"/>
        <w:jc w:val="both"/>
      </w:pPr>
      <w:r>
        <w:rPr>
          <w:rFonts w:ascii="Times New Roman" w:hAnsi="Times New Roman"/>
          <w:sz w:val="22"/>
        </w:rPr>
        <w:t>The component ablation in Table 2 evaluates the 2 x 2 presence or absence of the data and knowledge layers: neither layer, data only, knowledge rules only, and the hybrid. Paired two-sided Wilcoxon tests compare record-level squared errors for the hybrid against each single-layer alternative. Because the benchmark is synthetic, these tests describe reproducibility within the generated scenarios and do not support population-level inference.</w:t>
      </w:r>
    </w:p>
    <w:p>
      <w:pPr>
        <w:spacing w:line="240" w:lineRule="auto" w:before="240" w:after="80"/>
        <w:jc w:val="left"/>
      </w:pPr>
      <w:r>
        <w:rPr>
          <w:rFonts w:ascii="Times New Roman" w:hAnsi="Times New Roman"/>
          <w:b/>
          <w:sz w:val="22"/>
        </w:rPr>
        <w:t>4. Results and discussion</w:t>
      </w:r>
    </w:p>
    <w:p>
      <w:pPr>
        <w:spacing w:line="480" w:lineRule="auto" w:after="0"/>
        <w:ind w:firstLine="360"/>
        <w:jc w:val="both"/>
      </w:pPr>
      <w:r>
        <w:rPr>
          <w:rFonts w:ascii="Times New Roman" w:hAnsi="Times New Roman"/>
          <w:sz w:val="22"/>
        </w:rPr>
        <w:t>Table 1 shows that the knowledge rules achieved the highest ranking performance, with mean ROC-AUC 0.7539 and PR-AUC 0.7373. The hybrid model produced the lowest Brier score, 0.2098, and the highest accuracy, 0.6722. Compared with the data-only model, the hybrid improved ROC-AUC from 0.7311 to 0.7450, reduced the Brier score from 0.2104 to 0.2098, and increased accuracy from 0.6709 to 0.6722. The standard deviations are small relative to the mean differences, although they should not be interpreted as confidence intervals for real organizations.</w:t>
      </w:r>
    </w:p>
    <w:p>
      <w:pPr>
        <w:spacing w:line="240" w:lineRule="auto" w:after="120"/>
        <w:jc w:val="left"/>
      </w:pPr>
      <w:r>
        <w:rPr>
          <w:rFonts w:ascii="Times New Roman" w:hAnsi="Times New Roman"/>
          <w:i/>
          <w:sz w:val="20"/>
        </w:rPr>
        <w:t>Table 1. Repeated-seed baseline comparison</w:t>
      </w:r>
    </w:p>
    <w:tbl>
      <w:tblPr>
        <w:tblW w:type="auto" w:w="0"/>
        <w:jc w:val="center"/>
        <w:tblLayout w:type="autofit"/>
        <w:tblLook w:firstColumn="1" w:firstRow="1" w:lastColumn="0" w:lastRow="0" w:noHBand="0" w:noVBand="1" w:val="04A0"/>
      </w:tblPr>
      <w:tblGrid>
        <w:gridCol w:w="1987"/>
        <w:gridCol w:w="1987"/>
        <w:gridCol w:w="1987"/>
        <w:gridCol w:w="1987"/>
        <w:gridCol w:w="1987"/>
      </w:tblGrid>
      <w:tr>
        <w:trPr>
          <w:tblHeader w:val="true"/>
        </w:trPr>
        <w:tc>
          <w:tcPr>
            <w:tcW w:type="dxa" w:w="1987"/>
            <w:vAlign w:val="center"/>
            <w:shd w:fill="F2F2F2"/>
            <w:tcBorders>
              <w:top w:val="nil"/>
              <w:left w:val="nil"/>
              <w:bottom w:val="single" w:sz="4" w:space="0" w:color="A0A0A0"/>
              <w:right w:val="nil"/>
            </w:tcBorders>
          </w:tcPr>
          <w:p>
            <w:pPr>
              <w:spacing w:after="0" w:line="240" w:lineRule="auto"/>
            </w:pPr>
            <w:r/>
            <w:r>
              <w:rPr>
                <w:rFonts w:ascii="Times New Roman" w:hAnsi="Times New Roman"/>
                <w:b/>
                <w:sz w:val="18"/>
              </w:rPr>
              <w:t>Estimator</w:t>
            </w:r>
          </w:p>
        </w:tc>
        <w:tc>
          <w:tcPr>
            <w:tcW w:type="dxa" w:w="1987"/>
            <w:vAlign w:val="center"/>
            <w:shd w:fill="F2F2F2"/>
            <w:tcBorders>
              <w:top w:val="nil"/>
              <w:left w:val="nil"/>
              <w:bottom w:val="single" w:sz="4" w:space="0" w:color="A0A0A0"/>
              <w:right w:val="nil"/>
            </w:tcBorders>
          </w:tcPr>
          <w:p>
            <w:pPr>
              <w:spacing w:after="0" w:line="240" w:lineRule="auto"/>
            </w:pPr>
            <w:r/>
            <w:r>
              <w:rPr>
                <w:rFonts w:ascii="Times New Roman" w:hAnsi="Times New Roman"/>
                <w:b/>
                <w:sz w:val="18"/>
              </w:rPr>
              <w:t>ROC-AUC</w:t>
            </w:r>
          </w:p>
        </w:tc>
        <w:tc>
          <w:tcPr>
            <w:tcW w:type="dxa" w:w="1987"/>
            <w:vAlign w:val="center"/>
            <w:shd w:fill="F2F2F2"/>
            <w:tcBorders>
              <w:top w:val="nil"/>
              <w:left w:val="nil"/>
              <w:bottom w:val="single" w:sz="4" w:space="0" w:color="A0A0A0"/>
              <w:right w:val="nil"/>
            </w:tcBorders>
          </w:tcPr>
          <w:p>
            <w:pPr>
              <w:spacing w:after="0" w:line="240" w:lineRule="auto"/>
            </w:pPr>
            <w:r/>
            <w:r>
              <w:rPr>
                <w:rFonts w:ascii="Times New Roman" w:hAnsi="Times New Roman"/>
                <w:b/>
                <w:sz w:val="18"/>
              </w:rPr>
              <w:t>PR-AUC</w:t>
            </w:r>
          </w:p>
        </w:tc>
        <w:tc>
          <w:tcPr>
            <w:tcW w:type="dxa" w:w="1987"/>
            <w:vAlign w:val="center"/>
            <w:shd w:fill="F2F2F2"/>
            <w:tcBorders>
              <w:top w:val="nil"/>
              <w:left w:val="nil"/>
              <w:bottom w:val="single" w:sz="4" w:space="0" w:color="A0A0A0"/>
              <w:right w:val="nil"/>
            </w:tcBorders>
          </w:tcPr>
          <w:p>
            <w:pPr>
              <w:spacing w:after="0" w:line="240" w:lineRule="auto"/>
            </w:pPr>
            <w:r/>
            <w:r>
              <w:rPr>
                <w:rFonts w:ascii="Times New Roman" w:hAnsi="Times New Roman"/>
                <w:b/>
                <w:sz w:val="18"/>
              </w:rPr>
              <w:t>Brier score</w:t>
            </w:r>
          </w:p>
        </w:tc>
        <w:tc>
          <w:tcPr>
            <w:tcW w:type="dxa" w:w="1987"/>
            <w:vAlign w:val="center"/>
            <w:shd w:fill="F2F2F2"/>
            <w:tcBorders>
              <w:top w:val="nil"/>
              <w:left w:val="nil"/>
              <w:bottom w:val="single" w:sz="4" w:space="0" w:color="A0A0A0"/>
              <w:right w:val="nil"/>
            </w:tcBorders>
          </w:tcPr>
          <w:p>
            <w:pPr>
              <w:spacing w:after="0" w:line="240" w:lineRule="auto"/>
            </w:pPr>
            <w:r/>
            <w:r>
              <w:rPr>
                <w:rFonts w:ascii="Times New Roman" w:hAnsi="Times New Roman"/>
                <w:b/>
                <w:sz w:val="18"/>
              </w:rPr>
              <w:t>Accuracy</w:t>
            </w:r>
          </w:p>
        </w:tc>
      </w:tr>
      <w:tr>
        <w:tc>
          <w:tcPr>
            <w:tcW w:type="dxa" w:w="1987"/>
            <w:vAlign w:val="center"/>
            <w:tcBorders>
              <w:top w:val="nil"/>
              <w:left w:val="nil"/>
              <w:bottom w:val="single" w:sz="4" w:space="0" w:color="A0A0A0"/>
              <w:right w:val="nil"/>
            </w:tcBorders>
          </w:tcPr>
          <w:p>
            <w:pPr>
              <w:spacing w:after="0" w:line="240" w:lineRule="auto"/>
            </w:pPr>
            <w:r/>
            <w:r>
              <w:rPr>
                <w:rFonts w:ascii="Times New Roman" w:hAnsi="Times New Roman"/>
                <w:b w:val="0"/>
                <w:sz w:val="18"/>
              </w:rPr>
              <w:t>Data-only AI</w:t>
            </w:r>
          </w:p>
        </w:tc>
        <w:tc>
          <w:tcPr>
            <w:tcW w:type="dxa" w:w="1987"/>
            <w:vAlign w:val="center"/>
            <w:tcBorders>
              <w:top w:val="nil"/>
              <w:left w:val="nil"/>
              <w:bottom w:val="single" w:sz="4" w:space="0" w:color="A0A0A0"/>
              <w:right w:val="nil"/>
            </w:tcBorders>
          </w:tcPr>
          <w:p>
            <w:pPr>
              <w:spacing w:after="0" w:line="240" w:lineRule="auto"/>
            </w:pPr>
            <w:r/>
            <w:r>
              <w:rPr>
                <w:rFonts w:ascii="Times New Roman" w:hAnsi="Times New Roman"/>
                <w:b w:val="0"/>
                <w:sz w:val="18"/>
              </w:rPr>
              <w:t>0.7311 (0.0166)</w:t>
            </w:r>
          </w:p>
        </w:tc>
        <w:tc>
          <w:tcPr>
            <w:tcW w:type="dxa" w:w="1987"/>
            <w:vAlign w:val="center"/>
            <w:tcBorders>
              <w:top w:val="nil"/>
              <w:left w:val="nil"/>
              <w:bottom w:val="single" w:sz="4" w:space="0" w:color="A0A0A0"/>
              <w:right w:val="nil"/>
            </w:tcBorders>
          </w:tcPr>
          <w:p>
            <w:pPr>
              <w:spacing w:after="0" w:line="240" w:lineRule="auto"/>
            </w:pPr>
            <w:r/>
            <w:r>
              <w:rPr>
                <w:rFonts w:ascii="Times New Roman" w:hAnsi="Times New Roman"/>
                <w:b w:val="0"/>
                <w:sz w:val="18"/>
              </w:rPr>
              <w:t>0.7119 (0.0164)</w:t>
            </w:r>
          </w:p>
        </w:tc>
        <w:tc>
          <w:tcPr>
            <w:tcW w:type="dxa" w:w="1987"/>
            <w:vAlign w:val="center"/>
            <w:tcBorders>
              <w:top w:val="nil"/>
              <w:left w:val="nil"/>
              <w:bottom w:val="single" w:sz="4" w:space="0" w:color="A0A0A0"/>
              <w:right w:val="nil"/>
            </w:tcBorders>
          </w:tcPr>
          <w:p>
            <w:pPr>
              <w:spacing w:after="0" w:line="240" w:lineRule="auto"/>
            </w:pPr>
            <w:r/>
            <w:r>
              <w:rPr>
                <w:rFonts w:ascii="Times New Roman" w:hAnsi="Times New Roman"/>
                <w:b w:val="0"/>
                <w:sz w:val="18"/>
              </w:rPr>
              <w:t>0.2104 (0.0046)</w:t>
            </w:r>
          </w:p>
        </w:tc>
        <w:tc>
          <w:tcPr>
            <w:tcW w:type="dxa" w:w="1987"/>
            <w:vAlign w:val="center"/>
            <w:tcBorders>
              <w:top w:val="nil"/>
              <w:left w:val="nil"/>
              <w:bottom w:val="single" w:sz="4" w:space="0" w:color="A0A0A0"/>
              <w:right w:val="nil"/>
            </w:tcBorders>
          </w:tcPr>
          <w:p>
            <w:pPr>
              <w:spacing w:after="0" w:line="240" w:lineRule="auto"/>
            </w:pPr>
            <w:r/>
            <w:r>
              <w:rPr>
                <w:rFonts w:ascii="Times New Roman" w:hAnsi="Times New Roman"/>
                <w:b w:val="0"/>
                <w:sz w:val="18"/>
              </w:rPr>
              <w:t>0.6709 (0.0241)</w:t>
            </w:r>
          </w:p>
        </w:tc>
      </w:tr>
      <w:tr>
        <w:tc>
          <w:tcPr>
            <w:tcW w:type="dxa" w:w="1987"/>
            <w:vAlign w:val="center"/>
            <w:tcBorders>
              <w:top w:val="nil"/>
              <w:left w:val="nil"/>
              <w:bottom w:val="single" w:sz="4" w:space="0" w:color="A0A0A0"/>
              <w:right w:val="nil"/>
            </w:tcBorders>
          </w:tcPr>
          <w:p>
            <w:pPr>
              <w:spacing w:after="0" w:line="240" w:lineRule="auto"/>
            </w:pPr>
            <w:r/>
            <w:r>
              <w:rPr>
                <w:rFonts w:ascii="Times New Roman" w:hAnsi="Times New Roman"/>
                <w:b w:val="0"/>
                <w:sz w:val="18"/>
              </w:rPr>
              <w:t>Knowledge rules</w:t>
            </w:r>
          </w:p>
        </w:tc>
        <w:tc>
          <w:tcPr>
            <w:tcW w:type="dxa" w:w="1987"/>
            <w:vAlign w:val="center"/>
            <w:tcBorders>
              <w:top w:val="nil"/>
              <w:left w:val="nil"/>
              <w:bottom w:val="single" w:sz="4" w:space="0" w:color="A0A0A0"/>
              <w:right w:val="nil"/>
            </w:tcBorders>
          </w:tcPr>
          <w:p>
            <w:pPr>
              <w:spacing w:after="0" w:line="240" w:lineRule="auto"/>
            </w:pPr>
            <w:r/>
            <w:r>
              <w:rPr>
                <w:rFonts w:ascii="Times New Roman" w:hAnsi="Times New Roman"/>
                <w:b w:val="0"/>
                <w:sz w:val="18"/>
              </w:rPr>
              <w:t>0.7539 (0.0090)</w:t>
            </w:r>
          </w:p>
        </w:tc>
        <w:tc>
          <w:tcPr>
            <w:tcW w:type="dxa" w:w="1987"/>
            <w:vAlign w:val="center"/>
            <w:tcBorders>
              <w:top w:val="nil"/>
              <w:left w:val="nil"/>
              <w:bottom w:val="single" w:sz="4" w:space="0" w:color="A0A0A0"/>
              <w:right w:val="nil"/>
            </w:tcBorders>
          </w:tcPr>
          <w:p>
            <w:pPr>
              <w:spacing w:after="0" w:line="240" w:lineRule="auto"/>
            </w:pPr>
            <w:r/>
            <w:r>
              <w:rPr>
                <w:rFonts w:ascii="Times New Roman" w:hAnsi="Times New Roman"/>
                <w:b w:val="0"/>
                <w:sz w:val="18"/>
              </w:rPr>
              <w:t>0.7373 (0.0155)</w:t>
            </w:r>
          </w:p>
        </w:tc>
        <w:tc>
          <w:tcPr>
            <w:tcW w:type="dxa" w:w="1987"/>
            <w:vAlign w:val="center"/>
            <w:tcBorders>
              <w:top w:val="nil"/>
              <w:left w:val="nil"/>
              <w:bottom w:val="single" w:sz="4" w:space="0" w:color="A0A0A0"/>
              <w:right w:val="nil"/>
            </w:tcBorders>
          </w:tcPr>
          <w:p>
            <w:pPr>
              <w:spacing w:after="0" w:line="240" w:lineRule="auto"/>
            </w:pPr>
            <w:r/>
            <w:r>
              <w:rPr>
                <w:rFonts w:ascii="Times New Roman" w:hAnsi="Times New Roman"/>
                <w:b w:val="0"/>
                <w:sz w:val="18"/>
              </w:rPr>
              <w:t>0.2184 (0.0027)</w:t>
            </w:r>
          </w:p>
        </w:tc>
        <w:tc>
          <w:tcPr>
            <w:tcW w:type="dxa" w:w="1987"/>
            <w:vAlign w:val="center"/>
            <w:tcBorders>
              <w:top w:val="nil"/>
              <w:left w:val="nil"/>
              <w:bottom w:val="single" w:sz="4" w:space="0" w:color="A0A0A0"/>
              <w:right w:val="nil"/>
            </w:tcBorders>
          </w:tcPr>
          <w:p>
            <w:pPr>
              <w:spacing w:after="0" w:line="240" w:lineRule="auto"/>
            </w:pPr>
            <w:r/>
            <w:r>
              <w:rPr>
                <w:rFonts w:ascii="Times New Roman" w:hAnsi="Times New Roman"/>
                <w:b w:val="0"/>
                <w:sz w:val="18"/>
              </w:rPr>
              <w:t>0.6307 (0.0086)</w:t>
            </w:r>
          </w:p>
        </w:tc>
      </w:tr>
      <w:tr>
        <w:tc>
          <w:tcPr>
            <w:tcW w:type="dxa" w:w="1987"/>
            <w:vAlign w:val="center"/>
            <w:tcBorders>
              <w:top w:val="nil"/>
              <w:left w:val="nil"/>
              <w:bottom w:val="single" w:sz="4" w:space="0" w:color="A0A0A0"/>
              <w:right w:val="nil"/>
            </w:tcBorders>
          </w:tcPr>
          <w:p>
            <w:pPr>
              <w:spacing w:after="0" w:line="240" w:lineRule="auto"/>
            </w:pPr>
            <w:r/>
            <w:r>
              <w:rPr>
                <w:rFonts w:ascii="Times New Roman" w:hAnsi="Times New Roman"/>
                <w:b w:val="0"/>
                <w:sz w:val="18"/>
              </w:rPr>
              <w:t>Hybrid K-AIDE</w:t>
            </w:r>
          </w:p>
        </w:tc>
        <w:tc>
          <w:tcPr>
            <w:tcW w:type="dxa" w:w="1987"/>
            <w:vAlign w:val="center"/>
            <w:tcBorders>
              <w:top w:val="nil"/>
              <w:left w:val="nil"/>
              <w:bottom w:val="single" w:sz="4" w:space="0" w:color="A0A0A0"/>
              <w:right w:val="nil"/>
            </w:tcBorders>
          </w:tcPr>
          <w:p>
            <w:pPr>
              <w:spacing w:after="0" w:line="240" w:lineRule="auto"/>
            </w:pPr>
            <w:r/>
            <w:r>
              <w:rPr>
                <w:rFonts w:ascii="Times New Roman" w:hAnsi="Times New Roman"/>
                <w:b w:val="0"/>
                <w:sz w:val="18"/>
              </w:rPr>
              <w:t>0.7450 (0.0128)</w:t>
            </w:r>
          </w:p>
        </w:tc>
        <w:tc>
          <w:tcPr>
            <w:tcW w:type="dxa" w:w="1987"/>
            <w:vAlign w:val="center"/>
            <w:tcBorders>
              <w:top w:val="nil"/>
              <w:left w:val="nil"/>
              <w:bottom w:val="single" w:sz="4" w:space="0" w:color="A0A0A0"/>
              <w:right w:val="nil"/>
            </w:tcBorders>
          </w:tcPr>
          <w:p>
            <w:pPr>
              <w:spacing w:after="0" w:line="240" w:lineRule="auto"/>
            </w:pPr>
            <w:r/>
            <w:r>
              <w:rPr>
                <w:rFonts w:ascii="Times New Roman" w:hAnsi="Times New Roman"/>
                <w:b w:val="0"/>
                <w:sz w:val="18"/>
              </w:rPr>
              <w:t>0.7266 (0.0139)</w:t>
            </w:r>
          </w:p>
        </w:tc>
        <w:tc>
          <w:tcPr>
            <w:tcW w:type="dxa" w:w="1987"/>
            <w:vAlign w:val="center"/>
            <w:tcBorders>
              <w:top w:val="nil"/>
              <w:left w:val="nil"/>
              <w:bottom w:val="single" w:sz="4" w:space="0" w:color="A0A0A0"/>
              <w:right w:val="nil"/>
            </w:tcBorders>
          </w:tcPr>
          <w:p>
            <w:pPr>
              <w:spacing w:after="0" w:line="240" w:lineRule="auto"/>
            </w:pPr>
            <w:r/>
            <w:r>
              <w:rPr>
                <w:rFonts w:ascii="Times New Roman" w:hAnsi="Times New Roman"/>
                <w:b w:val="0"/>
                <w:sz w:val="18"/>
              </w:rPr>
              <w:t>0.2098 (0.0031)</w:t>
            </w:r>
          </w:p>
        </w:tc>
        <w:tc>
          <w:tcPr>
            <w:tcW w:type="dxa" w:w="1987"/>
            <w:vAlign w:val="center"/>
            <w:tcBorders>
              <w:top w:val="nil"/>
              <w:left w:val="nil"/>
              <w:bottom w:val="single" w:sz="4" w:space="0" w:color="A0A0A0"/>
              <w:right w:val="nil"/>
            </w:tcBorders>
          </w:tcPr>
          <w:p>
            <w:pPr>
              <w:spacing w:after="0" w:line="240" w:lineRule="auto"/>
            </w:pPr>
            <w:r/>
            <w:r>
              <w:rPr>
                <w:rFonts w:ascii="Times New Roman" w:hAnsi="Times New Roman"/>
                <w:b w:val="0"/>
                <w:sz w:val="18"/>
              </w:rPr>
              <w:t>0.6722 (0.0224)</w:t>
            </w:r>
          </w:p>
        </w:tc>
      </w:tr>
    </w:tbl>
    <w:p>
      <w:pPr>
        <w:spacing w:after="0"/>
      </w:pPr>
    </w:p>
    <w:p>
      <w:pPr>
        <w:spacing w:line="480" w:lineRule="auto" w:after="0"/>
        <w:ind w:firstLine="360"/>
        <w:jc w:val="both"/>
      </w:pPr>
      <w:r>
        <w:rPr>
          <w:rFonts w:ascii="Times New Roman" w:hAnsi="Times New Roman"/>
          <w:sz w:val="22"/>
        </w:rPr>
        <w:t>Values are mean (standard deviation) across five fixed seeds. Higher is better for ROC-AUC, PR-AUC, and accuracy; lower is better for Brier score.</w:t>
      </w:r>
    </w:p>
    <w:p>
      <w:pPr>
        <w:spacing w:line="480" w:lineRule="auto" w:after="0"/>
        <w:ind w:firstLine="360"/>
        <w:jc w:val="both"/>
      </w:pPr>
      <w:r>
        <w:rPr>
          <w:rFonts w:ascii="Times New Roman" w:hAnsi="Times New Roman"/>
          <w:sz w:val="22"/>
        </w:rPr>
        <w:t>Figure 2 provides a visual comparison of ranking, calibration, accuracy, and blend sensitivity. The sensitivity panel shows why the blend parameter should be validated rather than treated as a universal constant. The knowledge layer supplies strong ranking structure in this controlled benchmark, while the data model contributes calibration information that improves the combined probability.</w:t>
      </w:r>
    </w:p>
    <w:p>
      <w:pPr>
        <w:spacing w:line="240" w:lineRule="auto" w:before="120" w:after="60"/>
        <w:jc w:val="center"/>
      </w:pPr>
      <w:r>
        <w:drawing>
          <wp:inline xmlns:a="http://schemas.openxmlformats.org/drawingml/2006/main" xmlns:pic="http://schemas.openxmlformats.org/drawingml/2006/picture">
            <wp:extent cx="5897880" cy="4401981"/>
            <wp:docPr id="2" name="Picture 2" descr="Four-panel chart showing repeated-seed ranking quality, probability calibration, classification accuracy, and sensitivity to the data-model blend weight." title="figure 2 results"/>
            <wp:cNvGraphicFramePr>
              <a:graphicFrameLocks noChangeAspect="1"/>
            </wp:cNvGraphicFramePr>
            <a:graphic>
              <a:graphicData uri="http://schemas.openxmlformats.org/drawingml/2006/picture">
                <pic:pic>
                  <pic:nvPicPr>
                    <pic:cNvPr id="0" name="figure_2_results.png"/>
                    <pic:cNvPicPr/>
                  </pic:nvPicPr>
                  <pic:blipFill>
                    <a:blip r:embed="rId11"/>
                    <a:stretch>
                      <a:fillRect/>
                    </a:stretch>
                  </pic:blipFill>
                  <pic:spPr>
                    <a:xfrm>
                      <a:off x="0" y="0"/>
                      <a:ext cx="5897880" cy="4401981"/>
                    </a:xfrm>
                    <a:prstGeom prst="rect"/>
                  </pic:spPr>
                </pic:pic>
              </a:graphicData>
            </a:graphic>
          </wp:inline>
        </w:drawing>
      </w:r>
    </w:p>
    <w:p>
      <w:pPr>
        <w:spacing w:line="240" w:lineRule="auto" w:after="120"/>
        <w:jc w:val="left"/>
      </w:pPr>
      <w:r>
        <w:rPr>
          <w:rFonts w:ascii="Times New Roman" w:hAnsi="Times New Roman"/>
          <w:i/>
          <w:sz w:val="20"/>
        </w:rPr>
        <w:t>Fig. 2. Repeated-seed performance and blend sensitivity. Bars show mean values with standard-deviation error bars; the lower-right panel varies alpha while holding the held-out records fixed.</w:t>
      </w:r>
    </w:p>
    <w:p>
      <w:pPr>
        <w:spacing w:line="480" w:lineRule="auto" w:after="0"/>
        <w:ind w:firstLine="360"/>
        <w:jc w:val="both"/>
      </w:pPr>
      <w:r>
        <w:rPr>
          <w:rFonts w:ascii="Times New Roman" w:hAnsi="Times New Roman"/>
          <w:sz w:val="22"/>
        </w:rPr>
        <w:t xml:space="preserve">Table 2 separates the contributions of the two components. Removing both layers produces a near-chance reference. The data-only and knowledge-only variants recover useful structure, but the hybrid has the lowest Brier score and highest accuracy. The two-sided paired tests on the 4,500 record-level squared-error pairs give </w:t>
      </w:r>
      <w:r>
        <w:rPr>
          <w:rFonts w:ascii="Times New Roman" w:hAnsi="Times New Roman"/>
          <w:i/>
          <w:sz w:val="22"/>
        </w:rPr>
        <w:t>p</w:t>
      </w:r>
      <w:r>
        <w:rPr>
          <w:rFonts w:ascii="Times New Roman" w:hAnsi="Times New Roman"/>
          <w:sz w:val="22"/>
        </w:rPr>
        <w:t xml:space="preserve"> = 3.147e-05 for the hybrid versus data-only comparison and </w:t>
      </w:r>
      <w:r>
        <w:rPr>
          <w:rFonts w:ascii="Times New Roman" w:hAnsi="Times New Roman"/>
          <w:i/>
          <w:sz w:val="22"/>
        </w:rPr>
        <w:t>p</w:t>
      </w:r>
      <w:r>
        <w:rPr>
          <w:rFonts w:ascii="Times New Roman" w:hAnsi="Times New Roman"/>
          <w:sz w:val="22"/>
        </w:rPr>
        <w:t xml:space="preserve"> = 1.995e-20 for the hybrid versus knowledge-rules comparison. These p-values are descriptive within the generated benchmark and should not be presented as field-study significance.</w:t>
      </w:r>
    </w:p>
    <w:p>
      <w:pPr>
        <w:spacing w:line="240" w:lineRule="auto" w:after="120"/>
        <w:jc w:val="left"/>
      </w:pPr>
      <w:r>
        <w:rPr>
          <w:rFonts w:ascii="Times New Roman" w:hAnsi="Times New Roman"/>
          <w:i/>
          <w:sz w:val="20"/>
        </w:rPr>
        <w:t>Table 2. 2 x 2 component ablation</w:t>
      </w:r>
    </w:p>
    <w:tbl>
      <w:tblPr>
        <w:tblW w:type="auto" w:w="0"/>
        <w:jc w:val="center"/>
        <w:tblLayout w:type="autofit"/>
        <w:tblLook w:firstColumn="1" w:firstRow="1" w:lastColumn="0" w:lastRow="0" w:noHBand="0" w:noVBand="1" w:val="04A0"/>
      </w:tblPr>
      <w:tblGrid>
        <w:gridCol w:w="1656"/>
        <w:gridCol w:w="1656"/>
        <w:gridCol w:w="1656"/>
        <w:gridCol w:w="1656"/>
        <w:gridCol w:w="1656"/>
        <w:gridCol w:w="1656"/>
      </w:tblGrid>
      <w:tr>
        <w:trPr>
          <w:tblHeader w:val="true"/>
        </w:trPr>
        <w:tc>
          <w:tcPr>
            <w:tcW w:type="dxa" w:w="1656"/>
            <w:vAlign w:val="center"/>
            <w:shd w:fill="F2F2F2"/>
            <w:tcBorders>
              <w:top w:val="nil"/>
              <w:left w:val="nil"/>
              <w:bottom w:val="single" w:sz="4" w:space="0" w:color="A0A0A0"/>
              <w:right w:val="nil"/>
            </w:tcBorders>
          </w:tcPr>
          <w:p>
            <w:pPr>
              <w:spacing w:after="0" w:line="240" w:lineRule="auto"/>
            </w:pPr>
            <w:r/>
            <w:r>
              <w:rPr>
                <w:rFonts w:ascii="Times New Roman" w:hAnsi="Times New Roman"/>
                <w:b/>
                <w:sz w:val="18"/>
              </w:rPr>
              <w:t>Variant</w:t>
            </w:r>
          </w:p>
        </w:tc>
        <w:tc>
          <w:tcPr>
            <w:tcW w:type="dxa" w:w="1656"/>
            <w:vAlign w:val="center"/>
            <w:shd w:fill="F2F2F2"/>
            <w:tcBorders>
              <w:top w:val="nil"/>
              <w:left w:val="nil"/>
              <w:bottom w:val="single" w:sz="4" w:space="0" w:color="A0A0A0"/>
              <w:right w:val="nil"/>
            </w:tcBorders>
          </w:tcPr>
          <w:p>
            <w:pPr>
              <w:spacing w:after="0" w:line="240" w:lineRule="auto"/>
            </w:pPr>
            <w:r/>
            <w:r>
              <w:rPr>
                <w:rFonts w:ascii="Times New Roman" w:hAnsi="Times New Roman"/>
                <w:b/>
                <w:sz w:val="18"/>
              </w:rPr>
              <w:t>Data model</w:t>
            </w:r>
          </w:p>
        </w:tc>
        <w:tc>
          <w:tcPr>
            <w:tcW w:type="dxa" w:w="1656"/>
            <w:vAlign w:val="center"/>
            <w:shd w:fill="F2F2F2"/>
            <w:tcBorders>
              <w:top w:val="nil"/>
              <w:left w:val="nil"/>
              <w:bottom w:val="single" w:sz="4" w:space="0" w:color="A0A0A0"/>
              <w:right w:val="nil"/>
            </w:tcBorders>
          </w:tcPr>
          <w:p>
            <w:pPr>
              <w:spacing w:after="0" w:line="240" w:lineRule="auto"/>
            </w:pPr>
            <w:r/>
            <w:r>
              <w:rPr>
                <w:rFonts w:ascii="Times New Roman" w:hAnsi="Times New Roman"/>
                <w:b/>
                <w:sz w:val="18"/>
              </w:rPr>
              <w:t>Knowledge layer</w:t>
            </w:r>
          </w:p>
        </w:tc>
        <w:tc>
          <w:tcPr>
            <w:tcW w:type="dxa" w:w="1656"/>
            <w:vAlign w:val="center"/>
            <w:shd w:fill="F2F2F2"/>
            <w:tcBorders>
              <w:top w:val="nil"/>
              <w:left w:val="nil"/>
              <w:bottom w:val="single" w:sz="4" w:space="0" w:color="A0A0A0"/>
              <w:right w:val="nil"/>
            </w:tcBorders>
          </w:tcPr>
          <w:p>
            <w:pPr>
              <w:spacing w:after="0" w:line="240" w:lineRule="auto"/>
            </w:pPr>
            <w:r/>
            <w:r>
              <w:rPr>
                <w:rFonts w:ascii="Times New Roman" w:hAnsi="Times New Roman"/>
                <w:b/>
                <w:sz w:val="18"/>
              </w:rPr>
              <w:t>ROC-AUC</w:t>
            </w:r>
          </w:p>
        </w:tc>
        <w:tc>
          <w:tcPr>
            <w:tcW w:type="dxa" w:w="1656"/>
            <w:vAlign w:val="center"/>
            <w:shd w:fill="F2F2F2"/>
            <w:tcBorders>
              <w:top w:val="nil"/>
              <w:left w:val="nil"/>
              <w:bottom w:val="single" w:sz="4" w:space="0" w:color="A0A0A0"/>
              <w:right w:val="nil"/>
            </w:tcBorders>
          </w:tcPr>
          <w:p>
            <w:pPr>
              <w:spacing w:after="0" w:line="240" w:lineRule="auto"/>
            </w:pPr>
            <w:r/>
            <w:r>
              <w:rPr>
                <w:rFonts w:ascii="Times New Roman" w:hAnsi="Times New Roman"/>
                <w:b/>
                <w:sz w:val="18"/>
              </w:rPr>
              <w:t>Brier score</w:t>
            </w:r>
          </w:p>
        </w:tc>
        <w:tc>
          <w:tcPr>
            <w:tcW w:type="dxa" w:w="1656"/>
            <w:vAlign w:val="center"/>
            <w:shd w:fill="F2F2F2"/>
            <w:tcBorders>
              <w:top w:val="nil"/>
              <w:left w:val="nil"/>
              <w:bottom w:val="single" w:sz="4" w:space="0" w:color="A0A0A0"/>
              <w:right w:val="nil"/>
            </w:tcBorders>
          </w:tcPr>
          <w:p>
            <w:pPr>
              <w:spacing w:after="0" w:line="240" w:lineRule="auto"/>
            </w:pPr>
            <w:r/>
            <w:r>
              <w:rPr>
                <w:rFonts w:ascii="Times New Roman" w:hAnsi="Times New Roman"/>
                <w:b/>
                <w:sz w:val="18"/>
              </w:rPr>
              <w:t>Accuracy</w:t>
            </w:r>
          </w:p>
        </w:tc>
      </w:tr>
      <w:tr>
        <w:tc>
          <w:tcPr>
            <w:tcW w:type="dxa" w:w="1656"/>
            <w:vAlign w:val="center"/>
            <w:tcBorders>
              <w:top w:val="nil"/>
              <w:left w:val="nil"/>
              <w:bottom w:val="single" w:sz="4" w:space="0" w:color="A0A0A0"/>
              <w:right w:val="nil"/>
            </w:tcBorders>
          </w:tcPr>
          <w:p>
            <w:pPr>
              <w:spacing w:after="0" w:line="240" w:lineRule="auto"/>
            </w:pPr>
            <w:r/>
            <w:r>
              <w:rPr>
                <w:rFonts w:ascii="Times New Roman" w:hAnsi="Times New Roman"/>
                <w:b w:val="0"/>
                <w:sz w:val="18"/>
              </w:rPr>
              <w:t>Neither layer</w:t>
            </w:r>
          </w:p>
        </w:tc>
        <w:tc>
          <w:tcPr>
            <w:tcW w:type="dxa" w:w="1656"/>
            <w:vAlign w:val="center"/>
            <w:tcBorders>
              <w:top w:val="nil"/>
              <w:left w:val="nil"/>
              <w:bottom w:val="single" w:sz="4" w:space="0" w:color="A0A0A0"/>
              <w:right w:val="nil"/>
            </w:tcBorders>
          </w:tcPr>
          <w:p>
            <w:pPr>
              <w:spacing w:after="0" w:line="240" w:lineRule="auto"/>
            </w:pPr>
            <w:r/>
            <w:r>
              <w:rPr>
                <w:rFonts w:ascii="Times New Roman" w:hAnsi="Times New Roman"/>
                <w:b w:val="0"/>
                <w:sz w:val="18"/>
              </w:rPr>
              <w:t>No</w:t>
            </w:r>
          </w:p>
        </w:tc>
        <w:tc>
          <w:tcPr>
            <w:tcW w:type="dxa" w:w="1656"/>
            <w:vAlign w:val="center"/>
            <w:tcBorders>
              <w:top w:val="nil"/>
              <w:left w:val="nil"/>
              <w:bottom w:val="single" w:sz="4" w:space="0" w:color="A0A0A0"/>
              <w:right w:val="nil"/>
            </w:tcBorders>
          </w:tcPr>
          <w:p>
            <w:pPr>
              <w:spacing w:after="0" w:line="240" w:lineRule="auto"/>
            </w:pPr>
            <w:r/>
            <w:r>
              <w:rPr>
                <w:rFonts w:ascii="Times New Roman" w:hAnsi="Times New Roman"/>
                <w:b w:val="0"/>
                <w:sz w:val="18"/>
              </w:rPr>
              <w:t>No</w:t>
            </w:r>
          </w:p>
        </w:tc>
        <w:tc>
          <w:tcPr>
            <w:tcW w:type="dxa" w:w="1656"/>
            <w:vAlign w:val="center"/>
            <w:tcBorders>
              <w:top w:val="nil"/>
              <w:left w:val="nil"/>
              <w:bottom w:val="single" w:sz="4" w:space="0" w:color="A0A0A0"/>
              <w:right w:val="nil"/>
            </w:tcBorders>
          </w:tcPr>
          <w:p>
            <w:pPr>
              <w:spacing w:after="0" w:line="240" w:lineRule="auto"/>
            </w:pPr>
            <w:r/>
            <w:r>
              <w:rPr>
                <w:rFonts w:ascii="Times New Roman" w:hAnsi="Times New Roman"/>
                <w:b w:val="0"/>
                <w:sz w:val="18"/>
              </w:rPr>
              <w:t>0.5000</w:t>
            </w:r>
          </w:p>
        </w:tc>
        <w:tc>
          <w:tcPr>
            <w:tcW w:type="dxa" w:w="1656"/>
            <w:vAlign w:val="center"/>
            <w:tcBorders>
              <w:top w:val="nil"/>
              <w:left w:val="nil"/>
              <w:bottom w:val="single" w:sz="4" w:space="0" w:color="A0A0A0"/>
              <w:right w:val="nil"/>
            </w:tcBorders>
          </w:tcPr>
          <w:p>
            <w:pPr>
              <w:spacing w:after="0" w:line="240" w:lineRule="auto"/>
            </w:pPr>
            <w:r/>
            <w:r>
              <w:rPr>
                <w:rFonts w:ascii="Times New Roman" w:hAnsi="Times New Roman"/>
                <w:b w:val="0"/>
                <w:sz w:val="18"/>
              </w:rPr>
              <w:t>0.2500</w:t>
            </w:r>
          </w:p>
        </w:tc>
        <w:tc>
          <w:tcPr>
            <w:tcW w:type="dxa" w:w="1656"/>
            <w:vAlign w:val="center"/>
            <w:tcBorders>
              <w:top w:val="nil"/>
              <w:left w:val="nil"/>
              <w:bottom w:val="single" w:sz="4" w:space="0" w:color="A0A0A0"/>
              <w:right w:val="nil"/>
            </w:tcBorders>
          </w:tcPr>
          <w:p>
            <w:pPr>
              <w:spacing w:after="0" w:line="240" w:lineRule="auto"/>
            </w:pPr>
            <w:r/>
            <w:r>
              <w:rPr>
                <w:rFonts w:ascii="Times New Roman" w:hAnsi="Times New Roman"/>
                <w:b w:val="0"/>
                <w:sz w:val="18"/>
              </w:rPr>
              <w:t>0.4804</w:t>
            </w:r>
          </w:p>
        </w:tc>
      </w:tr>
      <w:tr>
        <w:tc>
          <w:tcPr>
            <w:tcW w:type="dxa" w:w="1656"/>
            <w:vAlign w:val="center"/>
            <w:tcBorders>
              <w:top w:val="nil"/>
              <w:left w:val="nil"/>
              <w:bottom w:val="single" w:sz="4" w:space="0" w:color="A0A0A0"/>
              <w:right w:val="nil"/>
            </w:tcBorders>
          </w:tcPr>
          <w:p>
            <w:pPr>
              <w:spacing w:after="0" w:line="240" w:lineRule="auto"/>
            </w:pPr>
            <w:r/>
            <w:r>
              <w:rPr>
                <w:rFonts w:ascii="Times New Roman" w:hAnsi="Times New Roman"/>
                <w:b w:val="0"/>
                <w:sz w:val="18"/>
              </w:rPr>
              <w:t>Data-only AI</w:t>
            </w:r>
          </w:p>
        </w:tc>
        <w:tc>
          <w:tcPr>
            <w:tcW w:type="dxa" w:w="1656"/>
            <w:vAlign w:val="center"/>
            <w:tcBorders>
              <w:top w:val="nil"/>
              <w:left w:val="nil"/>
              <w:bottom w:val="single" w:sz="4" w:space="0" w:color="A0A0A0"/>
              <w:right w:val="nil"/>
            </w:tcBorders>
          </w:tcPr>
          <w:p>
            <w:pPr>
              <w:spacing w:after="0" w:line="240" w:lineRule="auto"/>
            </w:pPr>
            <w:r/>
            <w:r>
              <w:rPr>
                <w:rFonts w:ascii="Times New Roman" w:hAnsi="Times New Roman"/>
                <w:b w:val="0"/>
                <w:sz w:val="18"/>
              </w:rPr>
              <w:t>Yes</w:t>
            </w:r>
          </w:p>
        </w:tc>
        <w:tc>
          <w:tcPr>
            <w:tcW w:type="dxa" w:w="1656"/>
            <w:vAlign w:val="center"/>
            <w:tcBorders>
              <w:top w:val="nil"/>
              <w:left w:val="nil"/>
              <w:bottom w:val="single" w:sz="4" w:space="0" w:color="A0A0A0"/>
              <w:right w:val="nil"/>
            </w:tcBorders>
          </w:tcPr>
          <w:p>
            <w:pPr>
              <w:spacing w:after="0" w:line="240" w:lineRule="auto"/>
            </w:pPr>
            <w:r/>
            <w:r>
              <w:rPr>
                <w:rFonts w:ascii="Times New Roman" w:hAnsi="Times New Roman"/>
                <w:b w:val="0"/>
                <w:sz w:val="18"/>
              </w:rPr>
              <w:t>No</w:t>
            </w:r>
          </w:p>
        </w:tc>
        <w:tc>
          <w:tcPr>
            <w:tcW w:type="dxa" w:w="1656"/>
            <w:vAlign w:val="center"/>
            <w:tcBorders>
              <w:top w:val="nil"/>
              <w:left w:val="nil"/>
              <w:bottom w:val="single" w:sz="4" w:space="0" w:color="A0A0A0"/>
              <w:right w:val="nil"/>
            </w:tcBorders>
          </w:tcPr>
          <w:p>
            <w:pPr>
              <w:spacing w:after="0" w:line="240" w:lineRule="auto"/>
            </w:pPr>
            <w:r/>
            <w:r>
              <w:rPr>
                <w:rFonts w:ascii="Times New Roman" w:hAnsi="Times New Roman"/>
                <w:b w:val="0"/>
                <w:sz w:val="18"/>
              </w:rPr>
              <w:t>0.7311</w:t>
            </w:r>
          </w:p>
        </w:tc>
        <w:tc>
          <w:tcPr>
            <w:tcW w:type="dxa" w:w="1656"/>
            <w:vAlign w:val="center"/>
            <w:tcBorders>
              <w:top w:val="nil"/>
              <w:left w:val="nil"/>
              <w:bottom w:val="single" w:sz="4" w:space="0" w:color="A0A0A0"/>
              <w:right w:val="nil"/>
            </w:tcBorders>
          </w:tcPr>
          <w:p>
            <w:pPr>
              <w:spacing w:after="0" w:line="240" w:lineRule="auto"/>
            </w:pPr>
            <w:r/>
            <w:r>
              <w:rPr>
                <w:rFonts w:ascii="Times New Roman" w:hAnsi="Times New Roman"/>
                <w:b w:val="0"/>
                <w:sz w:val="18"/>
              </w:rPr>
              <w:t>0.2104</w:t>
            </w:r>
          </w:p>
        </w:tc>
        <w:tc>
          <w:tcPr>
            <w:tcW w:type="dxa" w:w="1656"/>
            <w:vAlign w:val="center"/>
            <w:tcBorders>
              <w:top w:val="nil"/>
              <w:left w:val="nil"/>
              <w:bottom w:val="single" w:sz="4" w:space="0" w:color="A0A0A0"/>
              <w:right w:val="nil"/>
            </w:tcBorders>
          </w:tcPr>
          <w:p>
            <w:pPr>
              <w:spacing w:after="0" w:line="240" w:lineRule="auto"/>
            </w:pPr>
            <w:r/>
            <w:r>
              <w:rPr>
                <w:rFonts w:ascii="Times New Roman" w:hAnsi="Times New Roman"/>
                <w:b w:val="0"/>
                <w:sz w:val="18"/>
              </w:rPr>
              <w:t>0.6709</w:t>
            </w:r>
          </w:p>
        </w:tc>
      </w:tr>
      <w:tr>
        <w:tc>
          <w:tcPr>
            <w:tcW w:type="dxa" w:w="1656"/>
            <w:vAlign w:val="center"/>
            <w:tcBorders>
              <w:top w:val="nil"/>
              <w:left w:val="nil"/>
              <w:bottom w:val="single" w:sz="4" w:space="0" w:color="A0A0A0"/>
              <w:right w:val="nil"/>
            </w:tcBorders>
          </w:tcPr>
          <w:p>
            <w:pPr>
              <w:spacing w:after="0" w:line="240" w:lineRule="auto"/>
            </w:pPr>
            <w:r/>
            <w:r>
              <w:rPr>
                <w:rFonts w:ascii="Times New Roman" w:hAnsi="Times New Roman"/>
                <w:b w:val="0"/>
                <w:sz w:val="18"/>
              </w:rPr>
              <w:t>Knowledge rules</w:t>
            </w:r>
          </w:p>
        </w:tc>
        <w:tc>
          <w:tcPr>
            <w:tcW w:type="dxa" w:w="1656"/>
            <w:vAlign w:val="center"/>
            <w:tcBorders>
              <w:top w:val="nil"/>
              <w:left w:val="nil"/>
              <w:bottom w:val="single" w:sz="4" w:space="0" w:color="A0A0A0"/>
              <w:right w:val="nil"/>
            </w:tcBorders>
          </w:tcPr>
          <w:p>
            <w:pPr>
              <w:spacing w:after="0" w:line="240" w:lineRule="auto"/>
            </w:pPr>
            <w:r/>
            <w:r>
              <w:rPr>
                <w:rFonts w:ascii="Times New Roman" w:hAnsi="Times New Roman"/>
                <w:b w:val="0"/>
                <w:sz w:val="18"/>
              </w:rPr>
              <w:t>No</w:t>
            </w:r>
          </w:p>
        </w:tc>
        <w:tc>
          <w:tcPr>
            <w:tcW w:type="dxa" w:w="1656"/>
            <w:vAlign w:val="center"/>
            <w:tcBorders>
              <w:top w:val="nil"/>
              <w:left w:val="nil"/>
              <w:bottom w:val="single" w:sz="4" w:space="0" w:color="A0A0A0"/>
              <w:right w:val="nil"/>
            </w:tcBorders>
          </w:tcPr>
          <w:p>
            <w:pPr>
              <w:spacing w:after="0" w:line="240" w:lineRule="auto"/>
            </w:pPr>
            <w:r/>
            <w:r>
              <w:rPr>
                <w:rFonts w:ascii="Times New Roman" w:hAnsi="Times New Roman"/>
                <w:b w:val="0"/>
                <w:sz w:val="18"/>
              </w:rPr>
              <w:t>Yes</w:t>
            </w:r>
          </w:p>
        </w:tc>
        <w:tc>
          <w:tcPr>
            <w:tcW w:type="dxa" w:w="1656"/>
            <w:vAlign w:val="center"/>
            <w:tcBorders>
              <w:top w:val="nil"/>
              <w:left w:val="nil"/>
              <w:bottom w:val="single" w:sz="4" w:space="0" w:color="A0A0A0"/>
              <w:right w:val="nil"/>
            </w:tcBorders>
          </w:tcPr>
          <w:p>
            <w:pPr>
              <w:spacing w:after="0" w:line="240" w:lineRule="auto"/>
            </w:pPr>
            <w:r/>
            <w:r>
              <w:rPr>
                <w:rFonts w:ascii="Times New Roman" w:hAnsi="Times New Roman"/>
                <w:b w:val="0"/>
                <w:sz w:val="18"/>
              </w:rPr>
              <w:t>0.7539</w:t>
            </w:r>
          </w:p>
        </w:tc>
        <w:tc>
          <w:tcPr>
            <w:tcW w:type="dxa" w:w="1656"/>
            <w:vAlign w:val="center"/>
            <w:tcBorders>
              <w:top w:val="nil"/>
              <w:left w:val="nil"/>
              <w:bottom w:val="single" w:sz="4" w:space="0" w:color="A0A0A0"/>
              <w:right w:val="nil"/>
            </w:tcBorders>
          </w:tcPr>
          <w:p>
            <w:pPr>
              <w:spacing w:after="0" w:line="240" w:lineRule="auto"/>
            </w:pPr>
            <w:r/>
            <w:r>
              <w:rPr>
                <w:rFonts w:ascii="Times New Roman" w:hAnsi="Times New Roman"/>
                <w:b w:val="0"/>
                <w:sz w:val="18"/>
              </w:rPr>
              <w:t>0.2184</w:t>
            </w:r>
          </w:p>
        </w:tc>
        <w:tc>
          <w:tcPr>
            <w:tcW w:type="dxa" w:w="1656"/>
            <w:vAlign w:val="center"/>
            <w:tcBorders>
              <w:top w:val="nil"/>
              <w:left w:val="nil"/>
              <w:bottom w:val="single" w:sz="4" w:space="0" w:color="A0A0A0"/>
              <w:right w:val="nil"/>
            </w:tcBorders>
          </w:tcPr>
          <w:p>
            <w:pPr>
              <w:spacing w:after="0" w:line="240" w:lineRule="auto"/>
            </w:pPr>
            <w:r/>
            <w:r>
              <w:rPr>
                <w:rFonts w:ascii="Times New Roman" w:hAnsi="Times New Roman"/>
                <w:b w:val="0"/>
                <w:sz w:val="18"/>
              </w:rPr>
              <w:t>0.6307</w:t>
            </w:r>
          </w:p>
        </w:tc>
      </w:tr>
      <w:tr>
        <w:tc>
          <w:tcPr>
            <w:tcW w:type="dxa" w:w="1656"/>
            <w:vAlign w:val="center"/>
            <w:tcBorders>
              <w:top w:val="nil"/>
              <w:left w:val="nil"/>
              <w:bottom w:val="single" w:sz="4" w:space="0" w:color="A0A0A0"/>
              <w:right w:val="nil"/>
            </w:tcBorders>
          </w:tcPr>
          <w:p>
            <w:pPr>
              <w:spacing w:after="0" w:line="240" w:lineRule="auto"/>
            </w:pPr>
            <w:r/>
            <w:r>
              <w:rPr>
                <w:rFonts w:ascii="Times New Roman" w:hAnsi="Times New Roman"/>
                <w:b w:val="0"/>
                <w:sz w:val="18"/>
              </w:rPr>
              <w:t>Hybrid K-AIDE</w:t>
            </w:r>
          </w:p>
        </w:tc>
        <w:tc>
          <w:tcPr>
            <w:tcW w:type="dxa" w:w="1656"/>
            <w:vAlign w:val="center"/>
            <w:tcBorders>
              <w:top w:val="nil"/>
              <w:left w:val="nil"/>
              <w:bottom w:val="single" w:sz="4" w:space="0" w:color="A0A0A0"/>
              <w:right w:val="nil"/>
            </w:tcBorders>
          </w:tcPr>
          <w:p>
            <w:pPr>
              <w:spacing w:after="0" w:line="240" w:lineRule="auto"/>
            </w:pPr>
            <w:r/>
            <w:r>
              <w:rPr>
                <w:rFonts w:ascii="Times New Roman" w:hAnsi="Times New Roman"/>
                <w:b w:val="0"/>
                <w:sz w:val="18"/>
              </w:rPr>
              <w:t>Yes</w:t>
            </w:r>
          </w:p>
        </w:tc>
        <w:tc>
          <w:tcPr>
            <w:tcW w:type="dxa" w:w="1656"/>
            <w:vAlign w:val="center"/>
            <w:tcBorders>
              <w:top w:val="nil"/>
              <w:left w:val="nil"/>
              <w:bottom w:val="single" w:sz="4" w:space="0" w:color="A0A0A0"/>
              <w:right w:val="nil"/>
            </w:tcBorders>
          </w:tcPr>
          <w:p>
            <w:pPr>
              <w:spacing w:after="0" w:line="240" w:lineRule="auto"/>
            </w:pPr>
            <w:r/>
            <w:r>
              <w:rPr>
                <w:rFonts w:ascii="Times New Roman" w:hAnsi="Times New Roman"/>
                <w:b w:val="0"/>
                <w:sz w:val="18"/>
              </w:rPr>
              <w:t>Yes</w:t>
            </w:r>
          </w:p>
        </w:tc>
        <w:tc>
          <w:tcPr>
            <w:tcW w:type="dxa" w:w="1656"/>
            <w:vAlign w:val="center"/>
            <w:tcBorders>
              <w:top w:val="nil"/>
              <w:left w:val="nil"/>
              <w:bottom w:val="single" w:sz="4" w:space="0" w:color="A0A0A0"/>
              <w:right w:val="nil"/>
            </w:tcBorders>
          </w:tcPr>
          <w:p>
            <w:pPr>
              <w:spacing w:after="0" w:line="240" w:lineRule="auto"/>
            </w:pPr>
            <w:r/>
            <w:r>
              <w:rPr>
                <w:rFonts w:ascii="Times New Roman" w:hAnsi="Times New Roman"/>
                <w:b w:val="0"/>
                <w:sz w:val="18"/>
              </w:rPr>
              <w:t>0.7450</w:t>
            </w:r>
          </w:p>
        </w:tc>
        <w:tc>
          <w:tcPr>
            <w:tcW w:type="dxa" w:w="1656"/>
            <w:vAlign w:val="center"/>
            <w:tcBorders>
              <w:top w:val="nil"/>
              <w:left w:val="nil"/>
              <w:bottom w:val="single" w:sz="4" w:space="0" w:color="A0A0A0"/>
              <w:right w:val="nil"/>
            </w:tcBorders>
          </w:tcPr>
          <w:p>
            <w:pPr>
              <w:spacing w:after="0" w:line="240" w:lineRule="auto"/>
            </w:pPr>
            <w:r/>
            <w:r>
              <w:rPr>
                <w:rFonts w:ascii="Times New Roman" w:hAnsi="Times New Roman"/>
                <w:b w:val="0"/>
                <w:sz w:val="18"/>
              </w:rPr>
              <w:t>0.2098</w:t>
            </w:r>
          </w:p>
        </w:tc>
        <w:tc>
          <w:tcPr>
            <w:tcW w:type="dxa" w:w="1656"/>
            <w:vAlign w:val="center"/>
            <w:tcBorders>
              <w:top w:val="nil"/>
              <w:left w:val="nil"/>
              <w:bottom w:val="single" w:sz="4" w:space="0" w:color="A0A0A0"/>
              <w:right w:val="nil"/>
            </w:tcBorders>
          </w:tcPr>
          <w:p>
            <w:pPr>
              <w:spacing w:after="0" w:line="240" w:lineRule="auto"/>
            </w:pPr>
            <w:r/>
            <w:r>
              <w:rPr>
                <w:rFonts w:ascii="Times New Roman" w:hAnsi="Times New Roman"/>
                <w:b w:val="0"/>
                <w:sz w:val="18"/>
              </w:rPr>
              <w:t>0.6722</w:t>
            </w:r>
          </w:p>
        </w:tc>
      </w:tr>
    </w:tbl>
    <w:p>
      <w:pPr>
        <w:spacing w:after="0"/>
      </w:pPr>
    </w:p>
    <w:p>
      <w:pPr>
        <w:spacing w:line="480" w:lineRule="auto" w:after="0"/>
        <w:ind w:firstLine="360"/>
        <w:jc w:val="both"/>
      </w:pPr>
      <w:r>
        <w:rPr>
          <w:rFonts w:ascii="Times New Roman" w:hAnsi="Times New Roman"/>
          <w:sz w:val="22"/>
        </w:rPr>
        <w:t>Values are means across five fixed seeds. The paired tests use record-level squared errors from the same held-out records.</w:t>
      </w:r>
    </w:p>
    <w:p>
      <w:pPr>
        <w:pStyle w:val="Normal"/>
      </w:pPr>
      <w:r>
        <w:t>The code package also regenerates five supplementary diagnostic figures not reproduced in this Short Communication for length: a feature correlation heatmap, random-forest feature importance, pooled ROC and precision-recall curves, pooled confusion matrices at the 0.5 threshold, and a calibration (reliability) curve for all three estimators. These are available as optional diagnostic supplements and are not part of the two-figure main manuscript.</w:t>
      </w:r>
    </w:p>
    <w:p>
      <w:pPr>
        <w:spacing w:line="240" w:lineRule="auto" w:before="240" w:after="80"/>
        <w:jc w:val="left"/>
      </w:pPr>
      <w:r>
        <w:rPr>
          <w:rFonts w:ascii="Times New Roman" w:hAnsi="Times New Roman"/>
          <w:b/>
          <w:sz w:val="22"/>
        </w:rPr>
        <w:t>5. Implications</w:t>
      </w:r>
    </w:p>
    <w:p>
      <w:pPr>
        <w:spacing w:line="480" w:lineRule="auto" w:after="0"/>
        <w:ind w:firstLine="360"/>
        <w:jc w:val="both"/>
      </w:pPr>
      <w:r>
        <w:rPr>
          <w:rFonts w:ascii="Times New Roman" w:hAnsi="Times New Roman"/>
          <w:sz w:val="22"/>
        </w:rPr>
        <w:t>The main implication is methodological. Digital transformation and entrepreneurial innovation decisions are not purely predictive tasks. They combine measurable signals with organizational knowledge about resources, risk, compliance, and feasibility. A data-only model may learn useful associations, but it cannot guarantee that a decision respects an explicit constraint unless that constraint is represented in the system. K-AIDE makes the two sources visible and allows them to be evaluated separately.</w:t>
      </w:r>
    </w:p>
    <w:p>
      <w:pPr>
        <w:spacing w:line="480" w:lineRule="auto" w:after="0"/>
        <w:ind w:firstLine="360"/>
        <w:jc w:val="both"/>
      </w:pPr>
      <w:r>
        <w:rPr>
          <w:rFonts w:ascii="Times New Roman" w:hAnsi="Times New Roman"/>
          <w:sz w:val="22"/>
        </w:rPr>
        <w:t>The framework also has a practical implication for innovation governance. A manager can inspect whether an opportunity received a high score because of market and customer signals, because the organization is ready to implement it, or because an interaction rule was activated. This explanation supports a more productive discussion between technical teams, entrepreneurs, and decision-makers. It also creates a record of why a decision-support system recommended or blocked an opportunity. The design follows the principle that interpretable models should be preferred when decision consequences are material [8].</w:t>
      </w:r>
    </w:p>
    <w:p>
      <w:pPr>
        <w:spacing w:line="480" w:lineRule="auto" w:after="0"/>
        <w:ind w:firstLine="360"/>
        <w:jc w:val="both"/>
      </w:pPr>
      <w:r>
        <w:rPr>
          <w:rFonts w:ascii="Times New Roman" w:hAnsi="Times New Roman"/>
          <w:sz w:val="22"/>
        </w:rPr>
        <w:t>For researchers, the framework creates several testable extensions. A future study could replace the synthetic benchmark with longitudinal venture or innovation-portfolio data, compare different knowledge representations, and estimate how knowledge revisions affect model drift. Another study could compare rule-based explanations with model-agnostic explanations such as local feature attribution [4]. A further extension could use a knowledge graph to represent relationships among technologies, capabilities, markets, and regulatory requirements, then evaluate graph-based retrieval against a flat rules table.</w:t>
      </w:r>
    </w:p>
    <w:p>
      <w:pPr>
        <w:spacing w:line="480" w:lineRule="auto" w:after="0"/>
        <w:ind w:firstLine="360"/>
        <w:jc w:val="both"/>
      </w:pPr>
      <w:r>
        <w:rPr>
          <w:rFonts w:ascii="Times New Roman" w:hAnsi="Times New Roman"/>
          <w:sz w:val="22"/>
        </w:rPr>
        <w:t>The framework is compatible with digital-transformation research. Digital transformation changes organizational capabilities and business models [1], while entrepreneurship research emphasizes how digital technologies change opportunity creation and discovery [2]. Business-model design is tied to dynamic capabilities and the ability to reconfigure resources [9], while innovation portfolios must balance exploration of new possibilities with exploitation of existing knowledge [10]. K-AIDE translates these ideas into a computational task: ranking opportunities under data and knowledge constraints. This translation connects management research to the technical expectations of a knowledge-based AI journal.</w:t>
      </w:r>
    </w:p>
    <w:p>
      <w:pPr>
        <w:spacing w:line="240" w:lineRule="auto" w:before="240" w:after="80"/>
        <w:jc w:val="left"/>
      </w:pPr>
      <w:r>
        <w:rPr>
          <w:rFonts w:ascii="Times New Roman" w:hAnsi="Times New Roman"/>
          <w:b/>
          <w:sz w:val="22"/>
        </w:rPr>
        <w:t>6. Limitations and next steps</w:t>
      </w:r>
    </w:p>
    <w:p>
      <w:pPr>
        <w:spacing w:line="480" w:lineRule="auto" w:after="0"/>
        <w:ind w:firstLine="360"/>
        <w:jc w:val="both"/>
      </w:pPr>
      <w:r>
        <w:rPr>
          <w:rFonts w:ascii="Times New Roman" w:hAnsi="Times New Roman"/>
          <w:sz w:val="22"/>
        </w:rPr>
        <w:t>The most important limitation is the synthetic benchmark. Because the data-generating process includes the same types of rules used by the knowledge layer, the experiment demonstrates controlled behavior rather than external validity. The reported metrics should not be interpreted as evidence that K-AIDE will outperform a data-only model in a particular industry. A follow-up study should preregister the operational definitions, collect or obtain an approved real dataset, and evaluate the method with a held-out temporal or organizational test set.</w:t>
      </w:r>
    </w:p>
    <w:p>
      <w:pPr>
        <w:spacing w:line="480" w:lineRule="auto" w:after="0"/>
        <w:ind w:firstLine="360"/>
        <w:jc w:val="both"/>
      </w:pPr>
      <w:r>
        <w:rPr>
          <w:rFonts w:ascii="Times New Roman" w:hAnsi="Times New Roman"/>
          <w:sz w:val="22"/>
        </w:rPr>
        <w:t>The second limitation is that the current knowledge layer is small and manually specified. A production system would require a governance process for approving rules, tracking versions, resolving conflicts, and monitoring whether a rule remains valid as markets and regulations change. The third limitation is that the benchmark contains normalized numeric variables and does not address missing data, concept drift, class imbalance under real conditions, or the social consequences of entrepreneurial recommendations. These limitations define the next empirical steps rather than hidden assumptions of the current demonstration.</w:t>
      </w:r>
    </w:p>
    <w:p>
      <w:pPr>
        <w:spacing w:line="240" w:lineRule="auto" w:before="240" w:after="80"/>
        <w:jc w:val="left"/>
      </w:pPr>
      <w:r>
        <w:rPr>
          <w:rFonts w:ascii="Times New Roman" w:hAnsi="Times New Roman"/>
          <w:b/>
          <w:sz w:val="22"/>
        </w:rPr>
        <w:t>7. Conclusion</w:t>
      </w:r>
    </w:p>
    <w:p>
      <w:pPr>
        <w:spacing w:line="480" w:lineRule="auto" w:after="0"/>
        <w:ind w:firstLine="360"/>
        <w:jc w:val="both"/>
      </w:pPr>
      <w:r>
        <w:rPr>
          <w:rFonts w:ascii="Times New Roman" w:hAnsi="Times New Roman"/>
          <w:sz w:val="22"/>
        </w:rPr>
        <w:t>This Short Communication presented K-AIDE, a compact data-driven knowledge-based AI framework for digital transformation, innovation, and entrepreneurship decisions. The method combines a supervised data model with explicit criteria, constraints, and interaction rules and returns both a score and an explanation. Across five reproducible seeds, the knowledge layer improved ranking while hybrid inference produced the best calibration and accuracy. The ablation makes the source of the improvement visible and the code package permits exact regeneration of the figures and tables. The work provides a technically implementable starting point for a larger empirical study using approved organizational or venture data.</w:t>
      </w:r>
    </w:p>
    <w:p>
      <w:pPr>
        <w:spacing w:line="240" w:lineRule="auto" w:before="240" w:after="80"/>
        <w:jc w:val="left"/>
      </w:pPr>
      <w:r>
        <w:rPr>
          <w:rFonts w:ascii="Times New Roman" w:hAnsi="Times New Roman"/>
          <w:b/>
          <w:sz w:val="22"/>
        </w:rPr>
        <w:t>Data availability statement</w:t>
      </w:r>
    </w:p>
    <w:p>
      <w:pPr>
        <w:spacing w:line="480" w:lineRule="auto" w:after="0"/>
        <w:ind w:firstLine="360"/>
        <w:jc w:val="both"/>
      </w:pPr>
      <w:r>
        <w:t>The benchmark data are synthetic and deterministic. The accompanying code and combined 15,000-record CSV (seeds 42–46) are included for auditability; a public repository identifier is pending and should be added before submission.</w:t>
      </w:r>
    </w:p>
    <w:p>
      <w:pPr>
        <w:spacing w:line="240" w:lineRule="auto" w:before="240" w:after="80"/>
        <w:jc w:val="left"/>
      </w:pPr>
      <w:r>
        <w:rPr>
          <w:rFonts w:ascii="Times New Roman" w:hAnsi="Times New Roman"/>
          <w:b/>
          <w:sz w:val="22"/>
        </w:rPr>
        <w:t>Declaration of competing interest</w:t>
      </w:r>
    </w:p>
    <w:p>
      <w:pPr>
        <w:spacing w:line="480" w:lineRule="auto" w:after="0"/>
        <w:ind w:firstLine="360"/>
        <w:jc w:val="both"/>
      </w:pPr>
      <w:r>
        <w:rPr>
          <w:rFonts w:ascii="Times New Roman" w:hAnsi="Times New Roman"/>
          <w:sz w:val="22"/>
        </w:rPr>
        <w:t>The author declares that there are no known competing financial interests or personal relationships that could have influenced the work reported in this manuscript.</w:t>
      </w:r>
    </w:p>
    <w:p>
      <w:pPr>
        <w:spacing w:line="240" w:lineRule="auto" w:before="240" w:after="80"/>
        <w:jc w:val="left"/>
      </w:pPr>
      <w:r>
        <w:rPr>
          <w:rFonts w:ascii="Times New Roman" w:hAnsi="Times New Roman"/>
          <w:b/>
          <w:sz w:val="22"/>
        </w:rPr>
        <w:t>Declaration of generative AI and AI-assisted technologies in the manuscript preparation process</w:t>
      </w:r>
    </w:p>
    <w:p>
      <w:pPr>
        <w:spacing w:line="480" w:lineRule="auto" w:after="0"/>
        <w:ind w:firstLine="360"/>
        <w:jc w:val="both"/>
      </w:pPr>
      <w:r>
        <w:rPr>
          <w:rFonts w:ascii="Times New Roman" w:hAnsi="Times New Roman"/>
          <w:sz w:val="22"/>
        </w:rPr>
        <w:t>During preparation of this manuscript and the accompanying demonstration code, generative AI tools were used to assist with drafting, language refinement, and code organization. The author reviewed and edited all content, verified the computational outputs, and takes full responsibility for the accuracy, originality, and integrity of the submitted work. No generative AI tool was used to create or alter primary observed data. The figures are generated deterministically from the supplied Python code.</w:t>
      </w:r>
    </w:p>
    <w:p>
      <w:pPr>
        <w:spacing w:line="240" w:lineRule="auto" w:before="240" w:after="80"/>
        <w:jc w:val="left"/>
      </w:pPr>
      <w:r>
        <w:rPr>
          <w:rFonts w:ascii="Times New Roman" w:hAnsi="Times New Roman"/>
          <w:b/>
          <w:sz w:val="22"/>
        </w:rPr>
        <w:t>Funding</w:t>
      </w:r>
    </w:p>
    <w:p>
      <w:pPr>
        <w:spacing w:line="480" w:lineRule="auto" w:after="0"/>
        <w:ind w:firstLine="360"/>
        <w:jc w:val="both"/>
      </w:pPr>
      <w:r>
        <w:rPr>
          <w:rFonts w:ascii="Times New Roman" w:hAnsi="Times New Roman"/>
          <w:sz w:val="22"/>
        </w:rPr>
        <w:t>This research received no specific grant from any funding agency in the public, commercial, or not-for-profit sectors.</w:t>
      </w:r>
    </w:p>
    <w:p>
      <w:pPr>
        <w:spacing w:line="240" w:lineRule="auto" w:before="240" w:after="80"/>
        <w:jc w:val="left"/>
      </w:pPr>
      <w:r>
        <w:rPr>
          <w:rFonts w:ascii="Times New Roman" w:hAnsi="Times New Roman"/>
          <w:b/>
          <w:sz w:val="22"/>
        </w:rPr>
        <w:t>CRediT authorship contribution statement</w:t>
      </w:r>
    </w:p>
    <w:p>
      <w:pPr>
        <w:spacing w:line="480" w:lineRule="auto" w:after="0"/>
        <w:ind w:firstLine="360"/>
        <w:jc w:val="both"/>
      </w:pPr>
      <w:r>
        <w:rPr>
          <w:rFonts w:ascii="Times New Roman" w:hAnsi="Times New Roman"/>
          <w:sz w:val="22"/>
        </w:rPr>
        <w:t>Nithish Maley: Conceptualization, Methodology, Software, Validation, Data curation, Formal analysis, Visualization, Writing - original draft, Writing - review and editing.</w:t>
      </w:r>
    </w:p>
    <w:p>
      <w:pPr>
        <w:spacing w:line="240" w:lineRule="auto" w:before="240" w:after="80"/>
        <w:jc w:val="left"/>
      </w:pPr>
      <w:r>
        <w:rPr>
          <w:rFonts w:ascii="Times New Roman" w:hAnsi="Times New Roman"/>
          <w:b/>
          <w:sz w:val="22"/>
        </w:rPr>
        <w:t>Acknowledgements</w:t>
      </w:r>
    </w:p>
    <w:p>
      <w:pPr>
        <w:spacing w:line="480" w:lineRule="auto" w:after="0"/>
        <w:ind w:firstLine="360"/>
        <w:jc w:val="both"/>
      </w:pPr>
      <w:r>
        <w:rPr>
          <w:rFonts w:ascii="Times New Roman" w:hAnsi="Times New Roman"/>
          <w:sz w:val="22"/>
        </w:rPr>
        <w:t>None.</w:t>
      </w:r>
    </w:p>
    <w:p>
      <w:pPr>
        <w:spacing w:line="240" w:lineRule="auto" w:before="240" w:after="80"/>
        <w:jc w:val="left"/>
      </w:pPr>
      <w:r>
        <w:rPr>
          <w:rFonts w:ascii="Times New Roman" w:hAnsi="Times New Roman"/>
          <w:b/>
          <w:sz w:val="22"/>
        </w:rPr>
        <w:t>References</w:t>
      </w:r>
    </w:p>
    <w:p>
      <w:pPr>
        <w:spacing w:line="240" w:lineRule="auto" w:after="0"/>
        <w:ind w:firstLine="0"/>
        <w:jc w:val="left"/>
      </w:pPr>
      <w:r>
        <w:rPr>
          <w:rFonts w:ascii="Times New Roman" w:hAnsi="Times New Roman"/>
          <w:sz w:val="21"/>
        </w:rPr>
        <w:t>[1] G. Vial, Understanding digital transformation: A review and a research agenda, J. Strateg. Inf. Syst. 28 (2019) 118-144. https://doi.org/10.1016/j.jsis.2019.01.003.</w:t>
      </w:r>
    </w:p>
    <w:p>
      <w:pPr>
        <w:spacing w:line="240" w:lineRule="auto" w:after="0"/>
        <w:ind w:firstLine="0"/>
        <w:jc w:val="left"/>
      </w:pPr>
      <w:r>
        <w:rPr>
          <w:rFonts w:ascii="Times New Roman" w:hAnsi="Times New Roman"/>
          <w:sz w:val="21"/>
        </w:rPr>
        <w:t>[2] S. Nambisan, Digital entrepreneurship: Toward a digital technology perspective of entrepreneurship, Entrep. Theory Pract. 41 (2017) 1029-1055. https://doi.org/10.1111/etap.12254.</w:t>
      </w:r>
    </w:p>
    <w:p>
      <w:pPr>
        <w:spacing w:line="240" w:lineRule="auto" w:after="0"/>
        <w:ind w:firstLine="0"/>
        <w:jc w:val="left"/>
      </w:pPr>
      <w:r>
        <w:rPr>
          <w:rFonts w:ascii="Times New Roman" w:hAnsi="Times New Roman"/>
          <w:sz w:val="21"/>
        </w:rPr>
        <w:t>[3] S. Raisch, S. Krakowski, Artificial intelligence and management: The automation-augmentation paradox, Acad. Manag. Rev. 46 (2021) 192-210. https://doi.org/10.5465/amr.2018.0072.</w:t>
      </w:r>
    </w:p>
    <w:p>
      <w:pPr>
        <w:spacing w:line="240" w:lineRule="auto" w:after="0"/>
        <w:ind w:firstLine="0"/>
        <w:jc w:val="left"/>
      </w:pPr>
      <w:r>
        <w:rPr>
          <w:rFonts w:ascii="Times New Roman" w:hAnsi="Times New Roman"/>
          <w:sz w:val="21"/>
        </w:rPr>
        <w:t>[4] M.T. Ribeiro, S. Singh, C. Guestrin, Why should I trust you? Explaining the predictions of any classifier, in: Proceedings of the 22nd ACM SIGKDD International Conference on Knowledge Discovery and Data Mining, ACM, 2016, pp. 1135-1144. https://doi.org/10.1145/2939672.2939778.</w:t>
      </w:r>
    </w:p>
    <w:p>
      <w:pPr>
        <w:spacing w:line="240" w:lineRule="auto" w:after="0"/>
        <w:ind w:firstLine="0"/>
        <w:jc w:val="left"/>
      </w:pPr>
      <w:r>
        <w:rPr>
          <w:rFonts w:ascii="Times New Roman" w:hAnsi="Times New Roman"/>
          <w:sz w:val="21"/>
        </w:rPr>
        <w:t>[5] L. Breiman, Random forests, Mach. Learn. 45 (2001) 5-32. https://doi.org/10.1023/A:1010933404324.</w:t>
      </w:r>
    </w:p>
    <w:p>
      <w:pPr>
        <w:spacing w:line="240" w:lineRule="auto" w:after="0"/>
        <w:ind w:firstLine="0"/>
        <w:jc w:val="left"/>
      </w:pPr>
      <w:r>
        <w:rPr>
          <w:rFonts w:ascii="Times New Roman" w:hAnsi="Times New Roman"/>
          <w:sz w:val="21"/>
        </w:rPr>
        <w:t>[6] P. Mikalef, M. Gupta, Artificial intelligence capability: Conceptualization, measurement calibration, and empirical study on its impact on organizational creativity and firm performance, Inf. Manag. 58 (2021) 103434. https://doi.org/10.1016/j.im.2021.103434.</w:t>
      </w:r>
    </w:p>
    <w:p>
      <w:pPr>
        <w:spacing w:line="240" w:lineRule="auto" w:after="0"/>
        <w:ind w:firstLine="0"/>
        <w:jc w:val="left"/>
      </w:pPr>
      <w:r>
        <w:rPr>
          <w:rFonts w:ascii="Times New Roman" w:hAnsi="Times New Roman"/>
          <w:sz w:val="21"/>
        </w:rPr>
        <w:t>[7] G. Shmueli, O.R. Koppius, Predictive analytics in information systems research, MIS Q. 35 (2011) 553-572. https://doi.org/10.2307/23042796.</w:t>
      </w:r>
    </w:p>
    <w:p>
      <w:pPr>
        <w:spacing w:line="240" w:lineRule="auto" w:after="0"/>
        <w:ind w:firstLine="0"/>
        <w:jc w:val="left"/>
      </w:pPr>
      <w:r>
        <w:rPr>
          <w:rFonts w:ascii="Times New Roman" w:hAnsi="Times New Roman"/>
          <w:sz w:val="21"/>
        </w:rPr>
        <w:t>[8] C. Rudin, Stop explaining black box machine learning models for high stakes decisions and use interpretable models instead, Nat. Mach. Intell. 1 (2019) 206-215. https://doi.org/10.1038/s42256-019-0048-x.</w:t>
      </w:r>
    </w:p>
    <w:p>
      <w:pPr>
        <w:spacing w:line="240" w:lineRule="auto" w:after="0"/>
        <w:ind w:firstLine="0"/>
        <w:jc w:val="left"/>
      </w:pPr>
      <w:r>
        <w:rPr>
          <w:rFonts w:ascii="Times New Roman" w:hAnsi="Times New Roman"/>
          <w:sz w:val="21"/>
        </w:rPr>
        <w:t>[9] D.J. Teece, Business models and dynamic capabilities, Long Range Plann. 51 (2018) 40-49. https://doi.org/10.1016/j.lrp.2017.06.007.</w:t>
      </w:r>
    </w:p>
    <w:p>
      <w:pPr>
        <w:spacing w:line="240" w:lineRule="auto" w:after="0"/>
        <w:ind w:firstLine="0"/>
        <w:jc w:val="left"/>
      </w:pPr>
      <w:r>
        <w:rPr>
          <w:rFonts w:ascii="Times New Roman" w:hAnsi="Times New Roman"/>
          <w:sz w:val="21"/>
        </w:rPr>
        <w:t>[10] J.G. March, Exploration and exploitation in organizational learning, Organ. Sci. 2 (1991) 71-87. https://doi.org/10.1287/orsc.2.1.71.</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Data-Driven Knowledge-Based AI for Digital Transformation, Innovation, and Entrepreneurship</dc:title>
  <dc:subject>Short communication manuscript for Knowledge-Based Systems</dc:subject>
  <dc:creator>Nithish Maley</dc:creator>
  <cp:keywords/>
  <dc:description>Draft manuscript; replace bracketed affiliation and email before submission.</dc:description>
  <cp:lastModifiedBy/>
  <cp:revision>1</cp:revision>
  <dcterms:created xsi:type="dcterms:W3CDTF">2013-12-23T23:15:00Z</dcterms:created>
  <dcterms:modified xsi:type="dcterms:W3CDTF">2013-12-23T23:15:00Z</dcterms:modified>
  <cp:category/>
</cp:coreProperties>
</file>