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A" w:id="1"/>
            <w:r>
              <w:rPr>
                <w:b/>
                <w:bCs/>
                <w:color w:val="FFFFFF"/>
                <w:sz w:val="28"/>
                <w:szCs w:val="28"/>
              </w:rPr>
              <w:t xml:space="preserve">A  Master long-case proforma and the 8–10 minute presentation</w:t>
            </w:r>
            <w:bookmarkEnd w:id="1"/>
          </w:p>
          <w:p>
            <w:pPr>
              <w:spacing w:after="0" w:before="0"/>
            </w:pPr>
            <w:r>
              <w:rPr>
                <w:color w:val="FFFFFF"/>
                <w:sz w:val="18"/>
                <w:szCs w:val="18"/>
              </w:rPr>
              <w:t xml:space="preserve">Use with every long-case card · Long case: 80 marks · 20 + 10 minutes</w:t>
            </w:r>
          </w:p>
        </w:tc>
      </w:tr>
    </w:tbl>
    <w:p>
      <w:pPr>
        <w:pStyle w:val="Heading2"/>
        <w:widowControl/>
      </w:pPr>
      <w:r>
        <w:t xml:space="preserve">The department’s shorthand</w:t>
      </w:r>
    </w:p>
    <w:p>
      <w:pPr>
        <w:widowControl/>
      </w:pPr>
      <w:r>
        <w:t xml:space="preserve">The order and wording on this card come from your department’s own case sheets. Each subject card adds only what is special to its case. Learn the written shorthand too. Last year two long cases were full written case sheets.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716"/>
        <w:gridCol w:w="3330"/>
        <w:gridCol w:w="1716"/>
        <w:gridCol w:w="3330"/>
      </w:tblGrid>
      <w:tr>
        <w:trPr>
          <w:cantSplit/>
          <w:tblHeader/>
        </w:trPr>
        <w:tc>
          <w:tcPr>
            <w:tcW w:type="dxa" w:w="171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Written</w:t>
            </w:r>
          </w:p>
        </w:tc>
        <w:tc>
          <w:tcPr>
            <w:tcW w:type="dxa" w:w="333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Meaning</w:t>
            </w:r>
          </w:p>
        </w:tc>
        <w:tc>
          <w:tcPr>
            <w:tcW w:type="dxa" w:w="171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Written</w:t>
            </w:r>
          </w:p>
        </w:tc>
        <w:tc>
          <w:tcPr>
            <w:tcW w:type="dxa" w:w="333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Meaning</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c/o</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complaints of</w:t>
            </w:r>
          </w:p>
        </w:tc>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EOM</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extraocular movements</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h/o, No h/o</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history of, no history of</w:t>
            </w:r>
          </w:p>
        </w:tc>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Tn by GAT</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tension (intraocular pressure) by Goldmann applanation tonometer</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k/c/o</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known case of</w:t>
            </w:r>
          </w:p>
        </w:tc>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CCT</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central corneal thickness</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with</w:t>
            </w:r>
          </w:p>
        </w:tc>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VH Gr IV (ND)</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Van Herick grade 4, normal depth</w:t>
            </w:r>
          </w:p>
        </w:tc>
      </w:tr>
      <w:tr>
        <w:trPr>
          <w:cantSplit/>
        </w:trPr>
        <w:tc>
          <w:tcPr>
            <w:tcW w:type="dxa" w:w="1716"/>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sz w:val="17"/>
                <w:szCs w:val="17"/>
              </w:rPr>
              <w:t xml:space="preserve">⊕</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present, positive</w:t>
            </w:r>
          </w:p>
        </w:tc>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KPs</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keratic precipitates</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sz w:val="17"/>
                <w:szCs w:val="17"/>
              </w:rPr>
              <w:t xml:space="preserve">Ⓝ</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w:t>
            </w:r>
          </w:p>
        </w:tc>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CPN (or NCP)</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iris colour and pattern normal</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s/o</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suggestive of</w:t>
            </w:r>
          </w:p>
        </w:tc>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RTL (3 mm)</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pupil round, reacting to light, 3 mm</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 LE, BE, B/L</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right eye, left eye, both eyes, bilateral</w:t>
            </w:r>
          </w:p>
        </w:tc>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RAPD</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relative afferent pupillary defect</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DM, SHTN, TB</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diabetes mellitus, systemic hypertension, tuberculosis</w:t>
            </w:r>
          </w:p>
        </w:tc>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PCIOL</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posterior chamber intraocular lens</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 BP, RR</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pulse rate, blood pressure, respiratory rate</w:t>
            </w:r>
          </w:p>
        </w:tc>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IMC (NS-3)</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immature cataract, nuclear sclerosis grade 3</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CVS, RS, P/A, CNS</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cardiovascular system, respiratory system, per abdomen, central nervous system</w:t>
            </w:r>
          </w:p>
        </w:tc>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PxF in ALC</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pseudoexfoliation on the anterior lens capsule</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S1 S2</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first and second heart sounds</w:t>
            </w:r>
          </w:p>
        </w:tc>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SS, TM, PAS</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scleral spur, trabecular meshwork, peripheral anterior synechiae</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NVBS</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normal vesicular breath sounds</w:t>
            </w:r>
          </w:p>
        </w:tc>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CDR, NRR, PPA</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cup–disc ratio, neuroretinal rim, peripapillary atrophy</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NFND</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focal neurological deficit</w:t>
            </w:r>
          </w:p>
        </w:tc>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FR </w:t>
            </w:r>
            <w:r>
              <w:rPr>
                <w:rFonts w:ascii="Segoe UI Symbol" w:cs="Segoe UI Symbol" w:eastAsia="Segoe UI Symbol" w:hAnsi="Segoe UI Symbol"/>
                <w:sz w:val="17"/>
                <w:szCs w:val="17"/>
              </w:rPr>
              <w:t xml:space="preserve">⊕</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foveal reflex present</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E/D, BD</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eye drops, twice daily</w:t>
            </w:r>
          </w:p>
        </w:tc>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PH, DSph</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pinhole, dioptre sphere</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NIGNIP</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improvement with glasses or pinhole</w:t>
            </w:r>
          </w:p>
        </w:tc>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6/12P</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6/12, partial</w:t>
            </w:r>
          </w:p>
        </w:tc>
      </w:tr>
    </w:tbl>
    <w:p>
      <w:pPr>
        <w:widowControl/>
        <w:spacing w:before="110"/>
      </w:pPr>
      <w:r>
        <w:t xml:space="preserve">Two traps. </w:t>
      </w:r>
      <w:r>
        <w:rPr>
          <w:b/>
          <w:bCs/>
        </w:rPr>
        <w:t xml:space="preserve">VH</w:t>
      </w:r>
      <w:r>
        <w:t xml:space="preserve"> on the anterior chamber means Van Herick. On the department’s fundus drawings it means vitreous haemorrhage, so write it out. </w:t>
      </w:r>
      <w:r>
        <w:rPr>
          <w:b/>
          <w:bCs/>
        </w:rPr>
        <w:t xml:space="preserve">PVD</w:t>
      </w:r>
      <w:r>
        <w:t xml:space="preserve"> in the seniors’ checklist means peripheral vascular disease.</w:t>
      </w:r>
    </w:p>
    <w:p>
      <w:pPr>
        <w:pStyle w:val="Heading2"/>
        <w:widowControl/>
      </w:pPr>
      <w:r>
        <w:t xml:space="preserve">Particulars and chief complaints</w:t>
      </w:r>
    </w:p>
    <w:p>
      <w:pPr>
        <w:keepNext/>
        <w:widowControl/>
      </w:pPr>
      <w:r>
        <w:rPr>
          <w:b/>
          <w:bCs/>
        </w:rPr>
        <w:t xml:space="preserve">Particulars:</w:t>
      </w:r>
      <w:r>
        <w:t xml:space="preserve"> name (Mr X), age, sex, occupation, place. The medical record number goes on the written sheet.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220"/>
        <w:gridCol w:w="7872"/>
      </w:tblGrid>
      <w:tr>
        <w:trPr>
          <w:cantSplit/>
          <w:tblHeader/>
        </w:trPr>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Patient</w:t>
            </w:r>
          </w:p>
        </w:tc>
        <w:tc>
          <w:tcPr>
            <w:tcW w:type="dxa" w:w="787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Write the opening line like this</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New complaint</w:t>
            </w:r>
          </w:p>
        </w:tc>
        <w:tc>
          <w:tcPr>
            <w:tcW w:type="dxa" w:w="7872"/>
            <w:tcMar>
              <w:top w:type="dxa" w:w="60"/>
              <w:left w:type="dxa" w:w="80"/>
              <w:bottom w:type="dxa" w:w="60"/>
              <w:right w:type="dxa" w:w="80"/>
            </w:tcMar>
            <w:vAlign w:val="top"/>
          </w:tcPr>
          <w:p>
            <w:pPr>
              <w:widowControl/>
              <w:spacing w:after="0" w:before="0" w:line="245" w:lineRule="auto"/>
            </w:pPr>
            <w:r>
              <w:rPr>
                <w:sz w:val="17"/>
                <w:szCs w:val="17"/>
              </w:rPr>
              <w:t xml:space="preserve">“Mr X, 35-year-old male, labourer by occupation, came with c/o pain, redness, watering and defective vision (LE) for the past 10 days.”</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Review patient</w:t>
            </w:r>
          </w:p>
        </w:tc>
        <w:tc>
          <w:tcPr>
            <w:tcW w:type="dxa" w:w="787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“Mr X, 70-year-old male, has come for regular follow-up.”</w:t>
            </w:r>
          </w:p>
        </w:tc>
      </w:tr>
    </w:tbl>
    <w:p>
      <w:pPr>
        <w:pStyle w:val="ListParagraph"/>
        <w:keepLines/>
        <w:widowControl/>
        <w:numPr>
          <w:ilvl w:val="0"/>
          <w:numId w:val="2"/>
        </w:numPr>
        <w:spacing w:after="30" w:before="110"/>
      </w:pPr>
      <w:r>
        <w:t xml:space="preserve">Put the eye in brackets after the complaints, and the duration as “for the past …”.</w:t>
      </w:r>
    </w:p>
    <w:p>
      <w:pPr>
        <w:pStyle w:val="ListParagraph"/>
        <w:keepLines/>
        <w:widowControl/>
        <w:numPr>
          <w:ilvl w:val="0"/>
          <w:numId w:val="2"/>
        </w:numPr>
        <w:spacing w:after="30"/>
      </w:pPr>
      <w:r>
        <w:t xml:space="preserve">With several complaints, give them in time order, each with its own eye and duration.</w:t>
      </w:r>
    </w:p>
    <w:p>
      <w:pPr>
        <w:pStyle w:val="ListParagraph"/>
        <w:keepLines/>
        <w:widowControl/>
        <w:numPr>
          <w:ilvl w:val="0"/>
          <w:numId w:val="2"/>
        </w:numPr>
        <w:spacing w:after="60"/>
      </w:pPr>
      <w:r>
        <w:t xml:space="preserve">Use the patient’s complaint (“prominence of both eyes”, “drooping of the left upper lid”), never your diagnosis.</w:t>
      </w:r>
    </w:p>
    <w:p>
      <w:pPr>
        <w:pStyle w:val="Heading2"/>
        <w:widowControl/>
      </w:pPr>
      <w:r>
        <w:t xml:space="preserve">History of presenting illness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220"/>
        <w:gridCol w:w="7872"/>
      </w:tblGrid>
      <w:tr>
        <w:trPr>
          <w:cantSplit/>
          <w:tblHeader/>
        </w:trPr>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Part</w:t>
            </w:r>
          </w:p>
        </w:tc>
        <w:tc>
          <w:tcPr>
            <w:tcW w:type="dxa" w:w="787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Say it like this</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Start</w:t>
            </w:r>
          </w:p>
        </w:tc>
        <w:tc>
          <w:tcPr>
            <w:tcW w:type="dxa" w:w="7872"/>
            <w:tcMar>
              <w:top w:type="dxa" w:w="60"/>
              <w:left w:type="dxa" w:w="80"/>
              <w:bottom w:type="dxa" w:w="60"/>
              <w:right w:type="dxa" w:w="80"/>
            </w:tcMar>
            <w:vAlign w:val="top"/>
          </w:tcPr>
          <w:p>
            <w:pPr>
              <w:widowControl/>
              <w:spacing w:after="0" w:before="0" w:line="245" w:lineRule="auto"/>
            </w:pPr>
            <w:r>
              <w:rPr>
                <w:sz w:val="17"/>
                <w:szCs w:val="17"/>
              </w:rPr>
              <w:t xml:space="preserve">“Patient was apparently normal ___ (days / months / years) back, then he noticed ___ in the ___ eye, which was:”</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Onset</w:t>
            </w:r>
          </w:p>
        </w:tc>
        <w:tc>
          <w:tcPr>
            <w:tcW w:type="dxa" w:w="787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insidious / sudden / gradual in onset</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Course</w:t>
            </w:r>
          </w:p>
        </w:tc>
        <w:tc>
          <w:tcPr>
            <w:tcW w:type="dxa" w:w="7872"/>
            <w:tcMar>
              <w:top w:type="dxa" w:w="60"/>
              <w:left w:type="dxa" w:w="80"/>
              <w:bottom w:type="dxa" w:w="60"/>
              <w:right w:type="dxa" w:w="80"/>
            </w:tcMar>
            <w:vAlign w:val="top"/>
          </w:tcPr>
          <w:p>
            <w:pPr>
              <w:widowControl/>
              <w:spacing w:after="0" w:before="0" w:line="245" w:lineRule="auto"/>
            </w:pPr>
            <w:r>
              <w:rPr>
                <w:sz w:val="17"/>
                <w:szCs w:val="17"/>
              </w:rPr>
              <w:t xml:space="preserve">progressive / stationary in nature</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Associations</w:t>
            </w:r>
          </w:p>
        </w:tc>
        <w:tc>
          <w:tcPr>
            <w:tcW w:type="dxa" w:w="787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associated / not associated with ___ (pain, redness, watering, photophobia, headache)</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Treatment so far</w:t>
            </w:r>
          </w:p>
        </w:tc>
        <w:tc>
          <w:tcPr>
            <w:tcW w:type="dxa" w:w="7872"/>
            <w:tcMar>
              <w:top w:type="dxa" w:w="60"/>
              <w:left w:type="dxa" w:w="80"/>
              <w:bottom w:type="dxa" w:w="60"/>
              <w:right w:type="dxa" w:w="80"/>
            </w:tcMar>
            <w:vAlign w:val="top"/>
          </w:tcPr>
          <w:p>
            <w:pPr>
              <w:widowControl/>
              <w:spacing w:after="0" w:before="0" w:line="245" w:lineRule="auto"/>
            </w:pPr>
            <w:r>
              <w:rPr>
                <w:sz w:val="17"/>
                <w:szCs w:val="17"/>
              </w:rPr>
              <w:t xml:space="preserve">“He visited an ophthalmologist at his place, was found to have ___ and was started on ___. Then he came to our institution for further management.”</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Positives, then negatives</w:t>
            </w:r>
          </w:p>
        </w:tc>
        <w:tc>
          <w:tcPr>
            <w:tcW w:type="dxa" w:w="787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“H/o ___ </w:t>
            </w:r>
            <w:r>
              <w:rPr>
                <w:rFonts w:ascii="Segoe UI Symbol" w:cs="Segoe UI Symbol" w:eastAsia="Segoe UI Symbol" w:hAnsi="Segoe UI Symbol"/>
                <w:sz w:val="17"/>
                <w:szCs w:val="17"/>
              </w:rPr>
              <w:t xml:space="preserve">⊕</w:t>
            </w:r>
            <w:r>
              <w:rPr>
                <w:sz w:val="17"/>
                <w:szCs w:val="17"/>
              </w:rPr>
              <w:t xml:space="preserve">” lines first, then “No h/o ___” lines; the department stars each line</w:t>
            </w:r>
          </w:p>
        </w:tc>
      </w:tr>
    </w:tbl>
    <w:p>
      <w:pPr>
        <w:keepNext/>
        <w:widowControl/>
        <w:spacing w:before="110"/>
      </w:pPr>
      <w:r>
        <w:rPr>
          <w:b/>
          <w:bCs/>
        </w:rPr>
        <w:t xml:space="preserve">Elaborate each complaint: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220"/>
        <w:gridCol w:w="7872"/>
      </w:tblGrid>
      <w:tr>
        <w:trPr>
          <w:cantSplit/>
          <w:tblHeader/>
        </w:trPr>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Complaint</w:t>
            </w:r>
          </w:p>
        </w:tc>
        <w:tc>
          <w:tcPr>
            <w:tcW w:type="dxa" w:w="787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Ask</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Defective vision</w:t>
            </w:r>
          </w:p>
        </w:tc>
        <w:tc>
          <w:tcPr>
            <w:tcW w:type="dxa" w:w="7872"/>
            <w:tcMar>
              <w:top w:type="dxa" w:w="60"/>
              <w:left w:type="dxa" w:w="80"/>
              <w:bottom w:type="dxa" w:w="60"/>
              <w:right w:type="dxa" w:w="80"/>
            </w:tcMar>
            <w:vAlign w:val="top"/>
          </w:tcPr>
          <w:p>
            <w:pPr>
              <w:widowControl/>
              <w:spacing w:after="0" w:before="0" w:line="245" w:lineRule="auto"/>
            </w:pPr>
            <w:r>
              <w:rPr>
                <w:sz w:val="17"/>
                <w:szCs w:val="17"/>
              </w:rPr>
              <w:t xml:space="preserve">Eye, onset, progression; distance or near; pain; night blindness; change of glasses; coloured haloes</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Pain</w:t>
            </w:r>
          </w:p>
        </w:tc>
        <w:tc>
          <w:tcPr>
            <w:tcW w:type="dxa" w:w="787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Onset, site, character, radiation; aggravating and relieving factors; eye movement; time of day</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Redness, watering</w:t>
            </w:r>
          </w:p>
        </w:tc>
        <w:tc>
          <w:tcPr>
            <w:tcW w:type="dxa" w:w="7872"/>
            <w:tcMar>
              <w:top w:type="dxa" w:w="60"/>
              <w:left w:type="dxa" w:w="80"/>
              <w:bottom w:type="dxa" w:w="60"/>
              <w:right w:type="dxa" w:w="80"/>
            </w:tcMar>
            <w:vAlign w:val="top"/>
          </w:tcPr>
          <w:p>
            <w:pPr>
              <w:widowControl/>
              <w:spacing w:after="0" w:before="0" w:line="245" w:lineRule="auto"/>
            </w:pPr>
            <w:r>
              <w:rPr>
                <w:sz w:val="17"/>
                <w:szCs w:val="17"/>
              </w:rPr>
              <w:t xml:space="preserve">Onset; pain, photophobia, discharge; foreign-body sensation; lid swelling</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Double vision</w:t>
            </w:r>
          </w:p>
        </w:tc>
        <w:tc>
          <w:tcPr>
            <w:tcW w:type="dxa" w:w="787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Goes when either eye is closed?; horizontal or vertical; worse in which gaze; diurnal variation</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Prominence of the eye</w:t>
            </w:r>
          </w:p>
        </w:tc>
        <w:tc>
          <w:tcPr>
            <w:tcW w:type="dxa" w:w="7872"/>
            <w:tcMar>
              <w:top w:type="dxa" w:w="60"/>
              <w:left w:type="dxa" w:w="80"/>
              <w:bottom w:type="dxa" w:w="60"/>
              <w:right w:type="dxa" w:w="80"/>
            </w:tcMar>
            <w:vAlign w:val="top"/>
          </w:tcPr>
          <w:p>
            <w:pPr>
              <w:widowControl/>
              <w:spacing w:after="0" w:before="0" w:line="245" w:lineRule="auto"/>
            </w:pPr>
            <w:r>
              <w:rPr>
                <w:sz w:val="17"/>
                <w:szCs w:val="17"/>
              </w:rPr>
              <w:t xml:space="preserve">One or both; onset, progression; intermittent?; change with posture or straining; swishing sound</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Drooping lid, squint</w:t>
            </w:r>
          </w:p>
        </w:tc>
        <w:tc>
          <w:tcPr>
            <w:tcW w:type="dxa" w:w="787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Congenital or acquired; progression; constant or intermittent; diurnal variation; glasses, patching</w:t>
            </w:r>
          </w:p>
        </w:tc>
      </w:tr>
    </w:tbl>
    <w:p>
      <w:pPr>
        <w:pStyle w:val="Heading2"/>
        <w:widowControl/>
      </w:pPr>
      <w:r>
        <w:t xml:space="preserve">Negative history</w:t>
      </w:r>
    </w:p>
    <w:p>
      <w:pPr>
        <w:pStyle w:val="ListParagraph"/>
        <w:keepLines/>
        <w:widowControl/>
        <w:numPr>
          <w:ilvl w:val="0"/>
          <w:numId w:val="2"/>
        </w:numPr>
        <w:spacing w:after="30"/>
      </w:pPr>
      <w:r>
        <w:t xml:space="preserve">Each “No h/o …” line rules out a named differential.</w:t>
      </w:r>
    </w:p>
    <w:p>
      <w:pPr>
        <w:pStyle w:val="ListParagraph"/>
        <w:keepLines/>
        <w:widowControl/>
        <w:numPr>
          <w:ilvl w:val="0"/>
          <w:numId w:val="2"/>
        </w:numPr>
        <w:spacing w:after="30"/>
      </w:pPr>
      <w:r>
        <w:t xml:space="preserve">Examiners ask “Why did you ask about …?”. Each card gives the reasons, and ask 1 of the five-asks method (below) shows how to say them.</w:t>
      </w:r>
    </w:p>
    <w:p>
      <w:pPr>
        <w:pStyle w:val="ListParagraph"/>
        <w:keepLines/>
        <w:widowControl/>
        <w:numPr>
          <w:ilvl w:val="0"/>
          <w:numId w:val="2"/>
        </w:numPr>
        <w:spacing w:after="30"/>
      </w:pPr>
      <w:r>
        <w:rPr>
          <w:b/>
          <w:bCs/>
        </w:rPr>
        <w:t xml:space="preserve">The department’s glaucoma screen:</w:t>
      </w:r>
    </w:p>
    <w:p>
      <w:pPr>
        <w:pStyle w:val="ListParagraph"/>
        <w:keepLines/>
        <w:widowControl/>
        <w:numPr>
          <w:ilvl w:val="1"/>
          <w:numId w:val="2"/>
        </w:numPr>
        <w:spacing w:after="30"/>
      </w:pPr>
      <w:r>
        <w:t xml:space="preserve">No h/o headache with vomiting and pain.</w:t>
      </w:r>
    </w:p>
    <w:p>
      <w:pPr>
        <w:pStyle w:val="ListParagraph"/>
        <w:keepLines/>
        <w:widowControl/>
        <w:numPr>
          <w:ilvl w:val="1"/>
          <w:numId w:val="2"/>
        </w:numPr>
        <w:spacing w:after="30"/>
      </w:pPr>
      <w:r>
        <w:t xml:space="preserve">No h/o coloured haloes.</w:t>
      </w:r>
    </w:p>
    <w:p>
      <w:pPr>
        <w:pStyle w:val="ListParagraph"/>
        <w:keepLines/>
        <w:widowControl/>
        <w:numPr>
          <w:ilvl w:val="1"/>
          <w:numId w:val="2"/>
        </w:numPr>
        <w:spacing w:after="30"/>
      </w:pPr>
      <w:r>
        <w:t xml:space="preserve">No h/o redness, watering, pain.</w:t>
      </w:r>
    </w:p>
    <w:p>
      <w:pPr>
        <w:pStyle w:val="ListParagraph"/>
        <w:keepLines/>
        <w:widowControl/>
        <w:numPr>
          <w:ilvl w:val="1"/>
          <w:numId w:val="2"/>
        </w:numPr>
        <w:spacing w:after="30"/>
      </w:pPr>
      <w:r>
        <w:t xml:space="preserve">No h/o trauma to the eye.</w:t>
      </w:r>
    </w:p>
    <w:p>
      <w:pPr>
        <w:pStyle w:val="ListParagraph"/>
        <w:keepLines/>
        <w:widowControl/>
        <w:numPr>
          <w:ilvl w:val="1"/>
          <w:numId w:val="2"/>
        </w:numPr>
        <w:spacing w:after="60"/>
      </w:pPr>
      <w:r>
        <w:t xml:space="preserve">No h/o frequent change of glasses.</w:t>
      </w:r>
    </w:p>
    <w:p>
      <w:pPr>
        <w:pStyle w:val="Heading2"/>
        <w:widowControl/>
      </w:pPr>
      <w:r>
        <w:t xml:space="preserve">Past, personal, family and treatment history</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422"/>
        <w:gridCol w:w="7670"/>
      </w:tblGrid>
      <w:tr>
        <w:trPr>
          <w:cantSplit/>
          <w:tblHeader/>
        </w:trPr>
        <w:tc>
          <w:tcPr>
            <w:tcW w:type="dxa" w:w="242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Part</w:t>
            </w:r>
          </w:p>
        </w:tc>
        <w:tc>
          <w:tcPr>
            <w:tcW w:type="dxa" w:w="767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Department wording or checklist</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Past</w:t>
            </w:r>
          </w:p>
        </w:tc>
        <w:tc>
          <w:tcPr>
            <w:tcW w:type="dxa" w:w="7670"/>
            <w:tcMar>
              <w:top w:type="dxa" w:w="60"/>
              <w:left w:type="dxa" w:w="80"/>
              <w:bottom w:type="dxa" w:w="60"/>
              <w:right w:type="dxa" w:w="80"/>
            </w:tcMar>
            <w:vAlign w:val="top"/>
          </w:tcPr>
          <w:p>
            <w:pPr>
              <w:widowControl/>
              <w:spacing w:after="0" w:before="0" w:line="245" w:lineRule="auto"/>
            </w:pPr>
            <w:r>
              <w:rPr>
                <w:sz w:val="17"/>
                <w:szCs w:val="17"/>
              </w:rPr>
              <w:t xml:space="preserve">“K/c/o DM / SHTN / TB / asthma / epilepsy for ___ years, on treatment ___” · similar complaints in the past · ocular surgery or trauma: eye, what, when, where</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Seniors’ drug and systemic checklist, every case</w:t>
            </w:r>
          </w:p>
        </w:tc>
        <w:tc>
          <w:tcPr>
            <w:tcW w:type="dxa" w:w="767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Sulpha allergy · other drug allergy · medical history · head injury · asthma · “CVD” (heart disease or stroke: ask both) · migraine · Raynaud’s phenomenon · peripheral vascular disease · steroid use (type, duration)</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Personal</w:t>
            </w:r>
          </w:p>
        </w:tc>
        <w:tc>
          <w:tcPr>
            <w:tcW w:type="dxa" w:w="7670"/>
            <w:tcMar>
              <w:top w:type="dxa" w:w="60"/>
              <w:left w:type="dxa" w:w="80"/>
              <w:bottom w:type="dxa" w:w="60"/>
              <w:right w:type="dxa" w:w="80"/>
            </w:tcMar>
            <w:vAlign w:val="top"/>
          </w:tcPr>
          <w:p>
            <w:pPr>
              <w:widowControl/>
              <w:spacing w:after="0" w:before="0" w:line="245" w:lineRule="auto"/>
            </w:pPr>
            <w:r>
              <w:rPr>
                <w:sz w:val="17"/>
                <w:szCs w:val="17"/>
              </w:rPr>
              <w:t xml:space="preserve">“Takes mixed diet. Smoker / alcoholic for ___ years. Normal bowel and bladder habits.”</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Family</w:t>
            </w:r>
          </w:p>
        </w:tc>
        <w:tc>
          <w:tcPr>
            <w:tcW w:type="dxa" w:w="767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h/o similar illness in the family members”; ask about glaucoma, night blindness and consanguinity</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Treatment</w:t>
            </w:r>
          </w:p>
        </w:tc>
        <w:tc>
          <w:tcPr>
            <w:tcW w:type="dxa" w:w="7670"/>
            <w:tcMar>
              <w:top w:type="dxa" w:w="60"/>
              <w:left w:type="dxa" w:w="80"/>
              <w:bottom w:type="dxa" w:w="60"/>
              <w:right w:type="dxa" w:w="80"/>
            </w:tcMar>
            <w:vAlign w:val="top"/>
          </w:tcPr>
          <w:p>
            <w:pPr>
              <w:widowControl/>
              <w:spacing w:after="0" w:before="0" w:line="245" w:lineRule="auto"/>
            </w:pPr>
            <w:r>
              <w:rPr>
                <w:sz w:val="17"/>
                <w:szCs w:val="17"/>
              </w:rPr>
              <w:t xml:space="preserve">Drug, strength, frequency, eye, duration, compliance and side effects: “E/D timolol 0.5% BD (BE) for the past ___ years”. Or: “Treated at a private clinic nearby with two eye drops, then referred to our institute.”</w:t>
            </w:r>
          </w:p>
        </w:tc>
      </w:tr>
    </w:tbl>
    <w:p>
      <w:pPr>
        <w:pStyle w:val="Heading2"/>
        <w:widowControl/>
      </w:pPr>
      <w:r>
        <w:t xml:space="preserve">General and systemic examination</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817"/>
        <w:gridCol w:w="8275"/>
      </w:tblGrid>
      <w:tr>
        <w:trPr>
          <w:cantSplit/>
          <w:tblHeader/>
        </w:trPr>
        <w:tc>
          <w:tcPr>
            <w:tcW w:type="dxa" w:w="181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Part</w:t>
            </w:r>
          </w:p>
        </w:tc>
        <w:tc>
          <w:tcPr>
            <w:tcW w:type="dxa" w:w="827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Department wording</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General</w:t>
            </w:r>
          </w:p>
        </w:tc>
        <w:tc>
          <w:tcPr>
            <w:tcW w:type="dxa" w:w="8275"/>
            <w:tcMar>
              <w:top w:type="dxa" w:w="60"/>
              <w:left w:type="dxa" w:w="80"/>
              <w:bottom w:type="dxa" w:w="60"/>
              <w:right w:type="dxa" w:w="80"/>
            </w:tcMar>
            <w:vAlign w:val="top"/>
          </w:tcPr>
          <w:p>
            <w:pPr>
              <w:widowControl/>
              <w:spacing w:after="0" w:before="0" w:line="245" w:lineRule="auto"/>
            </w:pPr>
            <w:r>
              <w:rPr>
                <w:sz w:val="17"/>
                <w:szCs w:val="17"/>
              </w:rPr>
              <w:t xml:space="preserve">“Patient is conscious, oriented, afebrile; moderately built and nourished; not anaemic, not icteric; no cyanosis, clubbing, generalised lymphadenopathy or pedal oedema.”</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Vitals</w:t>
            </w:r>
          </w:p>
        </w:tc>
        <w:tc>
          <w:tcPr>
            <w:tcW w:type="dxa" w:w="827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 ___/min, regular in rhythm, normal in volume · BP ___/___ mm Hg, measured in the left arm in sitting posture · RR ___/min.”</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Systemic</w:t>
            </w:r>
          </w:p>
        </w:tc>
        <w:tc>
          <w:tcPr>
            <w:tcW w:type="dxa" w:w="8275"/>
            <w:tcMar>
              <w:top w:type="dxa" w:w="60"/>
              <w:left w:type="dxa" w:w="80"/>
              <w:bottom w:type="dxa" w:w="60"/>
              <w:right w:type="dxa" w:w="80"/>
            </w:tcMar>
            <w:vAlign w:val="top"/>
          </w:tcPr>
          <w:p>
            <w:pPr>
              <w:widowControl/>
              <w:spacing w:after="0" w:before="0" w:line="245" w:lineRule="auto"/>
            </w:pPr>
            <w:r>
              <w:rPr>
                <w:sz w:val="17"/>
                <w:szCs w:val="17"/>
              </w:rPr>
              <w:t xml:space="preserve">“CVS: S1 S2 heard, no murmurs · RS: NVBS, no added sounds · P/A: soft, no organomegaly · CNS: NFND.”</w:t>
            </w:r>
          </w:p>
        </w:tc>
      </w:tr>
    </w:tbl>
    <w:p>
      <w:pPr>
        <w:keepNext/>
        <w:widowControl/>
        <w:spacing w:before="110"/>
      </w:pPr>
      <w:r>
        <w:rPr>
          <w:b/>
          <w:bCs/>
        </w:rPr>
        <w:t xml:space="preserve">Blocks added before the eye, when the case needs them:</w:t>
      </w:r>
    </w:p>
    <w:p>
      <w:pPr>
        <w:pStyle w:val="ListParagraph"/>
        <w:keepLines/>
        <w:widowControl/>
        <w:numPr>
          <w:ilvl w:val="0"/>
          <w:numId w:val="2"/>
        </w:numPr>
        <w:spacing w:after="30"/>
      </w:pPr>
      <w:r>
        <w:rPr>
          <w:b/>
          <w:bCs/>
        </w:rPr>
        <w:t xml:space="preserve">Neck</w:t>
      </w:r>
      <w:r>
        <w:t xml:space="preserve"> (proptosis): a thyroid swelling that moves with deglutition.</w:t>
      </w:r>
    </w:p>
    <w:p>
      <w:pPr>
        <w:pStyle w:val="ListParagraph"/>
        <w:keepLines/>
        <w:widowControl/>
        <w:numPr>
          <w:ilvl w:val="0"/>
          <w:numId w:val="2"/>
        </w:numPr>
        <w:spacing w:after="30"/>
      </w:pPr>
      <w:r>
        <w:rPr>
          <w:b/>
          <w:bCs/>
        </w:rPr>
        <w:t xml:space="preserve">Local examination of the eye</w:t>
      </w:r>
      <w:r>
        <w:t xml:space="preserve"> (corneal ulcer): lid closure, Bell’s phenomenon and lagophthalmos. Then trichiasis, entropion, ectropion, blepharitis, meibomitis and a foreign body in the fornices.</w:t>
      </w:r>
    </w:p>
    <w:p>
      <w:pPr>
        <w:pStyle w:val="ListParagraph"/>
        <w:keepLines/>
        <w:widowControl/>
        <w:numPr>
          <w:ilvl w:val="0"/>
          <w:numId w:val="2"/>
        </w:numPr>
        <w:spacing w:after="30"/>
      </w:pPr>
      <w:r>
        <w:rPr>
          <w:b/>
          <w:bCs/>
        </w:rPr>
        <w:t xml:space="preserve">Head posture and facial symmetry</w:t>
      </w:r>
      <w:r>
        <w:t xml:space="preserve"> (squint, palsy).</w:t>
      </w:r>
    </w:p>
    <w:p>
      <w:pPr>
        <w:pStyle w:val="ListParagraph"/>
        <w:keepLines/>
        <w:widowControl/>
        <w:numPr>
          <w:ilvl w:val="0"/>
          <w:numId w:val="2"/>
        </w:numPr>
        <w:spacing w:after="60"/>
      </w:pPr>
      <w:r>
        <w:rPr>
          <w:b/>
          <w:bCs/>
        </w:rPr>
        <w:t xml:space="preserve">Cranial nerves I–XII</w:t>
      </w:r>
      <w:r>
        <w:t xml:space="preserve"> for palsies, as on the sixth nerve sheet.</w:t>
      </w:r>
    </w:p>
    <w:p>
      <w:pPr>
        <w:pStyle w:val="Heading2"/>
        <w:widowControl/>
      </w:pPr>
      <w:r>
        <w:t xml:space="preserve">Ocular examination — RE | LE table</w:t>
      </w:r>
    </w:p>
    <w:p>
      <w:pPr>
        <w:widowControl/>
      </w:pPr>
      <w:r>
        <w:t xml:space="preserve">Each row gives the right eye, then the left eye. The RE column shows a normal finding as the department writes it. The LE column shows an abnormal example, mostly from the department’s or the model case sheets.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716"/>
        <w:gridCol w:w="3330"/>
        <w:gridCol w:w="2018"/>
        <w:gridCol w:w="3028"/>
      </w:tblGrid>
      <w:tr>
        <w:trPr>
          <w:cantSplit/>
          <w:tblHeader/>
        </w:trPr>
        <w:tc>
          <w:tcPr>
            <w:tcW w:type="dxa" w:w="171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Row, in this order</w:t>
            </w:r>
          </w:p>
        </w:tc>
        <w:tc>
          <w:tcPr>
            <w:tcW w:type="dxa" w:w="333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w:t>
            </w:r>
          </w:p>
        </w:tc>
        <w:tc>
          <w:tcPr>
            <w:tcW w:type="dxa" w:w="201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RE — normal</w:t>
            </w:r>
          </w:p>
        </w:tc>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LE — abnormal example</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Visual acuity</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Unaided → pinhole → best corrected (write the glass) → near</w:t>
            </w:r>
          </w:p>
        </w:tc>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6/9, PH 6/6</w:t>
            </w:r>
          </w:p>
          <w:p>
            <w:pPr>
              <w:widowControl/>
              <w:spacing w:after="0" w:before="0" w:line="245" w:lineRule="auto"/>
            </w:pPr>
            <w:r>
              <w:rPr>
                <w:sz w:val="17"/>
                <w:szCs w:val="17"/>
              </w:rPr>
              <w:t xml:space="preserve">6/9 c̄ +0.50 DSph → 6/6</w:t>
            </w:r>
          </w:p>
          <w:p>
            <w:pPr>
              <w:widowControl/>
              <w:spacing w:after="0" w:before="0" w:line="245" w:lineRule="auto"/>
            </w:pPr>
            <w:r>
              <w:rPr>
                <w:sz w:val="17"/>
                <w:szCs w:val="17"/>
              </w:rPr>
              <w:t xml:space="preserve">N6 at 33 cm</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6/60 NIGNIP</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Head posture</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Face turn, head tilt, chin position; facial asymmetry</w:t>
            </w:r>
          </w:p>
        </w:tc>
        <w:tc>
          <w:tcPr>
            <w:tcW w:type="dxa" w:w="201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Characteristic face turn to the left side</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Hirschberg test and ocular movements</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Corneal reflexes, before dilating; ductions and versions</w:t>
            </w:r>
          </w:p>
        </w:tc>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Reflexes symmetrical (orthophoric); EOM full</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Abduction restriction </w:t>
            </w:r>
            <w:r>
              <w:rPr>
                <w:rFonts w:ascii="Segoe UI Symbol" w:cs="Segoe UI Symbol" w:eastAsia="Segoe UI Symbol" w:hAnsi="Segoe UI Symbol"/>
                <w:sz w:val="17"/>
                <w:szCs w:val="17"/>
              </w:rPr>
              <w:t xml:space="preserve">⊕</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Lids and adnexa</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Position, oedema, closure, lagophthalmos, trichiasis; lacrimal sac regurgitation</w:t>
            </w:r>
          </w:p>
        </w:tc>
        <w:tc>
          <w:tcPr>
            <w:tcW w:type="dxa" w:w="2018"/>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sz w:val="17"/>
                <w:szCs w:val="17"/>
              </w:rPr>
              <w:t xml:space="preserve">Ⓝ</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Lower-lid oedema </w:t>
            </w:r>
            <w:r>
              <w:rPr>
                <w:rFonts w:ascii="Segoe UI Symbol" w:cs="Segoe UI Symbol" w:eastAsia="Segoe UI Symbol" w:hAnsi="Segoe UI Symbol"/>
                <w:sz w:val="17"/>
                <w:szCs w:val="17"/>
              </w:rPr>
              <w:t xml:space="preserve">⊕</w:t>
            </w:r>
            <w:r>
              <w:rPr>
                <w:sz w:val="17"/>
                <w:szCs w:val="17"/>
              </w:rPr>
              <w:t xml:space="preserve">; inferior scleral show </w:t>
            </w:r>
            <w:r>
              <w:rPr>
                <w:rFonts w:ascii="Segoe UI Symbol" w:cs="Segoe UI Symbol" w:eastAsia="Segoe UI Symbol" w:hAnsi="Segoe UI Symbol"/>
                <w:sz w:val="17"/>
                <w:szCs w:val="17"/>
              </w:rPr>
              <w:t xml:space="preserve">⊕</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Conjunctiva</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Congestion (circumcorneal or conjunctival), chemosis, bleb; evert the upper lid</w:t>
            </w:r>
          </w:p>
        </w:tc>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Clear</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Circumcorneal congestion </w:t>
            </w:r>
            <w:r>
              <w:rPr>
                <w:rFonts w:ascii="Segoe UI Symbol" w:cs="Segoe UI Symbol" w:eastAsia="Segoe UI Symbol" w:hAnsi="Segoe UI Symbol"/>
                <w:sz w:val="17"/>
                <w:szCs w:val="17"/>
              </w:rPr>
              <w:t xml:space="preserve">⊕</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Cornea</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Clarity; oedema, opacity, ulcer, vessels, KPs; sensation; staining</w:t>
            </w:r>
          </w:p>
        </w:tc>
        <w:tc>
          <w:tcPr>
            <w:tcW w:type="dxa" w:w="201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Clear; sensation intact</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Greyish-white 4 × 4 mm paracentral ulcer, well-defined margins, surrounding stromal infiltrate</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Anterior chamber</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Central and peripheral depth (Van Herick); cells, flare, hypopyon</w:t>
            </w:r>
          </w:p>
        </w:tc>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VH Gr IV (ND)</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ND; hypopyon ___ mm, mobile / not mobile</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Iris</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Pattern; new vessels; atrophy; nodules; synechiae; PxF; iridotomy patency</w:t>
            </w:r>
          </w:p>
        </w:tc>
        <w:tc>
          <w:tcPr>
            <w:tcW w:type="dxa" w:w="201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CPN</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PxF </w:t>
            </w:r>
            <w:r>
              <w:rPr>
                <w:rFonts w:ascii="Segoe UI Symbol" w:cs="Segoe UI Symbol" w:eastAsia="Segoe UI Symbol" w:hAnsi="Segoe UI Symbol"/>
                <w:sz w:val="17"/>
                <w:szCs w:val="17"/>
              </w:rPr>
              <w:t xml:space="preserve">⊕</w:t>
            </w:r>
            <w:r>
              <w:rPr>
                <w:sz w:val="17"/>
                <w:szCs w:val="17"/>
              </w:rPr>
              <w:t xml:space="preserve"> at the pupillary margin</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Pupil</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Size, shape, direct and consensual; swinging torch light test for RAPD, before dilating</w:t>
            </w:r>
          </w:p>
        </w:tc>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RTL (3 mm)</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4 mm, sluggish, grade 3 RAPD</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Lens</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Cataract and grade, PCIOL, aphakia, subluxation; PxF</w:t>
            </w:r>
          </w:p>
        </w:tc>
        <w:tc>
          <w:tcPr>
            <w:tcW w:type="dxa" w:w="201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Clear</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NS-3; PxF in ALC</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Intraocular pressure</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Method, value, time; before gonioscopy and dilatation</w:t>
            </w:r>
          </w:p>
        </w:tc>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Tn by GAT 14 mm Hg at 10 am</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Tn by GAT 26 mm Hg at 10 am</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Gonioscopy</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Deepest structure seen per quadrant, on a cross; PAS, new vessels</w:t>
            </w:r>
          </w:p>
        </w:tc>
        <w:tc>
          <w:tcPr>
            <w:tcW w:type="dxa" w:w="201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SS in all quadrants (open)</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TM all round; patent ostium and iridectomy superiorly</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Fundus</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Distant direct → direct → +90 dioptre lens → indirect (card B)</w:t>
            </w:r>
          </w:p>
        </w:tc>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Media clear; disc and vessels appear normal; macula FR </w:t>
            </w:r>
            <w:r>
              <w:rPr>
                <w:rFonts w:ascii="Segoe UI Symbol" w:cs="Segoe UI Symbol" w:eastAsia="Segoe UI Symbol" w:hAnsi="Segoe UI Symbol"/>
                <w:sz w:val="17"/>
                <w:szCs w:val="17"/>
              </w:rPr>
              <w:t xml:space="preserve">⊕</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CDR 0.8, NRR thinning </w:t>
            </w:r>
            <w:r>
              <w:rPr>
                <w:rFonts w:ascii="Segoe UI Symbol" w:cs="Segoe UI Symbol" w:eastAsia="Segoe UI Symbol" w:hAnsi="Segoe UI Symbol"/>
                <w:sz w:val="17"/>
                <w:szCs w:val="17"/>
              </w:rPr>
              <w:t xml:space="preserve">⊕</w:t>
            </w:r>
            <w:r>
              <w:rPr>
                <w:sz w:val="17"/>
                <w:szCs w:val="17"/>
              </w:rPr>
              <w:t xml:space="preserve"> (superior, inferior), bayoneting </w:t>
            </w:r>
            <w:r>
              <w:rPr>
                <w:rFonts w:ascii="Segoe UI Symbol" w:cs="Segoe UI Symbol" w:eastAsia="Segoe UI Symbol" w:hAnsi="Segoe UI Symbol"/>
                <w:sz w:val="17"/>
                <w:szCs w:val="17"/>
              </w:rPr>
              <w:t xml:space="preserve">⊕</w:t>
            </w:r>
            <w:r>
              <w:rPr>
                <w:sz w:val="17"/>
                <w:szCs w:val="17"/>
              </w:rPr>
              <w:t xml:space="preserve">, PPA </w:t>
            </w:r>
            <w:r>
              <w:rPr>
                <w:rFonts w:ascii="Segoe UI Symbol" w:cs="Segoe UI Symbol" w:eastAsia="Segoe UI Symbol" w:hAnsi="Segoe UI Symbol"/>
                <w:sz w:val="17"/>
                <w:szCs w:val="17"/>
              </w:rPr>
              <w:t xml:space="preserve">⊕</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Fields (confrontation)</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Each quadrant against your own field</w:t>
            </w:r>
          </w:p>
        </w:tc>
        <w:tc>
          <w:tcPr>
            <w:tcW w:type="dxa" w:w="201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Full in all quadrants</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Defect </w:t>
            </w:r>
            <w:r>
              <w:rPr>
                <w:rFonts w:ascii="Segoe UI Symbol" w:cs="Segoe UI Symbol" w:eastAsia="Segoe UI Symbol" w:hAnsi="Segoe UI Symbol"/>
                <w:sz w:val="17"/>
                <w:szCs w:val="17"/>
              </w:rPr>
              <w:t xml:space="preserve">⊕</w:t>
            </w:r>
            <w:r>
              <w:rPr>
                <w:sz w:val="17"/>
                <w:szCs w:val="17"/>
              </w:rPr>
              <w:t xml:space="preserve"> in the ___ quadrant</w:t>
            </w:r>
          </w:p>
        </w:tc>
      </w:tr>
    </w:tbl>
    <w:p>
      <w:pPr>
        <w:widowControl/>
        <w:spacing w:before="110"/>
      </w:pPr>
      <w:r>
        <w:rPr>
          <w:b/>
          <w:bCs/>
        </w:rPr>
        <w:t xml:space="preserve">Tension:</w:t>
      </w:r>
      <w:r>
        <w:t xml:space="preserve"> before gonioscopy (which lowers the reading) and before dilating (which raises it); always the method and the time. The department’s tables list “Tn by GAT” straight after visual acuity. That is fine on paper if you measured it first.</w:t>
      </w:r>
    </w:p>
    <w:p>
      <w:pPr>
        <w:widowControl/>
      </w:pPr>
      <w:r>
        <w:rPr>
          <w:b/>
          <w:bCs/>
        </w:rPr>
        <w:t xml:space="preserve">Van Herick:</w:t>
      </w:r>
      <w:r>
        <w:t xml:space="preserve"> a thin slit 1 mm inside the temporal limbus, at 60°. Compare the peripheral chamber depth with the corneal thickness. </w:t>
      </w:r>
      <w:r>
        <w:rPr>
          <w:b/>
          <w:bCs/>
        </w:rPr>
        <w:t xml:space="preserve">Grade 4</w:t>
      </w:r>
      <w:r>
        <w:t xml:space="preserve"> ≥ 1 (normal depth) · </w:t>
      </w:r>
      <w:r>
        <w:rPr>
          <w:b/>
          <w:bCs/>
        </w:rPr>
        <w:t xml:space="preserve">3</w:t>
      </w:r>
      <w:r>
        <w:t xml:space="preserve"> ¼–½ · </w:t>
      </w:r>
      <w:r>
        <w:rPr>
          <w:b/>
          <w:bCs/>
        </w:rPr>
        <w:t xml:space="preserve">2</w:t>
      </w:r>
      <w:r>
        <w:t xml:space="preserve"> ¼ · </w:t>
      </w:r>
      <w:r>
        <w:rPr>
          <w:b/>
          <w:bCs/>
        </w:rPr>
        <w:t xml:space="preserve">1</w:t>
      </w:r>
      <w:r>
        <w:t xml:space="preserve"> &lt; ¼ (potentially occludable).</w:t>
      </w:r>
    </w:p>
    <w:p>
      <w:pPr>
        <w:widowControl/>
      </w:pPr>
      <w:r>
        <w:rPr>
          <w:b/>
          <w:bCs/>
        </w:rPr>
        <w:t xml:space="preserve">No slit lamp: the pen-torch method.</w:t>
      </w:r>
      <w:r>
        <w:t xml:space="preserve"> Hold the torch on the temporal side. Whole iris lit = grade 4, normal depth. Two-thirds lit = grade 2, shallow.</w:t>
      </w:r>
    </w:p>
    <w:p>
      <w:pPr>
        <w:widowControl/>
      </w:pPr>
      <w:r>
        <w:rPr>
          <w:b/>
          <w:bCs/>
        </w:rPr>
        <w:t xml:space="preserve">Hirschberg test (before dilating):</w:t>
      </w:r>
      <w:r>
        <w:t xml:space="preserve"> hold a pencil torch in the midline, 2 feet away. Ask him to look at it. Normally both corneal reflexes lie at the centre of the pupil. A reflex at the pupillary border means about 7° (14 prism dioptres) of deviation. At mid-iris it means about 15° (30 prism dioptres); at the limbus about 30° (60 prism dioptres). It is a rough estimate only.</w:t>
      </w:r>
    </w:p>
    <w:p>
      <w:pPr>
        <w:widowControl/>
      </w:pPr>
      <w:r>
        <w:rPr>
          <w:b/>
          <w:bCs/>
        </w:rPr>
        <w:t xml:space="preserve">Gonioscopy:</w:t>
      </w:r>
      <w:r>
        <w:t xml:space="preserve"> draw one cross per eye and write the deepest structure seen in each quadrant. Name the system: “by modified Shaffer’s grading”, as the department writes. Last year’s exam sheet:</w:t>
      </w:r>
    </w:p>
    <w:p>
      <w:pPr>
        <w:keepNext/>
        <w:widowControl/>
        <w:spacing w:after="30" w:before="80"/>
        <w:jc w:val="center"/>
      </w:pPr>
      <w:r>
        <w:drawing>
          <wp:inline distT="0" distB="0" distL="0" distR="0">
            <wp:extent cx="3962400" cy="1695450"/>
            <wp:effectExtent t="0" r="0" b="0" l="0"/>
            <wp:docPr id="1001" name="Gonioscopy 1" descr="Right eye: S SS, T SS, I SS, N SS. Left eye: S SS, T SS, I SS, N SS" title="Gonioscopy cro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62400" cy="1695450"/>
                    </a:xfrm>
                    <a:prstGeom prst="rect">
                      <a:avLst/>
                    </a:prstGeom>
                  </pic:spPr>
                </pic:pic>
              </a:graphicData>
            </a:graphic>
          </wp:inline>
        </w:drawing>
      </w:r>
    </w:p>
    <w:p>
      <w:pPr>
        <w:widowControl/>
        <w:spacing w:after="100" w:before="0"/>
        <w:jc w:val="center"/>
      </w:pPr>
      <w:r>
        <w:rPr>
          <w:i/>
          <w:iCs/>
          <w:color w:val="404040"/>
          <w:sz w:val="17"/>
          <w:szCs w:val="17"/>
        </w:rPr>
        <w:t xml:space="preserve">Deepest structure seen in each quadrant — scleral spur all round: open angles (last year’s exam sheet)</w:t>
      </w:r>
    </w:p>
    <w:p>
      <w:pPr>
        <w:widowControl/>
      </w:pPr>
      <w:r>
        <w:rPr>
          <w:b/>
          <w:bCs/>
        </w:rPr>
        <w:t xml:space="preserve">Fundus:</w:t>
      </w:r>
      <w:r>
        <w:t xml:space="preserve"> describe it by card B. In a long case a normal fundus is written “Media clear; disc and vessels appear normal; macula FR </w:t>
      </w:r>
      <w:r>
        <w:rPr>
          <w:rFonts w:ascii="Segoe UI Symbol" w:cs="Segoe UI Symbol" w:eastAsia="Segoe UI Symbol" w:hAnsi="Segoe UI Symbol"/>
        </w:rPr>
        <w:t xml:space="preserve">⊕</w:t>
      </w:r>
      <w:r>
        <w:t xml:space="preserve">”.</w:t>
      </w:r>
    </w:p>
    <w:p>
      <w:pPr>
        <w:keepNext/>
        <w:widowControl/>
      </w:pPr>
      <w:r>
        <w:rPr>
          <w:b/>
          <w:bCs/>
        </w:rPr>
        <w:t xml:space="preserve">Fields by confrontation:</w:t>
      </w:r>
    </w:p>
    <w:p>
      <w:pPr>
        <w:pStyle w:val="ListParagraph"/>
        <w:keepLines/>
        <w:widowControl/>
        <w:numPr>
          <w:ilvl w:val="0"/>
          <w:numId w:val="3"/>
        </w:numPr>
        <w:spacing w:after="30"/>
      </w:pPr>
      <w:r>
        <w:t xml:space="preserve">Sit face to face with him, 60 cm apart.</w:t>
      </w:r>
    </w:p>
    <w:p>
      <w:pPr>
        <w:pStyle w:val="ListParagraph"/>
        <w:keepLines/>
        <w:widowControl/>
        <w:numPr>
          <w:ilvl w:val="0"/>
          <w:numId w:val="3"/>
        </w:numPr>
        <w:spacing w:after="30"/>
      </w:pPr>
      <w:r>
        <w:t xml:space="preserve">His right eye fixes your left eye; the other two eyes are closed.</w:t>
      </w:r>
    </w:p>
    <w:p>
      <w:pPr>
        <w:pStyle w:val="ListParagraph"/>
        <w:keepLines/>
        <w:widowControl/>
        <w:numPr>
          <w:ilvl w:val="0"/>
          <w:numId w:val="3"/>
        </w:numPr>
        <w:spacing w:after="30"/>
      </w:pPr>
      <w:r>
        <w:t xml:space="preserve">Bring your finger in from the periphery, midway between you, in each quadrant.</w:t>
      </w:r>
    </w:p>
    <w:p>
      <w:pPr>
        <w:pStyle w:val="ListParagraph"/>
        <w:keepLines/>
        <w:widowControl/>
        <w:numPr>
          <w:ilvl w:val="0"/>
          <w:numId w:val="3"/>
        </w:numPr>
        <w:spacing w:after="60"/>
      </w:pPr>
      <w:r>
        <w:t xml:space="preserve">Compare his field with your own.</w:t>
      </w:r>
    </w:p>
    <w:p>
      <w:pPr>
        <w:pStyle w:val="Heading2"/>
        <w:widowControl/>
      </w:pPr>
      <w:r>
        <w:t xml:space="preserve">Summary</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018"/>
        <w:gridCol w:w="8074"/>
      </w:tblGrid>
      <w:tr>
        <w:trPr>
          <w:cantSplit/>
          <w:tblHeader/>
        </w:trPr>
        <w:tc>
          <w:tcPr>
            <w:tcW w:type="dxa" w:w="201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Part</w:t>
            </w:r>
          </w:p>
        </w:tc>
        <w:tc>
          <w:tcPr>
            <w:tcW w:type="dxa" w:w="807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Say it like this</w:t>
            </w:r>
          </w:p>
        </w:tc>
      </w:tr>
      <w:tr>
        <w:trPr>
          <w:cantSplit/>
        </w:trPr>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Who and what</w:t>
            </w:r>
          </w:p>
        </w:tc>
        <w:tc>
          <w:tcPr>
            <w:tcW w:type="dxa" w:w="8074"/>
            <w:tcMar>
              <w:top w:type="dxa" w:w="60"/>
              <w:left w:type="dxa" w:w="80"/>
              <w:bottom w:type="dxa" w:w="60"/>
              <w:right w:type="dxa" w:w="80"/>
            </w:tcMar>
            <w:vAlign w:val="top"/>
          </w:tcPr>
          <w:p>
            <w:pPr>
              <w:widowControl/>
              <w:spacing w:after="0" w:before="0" w:line="245" w:lineRule="auto"/>
            </w:pPr>
            <w:r>
              <w:rPr>
                <w:sz w:val="17"/>
                <w:szCs w:val="17"/>
              </w:rPr>
              <w:t xml:space="preserve">“Mr ___, a ___-year-old ___, came with ___ in the ___ eye for the past ___,”</w:t>
            </w:r>
          </w:p>
        </w:tc>
      </w:tr>
      <w:tr>
        <w:trPr>
          <w:cantSplit/>
        </w:trPr>
        <w:tc>
          <w:tcPr>
            <w:tcW w:type="dxa" w:w="201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Course</w:t>
            </w:r>
          </w:p>
        </w:tc>
        <w:tc>
          <w:tcPr>
            <w:tcW w:type="dxa" w:w="807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“___ in onset, ___ in nature, associated with ___;”</w:t>
            </w:r>
          </w:p>
        </w:tc>
      </w:tr>
      <w:tr>
        <w:trPr>
          <w:cantSplit/>
        </w:trPr>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History</w:t>
            </w:r>
          </w:p>
        </w:tc>
        <w:tc>
          <w:tcPr>
            <w:tcW w:type="dxa" w:w="8074"/>
            <w:tcMar>
              <w:top w:type="dxa" w:w="60"/>
              <w:left w:type="dxa" w:w="80"/>
              <w:bottom w:type="dxa" w:w="60"/>
              <w:right w:type="dxa" w:w="80"/>
            </w:tcMar>
            <w:vAlign w:val="top"/>
          </w:tcPr>
          <w:p>
            <w:pPr>
              <w:widowControl/>
              <w:spacing w:after="0" w:before="0" w:line="245" w:lineRule="auto"/>
            </w:pPr>
            <w:r>
              <w:rPr>
                <w:sz w:val="17"/>
                <w:szCs w:val="17"/>
              </w:rPr>
              <w:t xml:space="preserve">“no history of ___; known case of ___.”</w:t>
            </w:r>
          </w:p>
        </w:tc>
      </w:tr>
      <w:tr>
        <w:trPr>
          <w:cantSplit/>
        </w:trPr>
        <w:tc>
          <w:tcPr>
            <w:tcW w:type="dxa" w:w="201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Findings</w:t>
            </w:r>
          </w:p>
        </w:tc>
        <w:tc>
          <w:tcPr>
            <w:tcW w:type="dxa" w:w="807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“On examination, visual acuity ___ / ___; ___ [positives]; ___ [key negatives];”</w:t>
            </w:r>
          </w:p>
        </w:tc>
      </w:tr>
      <w:tr>
        <w:trPr>
          <w:cantSplit/>
        </w:trPr>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Pressure</w:t>
            </w:r>
          </w:p>
        </w:tc>
        <w:tc>
          <w:tcPr>
            <w:tcW w:type="dxa" w:w="8074"/>
            <w:tcMar>
              <w:top w:type="dxa" w:w="60"/>
              <w:left w:type="dxa" w:w="80"/>
              <w:bottom w:type="dxa" w:w="60"/>
              <w:right w:type="dxa" w:w="80"/>
            </w:tcMar>
            <w:vAlign w:val="top"/>
          </w:tcPr>
          <w:p>
            <w:pPr>
              <w:widowControl/>
              <w:spacing w:after="0" w:before="0" w:line="245" w:lineRule="auto"/>
            </w:pPr>
            <w:r>
              <w:rPr>
                <w:sz w:val="17"/>
                <w:szCs w:val="17"/>
              </w:rPr>
              <w:t xml:space="preserve">“intraocular pressure ___ / ___ mm Hg by ___ at ___.”</w:t>
            </w:r>
          </w:p>
        </w:tc>
      </w:tr>
    </w:tbl>
    <w:p>
      <w:pPr>
        <w:widowControl/>
        <w:spacing w:before="110"/>
      </w:pPr>
      <w:r>
        <w:t xml:space="preserve">Give only the positives that make the diagnosis and the negatives that exclude the differentials.</w:t>
      </w:r>
    </w:p>
    <w:p>
      <w:pPr>
        <w:pStyle w:val="Heading2"/>
        <w:widowControl/>
      </w:pPr>
      <w:r>
        <w:t xml:space="preserve">Complete diagnosis</w:t>
      </w:r>
    </w:p>
    <w:p>
      <w:pPr>
        <w:widowControl/>
      </w:pPr>
      <w:r>
        <w:rPr>
          <w:b/>
          <w:bCs/>
        </w:rPr>
        <w:t xml:space="preserve">Formula: eye → disease → type / stage / grade → aetiology → complications or status → other eye.</w:t>
      </w:r>
      <w:r>
        <w:t xml:space="preserve"> Begin “My provisional diagnosis is …”. Say “probably of … aetiology” when the cause is not proven.</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220"/>
        <w:gridCol w:w="2624"/>
        <w:gridCol w:w="2624"/>
        <w:gridCol w:w="2624"/>
      </w:tblGrid>
      <w:tr>
        <w:trPr>
          <w:cantSplit/>
          <w:tblHeader/>
        </w:trPr>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Slot</w:t>
            </w:r>
          </w:p>
        </w:tc>
        <w:tc>
          <w:tcPr>
            <w:tcW w:type="dxa" w:w="262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Glaucoma sheet</w:t>
            </w:r>
          </w:p>
        </w:tc>
        <w:tc>
          <w:tcPr>
            <w:tcW w:type="dxa" w:w="262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Corneal ulcer sheet</w:t>
            </w:r>
          </w:p>
        </w:tc>
        <w:tc>
          <w:tcPr>
            <w:tcW w:type="dxa" w:w="262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Third nerve model sheet</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Eye</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Both eyes</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Left eye</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Right eye</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Disease</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primary open-angle glaucoma</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corneal ulcer</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third nerve palsy</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Type / stage / grade</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paracentral</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pupil-sparing, infranuclear, incomplete</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Aetiology</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probably of bacterial aetiology</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due to ischaemic microangiopathy</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Complications or status</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with pseudophakia, with intraocular pressure under control on medical management</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in healing stage</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Other eye</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(both eyes)</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state it if abnormal</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state it if abnormal</w:t>
            </w:r>
          </w:p>
        </w:tc>
      </w:tr>
    </w:tbl>
    <w:p>
      <w:pPr>
        <w:keepNext/>
        <w:widowControl/>
        <w:spacing w:before="110"/>
      </w:pPr>
      <w:r>
        <w:rPr>
          <w:b/>
          <w:bCs/>
        </w:rPr>
        <w:t xml:space="preserve">More examples:</w:t>
      </w:r>
    </w:p>
    <w:p>
      <w:pPr>
        <w:pStyle w:val="ListParagraph"/>
        <w:keepLines/>
        <w:widowControl/>
        <w:numPr>
          <w:ilvl w:val="0"/>
          <w:numId w:val="2"/>
        </w:numPr>
        <w:spacing w:after="30"/>
      </w:pPr>
      <w:r>
        <w:t xml:space="preserve">“Bilateral axial proptosis, probably of thyroid-related orbitopathy, in active stage” (active or inactive by the signs).</w:t>
      </w:r>
    </w:p>
    <w:p>
      <w:pPr>
        <w:pStyle w:val="ListParagraph"/>
        <w:keepLines/>
        <w:widowControl/>
        <w:numPr>
          <w:ilvl w:val="0"/>
          <w:numId w:val="2"/>
        </w:numPr>
        <w:spacing w:after="60"/>
      </w:pPr>
      <w:r>
        <w:t xml:space="preserve">“Right eye: primary open-angle glaucoma, status post trabeculectomy with failed bleb and grade 2 nuclear sclerosis. Left eye: primary open-angle glaucoma and grade 2 nuclear sclerosis.”</w:t>
      </w:r>
    </w:p>
    <w:p>
      <w:pPr>
        <w:pStyle w:val="Heading2"/>
        <w:widowControl/>
      </w:pPr>
      <w:r>
        <w:t xml:space="preserve">Differentials, investigations and management</w:t>
      </w:r>
    </w:p>
    <w:p>
      <w:pPr>
        <w:pStyle w:val="ListParagraph"/>
        <w:keepLines/>
        <w:widowControl/>
        <w:numPr>
          <w:ilvl w:val="0"/>
          <w:numId w:val="2"/>
        </w:numPr>
        <w:spacing w:after="30"/>
      </w:pPr>
      <w:r>
        <w:rPr>
          <w:b/>
          <w:bCs/>
        </w:rPr>
        <w:t xml:space="preserve">Differentials:</w:t>
      </w:r>
      <w:r>
        <w:t xml:space="preserve"> 4–6, most likely first. For each, give the points for, the points against, and the sign or test that tells it apart (ask 3).</w:t>
      </w:r>
    </w:p>
    <w:p>
      <w:pPr>
        <w:pStyle w:val="ListParagraph"/>
        <w:keepLines/>
        <w:widowControl/>
        <w:numPr>
          <w:ilvl w:val="0"/>
          <w:numId w:val="2"/>
        </w:numPr>
        <w:spacing w:after="30"/>
      </w:pPr>
      <w:r>
        <w:rPr>
          <w:b/>
          <w:bCs/>
        </w:rPr>
        <w:t xml:space="preserve">Investigations:</w:t>
      </w:r>
      <w:r>
        <w:t xml:space="preserve"> confirm → stage or grade → find the cause → baseline → fitness for surgery (ask 4). Central corneal thickness goes here, not in the clinical table.</w:t>
      </w:r>
    </w:p>
    <w:p>
      <w:pPr>
        <w:pStyle w:val="ListParagraph"/>
        <w:keepLines/>
        <w:widowControl/>
        <w:numPr>
          <w:ilvl w:val="0"/>
          <w:numId w:val="2"/>
        </w:numPr>
        <w:spacing w:after="60"/>
      </w:pPr>
      <w:r>
        <w:rPr>
          <w:b/>
          <w:bCs/>
        </w:rPr>
        <w:t xml:space="preserve">Management:</w:t>
      </w:r>
      <w:r>
        <w:t xml:space="preserve"> aim → medical → laser → surgery → follow-up and counselling (ask 5). Give the trigger for each step up.</w:t>
      </w:r>
    </w:p>
    <w:p>
      <w:pPr>
        <w:pStyle w:val="Heading2"/>
        <w:widowControl/>
      </w:pPr>
      <w:r>
        <w:t xml:space="preserve">The five-asks method</w:t>
      </w:r>
    </w:p>
    <w:p>
      <w:pPr>
        <w:keepNext/>
        <w:widowControl/>
      </w:pPr>
      <w:r>
        <w:t xml:space="preserve">Every case card answers the same five things, in the same places. Learn the method here once. Each card then fills it in for its own case.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606"/>
        <w:gridCol w:w="3028"/>
        <w:gridCol w:w="6458"/>
      </w:tblGrid>
      <w:tr>
        <w:trPr>
          <w:cantSplit/>
          <w:tblHeader/>
        </w:trPr>
        <w:tc>
          <w:tcPr>
            <w:tcW w:type="dxa" w:w="60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No.</w:t>
            </w:r>
          </w:p>
        </w:tc>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The ask</w:t>
            </w:r>
          </w:p>
        </w:tc>
        <w:tc>
          <w:tcPr>
            <w:tcW w:type="dxa" w:w="645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you must be able to say</w:t>
            </w:r>
          </w:p>
        </w:tc>
      </w:tr>
      <w:tr>
        <w:trPr>
          <w:cantSplit/>
        </w:trPr>
        <w:tc>
          <w:tcPr>
            <w:tcW w:type="dxa" w:w="606"/>
            <w:tcMar>
              <w:top w:type="dxa" w:w="60"/>
              <w:left w:type="dxa" w:w="80"/>
              <w:bottom w:type="dxa" w:w="60"/>
              <w:right w:type="dxa" w:w="80"/>
            </w:tcMar>
            <w:vAlign w:val="top"/>
          </w:tcPr>
          <w:p>
            <w:pPr>
              <w:widowControl/>
              <w:spacing w:after="0" w:before="0" w:line="245" w:lineRule="auto"/>
            </w:pPr>
            <w:r>
              <w:rPr>
                <w:sz w:val="17"/>
                <w:szCs w:val="17"/>
              </w:rPr>
              <w:t xml:space="preserve">1</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History, with a reason for every question</w:t>
            </w:r>
          </w:p>
        </w:tc>
        <w:tc>
          <w:tcPr>
            <w:tcW w:type="dxa" w:w="6458"/>
            <w:tcMar>
              <w:top w:type="dxa" w:w="60"/>
              <w:left w:type="dxa" w:w="80"/>
              <w:bottom w:type="dxa" w:w="60"/>
              <w:right w:type="dxa" w:w="80"/>
            </w:tcMar>
            <w:vAlign w:val="top"/>
          </w:tcPr>
          <w:p>
            <w:pPr>
              <w:widowControl/>
              <w:spacing w:after="0" w:before="0" w:line="245" w:lineRule="auto"/>
            </w:pPr>
            <w:r>
              <w:rPr>
                <w:sz w:val="17"/>
                <w:szCs w:val="17"/>
              </w:rPr>
              <w:t xml:space="preserve">What each answer tells you. For each negative, what a “yes” would point to, and how to tell the look-alikes apart</w:t>
            </w:r>
          </w:p>
        </w:tc>
      </w:tr>
      <w:tr>
        <w:trPr>
          <w:cantSplit/>
        </w:trPr>
        <w:tc>
          <w:tcPr>
            <w:tcW w:type="dxa" w:w="60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must-do examination, in order</w:t>
            </w:r>
          </w:p>
        </w:tc>
        <w:tc>
          <w:tcPr>
            <w:tcW w:type="dxa" w:w="645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How to do each step, how to record it, and the 2–4 viva questions it brings</w:t>
            </w:r>
          </w:p>
        </w:tc>
      </w:tr>
      <w:tr>
        <w:trPr>
          <w:cantSplit/>
        </w:trPr>
        <w:tc>
          <w:tcPr>
            <w:tcW w:type="dxa" w:w="606"/>
            <w:tcMar>
              <w:top w:type="dxa" w:w="60"/>
              <w:left w:type="dxa" w:w="80"/>
              <w:bottom w:type="dxa" w:w="60"/>
              <w:right w:type="dxa" w:w="80"/>
            </w:tcMar>
            <w:vAlign w:val="top"/>
          </w:tcPr>
          <w:p>
            <w:pPr>
              <w:widowControl/>
              <w:spacing w:after="0" w:before="0" w:line="245" w:lineRule="auto"/>
            </w:pPr>
            <w:r>
              <w:rPr>
                <w:sz w:val="17"/>
                <w:szCs w:val="17"/>
              </w:rPr>
              <w:t xml:space="preserve">3</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Differentials</w:t>
            </w:r>
          </w:p>
        </w:tc>
        <w:tc>
          <w:tcPr>
            <w:tcW w:type="dxa" w:w="6458"/>
            <w:tcMar>
              <w:top w:type="dxa" w:w="60"/>
              <w:left w:type="dxa" w:w="80"/>
              <w:bottom w:type="dxa" w:w="60"/>
              <w:right w:type="dxa" w:w="80"/>
            </w:tcMar>
            <w:vAlign w:val="top"/>
          </w:tcPr>
          <w:p>
            <w:pPr>
              <w:widowControl/>
              <w:spacing w:after="0" w:before="0" w:line="245" w:lineRule="auto"/>
            </w:pPr>
            <w:r>
              <w:rPr>
                <w:sz w:val="17"/>
                <w:szCs w:val="17"/>
              </w:rPr>
              <w:t xml:space="preserve">The clinching sign or test that tells each one apart</w:t>
            </w:r>
          </w:p>
        </w:tc>
      </w:tr>
      <w:tr>
        <w:trPr>
          <w:cantSplit/>
        </w:trPr>
        <w:tc>
          <w:tcPr>
            <w:tcW w:type="dxa" w:w="60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4</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Investigations</w:t>
            </w:r>
          </w:p>
        </w:tc>
        <w:tc>
          <w:tcPr>
            <w:tcW w:type="dxa" w:w="645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purpose of each: to confirm, to stage, to find the cause, baseline, fitness for surgery</w:t>
            </w:r>
          </w:p>
        </w:tc>
      </w:tr>
      <w:tr>
        <w:trPr>
          <w:cantSplit/>
        </w:trPr>
        <w:tc>
          <w:tcPr>
            <w:tcW w:type="dxa" w:w="606"/>
            <w:tcMar>
              <w:top w:type="dxa" w:w="60"/>
              <w:left w:type="dxa" w:w="80"/>
              <w:bottom w:type="dxa" w:w="60"/>
              <w:right w:type="dxa" w:w="80"/>
            </w:tcMar>
            <w:vAlign w:val="top"/>
          </w:tcPr>
          <w:p>
            <w:pPr>
              <w:widowControl/>
              <w:spacing w:after="0" w:before="0" w:line="245" w:lineRule="auto"/>
            </w:pPr>
            <w:r>
              <w:rPr>
                <w:sz w:val="17"/>
                <w:szCs w:val="17"/>
              </w:rPr>
              <w:t xml:space="preserve">5</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Management</w:t>
            </w:r>
          </w:p>
        </w:tc>
        <w:tc>
          <w:tcPr>
            <w:tcW w:type="dxa" w:w="6458"/>
            <w:tcMar>
              <w:top w:type="dxa" w:w="60"/>
              <w:left w:type="dxa" w:w="80"/>
              <w:bottom w:type="dxa" w:w="60"/>
              <w:right w:type="dxa" w:w="80"/>
            </w:tcMar>
            <w:vAlign w:val="top"/>
          </w:tcPr>
          <w:p>
            <w:pPr>
              <w:widowControl/>
              <w:spacing w:after="0" w:before="0" w:line="245" w:lineRule="auto"/>
            </w:pPr>
            <w:r>
              <w:rPr>
                <w:sz w:val="17"/>
                <w:szCs w:val="17"/>
              </w:rPr>
              <w:t xml:space="preserve">Aim → medical → laser → surgery → follow-up, with the trigger for each step up</w:t>
            </w:r>
          </w:p>
        </w:tc>
      </w:tr>
    </w:tbl>
    <w:p>
      <w:pPr>
        <w:pStyle w:val="Heading3"/>
        <w:widowControl/>
      </w:pPr>
      <w:r>
        <w:t xml:space="preserve">Ask 1 — a reason for every history question</w:t>
      </w:r>
    </w:p>
    <w:p>
      <w:pPr>
        <w:pStyle w:val="ListParagraph"/>
        <w:keepLines/>
        <w:widowControl/>
        <w:numPr>
          <w:ilvl w:val="0"/>
          <w:numId w:val="2"/>
        </w:numPr>
        <w:spacing w:after="30"/>
      </w:pPr>
      <w:r>
        <w:rPr>
          <w:b/>
          <w:bCs/>
        </w:rPr>
        <w:t xml:space="preserve">One question per row.</w:t>
      </w:r>
      <w:r>
        <w:t xml:space="preserve"> “No redness, watering or pain” is three questions with three different reasons.</w:t>
      </w:r>
    </w:p>
    <w:p>
      <w:pPr>
        <w:pStyle w:val="ListParagraph"/>
        <w:keepLines/>
        <w:widowControl/>
        <w:numPr>
          <w:ilvl w:val="0"/>
          <w:numId w:val="2"/>
        </w:numPr>
        <w:spacing w:after="30"/>
      </w:pPr>
      <w:r>
        <w:rPr>
          <w:b/>
          <w:bCs/>
        </w:rPr>
        <w:t xml:space="preserve">Positive history:</w:t>
      </w:r>
      <w:r>
        <w:t xml:space="preserve"> onset, duration, progression, laterality, associated symptoms and treatment so far. Say what each answer tells you: the cause, how chronic it is, its stage, or a complication.</w:t>
      </w:r>
    </w:p>
    <w:p>
      <w:pPr>
        <w:pStyle w:val="ListParagraph"/>
        <w:keepLines/>
        <w:widowControl/>
        <w:numPr>
          <w:ilvl w:val="0"/>
          <w:numId w:val="2"/>
        </w:numPr>
        <w:spacing w:after="30"/>
      </w:pPr>
      <w:r>
        <w:rPr>
          <w:b/>
          <w:bCs/>
        </w:rPr>
        <w:t xml:space="preserve">Negative history:</w:t>
      </w:r>
      <w:r>
        <w:t xml:space="preserve"> for each question, say what a “yes” would point to. Where your books give one, add the bedside sign or test that tells the look-alikes apart.</w:t>
      </w:r>
    </w:p>
    <w:p>
      <w:pPr>
        <w:pStyle w:val="ListParagraph"/>
        <w:keepLines/>
        <w:widowControl/>
        <w:numPr>
          <w:ilvl w:val="0"/>
          <w:numId w:val="2"/>
        </w:numPr>
        <w:spacing w:after="30"/>
      </w:pPr>
      <w:r>
        <w:rPr>
          <w:b/>
          <w:bCs/>
        </w:rPr>
        <w:t xml:space="preserve">Past, drug, treatment, personal and family history:</w:t>
      </w:r>
      <w:r>
        <w:t xml:space="preserve"> give the consequence for diagnosis or for treatment.</w:t>
      </w:r>
    </w:p>
    <w:p>
      <w:pPr>
        <w:pStyle w:val="ListParagraph"/>
        <w:keepLines/>
        <w:widowControl/>
        <w:numPr>
          <w:ilvl w:val="0"/>
          <w:numId w:val="2"/>
        </w:numPr>
        <w:spacing w:after="60"/>
      </w:pPr>
      <w:r>
        <w:rPr>
          <w:b/>
          <w:bCs/>
        </w:rPr>
        <w:t xml:space="preserve">Treatment history:</w:t>
      </w:r>
      <w:r>
        <w:t xml:space="preserve"> drug, strength, frequency, duration, compliance and side effects.</w:t>
      </w:r>
    </w:p>
    <w:p>
      <w:pPr>
        <w:keepNext/>
        <w:widowControl/>
      </w:pPr>
      <w:r>
        <w:rPr>
          <w:b/>
          <w:bCs/>
        </w:rPr>
        <w:t xml:space="preserve">Worked example — the glaucoma negative history</w:t>
      </w:r>
      <w:r>
        <w:t xml:space="preserve"> (the department’s starred lines, one per row):</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220"/>
        <w:gridCol w:w="4037"/>
        <w:gridCol w:w="3835"/>
      </w:tblGrid>
      <w:tr>
        <w:trPr>
          <w:cantSplit/>
          <w:tblHeader/>
        </w:trPr>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Question</w:t>
            </w:r>
          </w:p>
        </w:tc>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A “yes” would point to</w:t>
            </w:r>
          </w:p>
        </w:tc>
        <w:tc>
          <w:tcPr>
            <w:tcW w:type="dxa" w:w="383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How to tell them apart</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Any coloured haloes?</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Corneal epithelial oedema</w:t>
            </w:r>
            <w:r>
              <w:rPr>
                <w:sz w:val="17"/>
                <w:szCs w:val="17"/>
              </w:rPr>
              <w:t xml:space="preserve"> from a pressure rise: angle closure. Other causes of haloes: mucus on the cornea in conjunctivitis, incipient cataract, vitreous opacities, snow blindness, a tilted intraocular lens</w:t>
            </w:r>
          </w:p>
        </w:tc>
        <w:tc>
          <w:tcPr>
            <w:tcW w:type="dxa" w:w="3835"/>
            <w:tcMar>
              <w:top w:type="dxa" w:w="60"/>
              <w:left w:type="dxa" w:w="80"/>
              <w:bottom w:type="dxa" w:w="60"/>
              <w:right w:type="dxa" w:w="80"/>
            </w:tcMar>
            <w:vAlign w:val="top"/>
          </w:tcPr>
          <w:p>
            <w:pPr>
              <w:widowControl/>
              <w:spacing w:after="0" w:before="0" w:line="245" w:lineRule="auto"/>
            </w:pPr>
            <w:r>
              <w:rPr>
                <w:b/>
                <w:bCs/>
                <w:sz w:val="17"/>
                <w:szCs w:val="17"/>
              </w:rPr>
              <w:t xml:space="preserve">Fincham (stenopaeic slit) test</w:t>
            </w:r>
            <w:r>
              <w:rPr>
                <w:sz w:val="17"/>
                <w:szCs w:val="17"/>
              </w:rPr>
              <w:t xml:space="preserve">: a slit is moved across the pupil. The glaucoma halo stays intact; the halo of incipient cataract breaks into its component colours</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Any headache with vomiting and pain?</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 </w:t>
            </w:r>
            <w:r>
              <w:rPr>
                <w:b/>
                <w:bCs/>
                <w:sz w:val="17"/>
                <w:szCs w:val="17"/>
              </w:rPr>
              <w:t xml:space="preserve">acute angle-closure attack</w:t>
            </w:r>
            <w:r>
              <w:rPr>
                <w:sz w:val="17"/>
                <w:szCs w:val="17"/>
              </w:rPr>
              <w:t xml:space="preserve">: pain, redness, headache, nausea and vomiting</w:t>
            </w:r>
          </w:p>
        </w:tc>
        <w:tc>
          <w:tcPr>
            <w:tcW w:type="dxa" w:w="383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Signs of the attack: a mid-dilated, vertically oval, poorly reacting pupil and a shallow chamber. Gonioscopy shows the closed angle</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Any frequent change of glasses?</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Raised pressure on the zonules and ciliary body impairs accommodation, so near vision suffers. Or he mistakes a field defect for poor vision</w:t>
            </w:r>
          </w:p>
        </w:tc>
        <w:tc>
          <w:tcPr>
            <w:tcW w:type="dxa" w:w="3835"/>
            <w:tcMar>
              <w:top w:type="dxa" w:w="60"/>
              <w:left w:type="dxa" w:w="80"/>
              <w:bottom w:type="dxa" w:w="60"/>
              <w:right w:type="dxa" w:w="80"/>
            </w:tcMar>
            <w:vAlign w:val="top"/>
          </w:tcPr>
          <w:p>
            <w:pPr>
              <w:widowControl/>
              <w:spacing w:after="0" w:before="0" w:line="245" w:lineRule="auto"/>
            </w:pPr>
            <w:r>
              <w:rPr>
                <w:sz w:val="17"/>
                <w:szCs w:val="17"/>
              </w:rPr>
              <w:t xml:space="preserve">Perimetry: a field defect shows on the field chart</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Any night blindness?</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Defective dark adaptation</w:t>
            </w:r>
            <w:r>
              <w:rPr>
                <w:sz w:val="17"/>
                <w:szCs w:val="17"/>
              </w:rPr>
              <w:t xml:space="preserve">, a feature of open-angle glaucoma. Miotic drops make it worse</w:t>
            </w:r>
          </w:p>
        </w:tc>
        <w:tc>
          <w:tcPr>
            <w:tcW w:type="dxa" w:w="383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Treatment history: is he using pilocarpine, a miotic?</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Any injury to the eye?</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Angle-recession glaucoma</w:t>
            </w:r>
            <w:r>
              <w:rPr>
                <w:sz w:val="17"/>
                <w:szCs w:val="17"/>
              </w:rPr>
              <w:t xml:space="preserve"> after trauma, usually in one eye</w:t>
            </w:r>
          </w:p>
        </w:tc>
        <w:tc>
          <w:tcPr>
            <w:tcW w:type="dxa" w:w="3835"/>
            <w:tcMar>
              <w:top w:type="dxa" w:w="60"/>
              <w:left w:type="dxa" w:w="80"/>
              <w:bottom w:type="dxa" w:w="60"/>
              <w:right w:type="dxa" w:w="80"/>
            </w:tcMar>
            <w:vAlign w:val="top"/>
          </w:tcPr>
          <w:p>
            <w:pPr>
              <w:widowControl/>
              <w:spacing w:after="0" w:before="0" w:line="245" w:lineRule="auto"/>
            </w:pPr>
            <w:r>
              <w:rPr>
                <w:sz w:val="17"/>
                <w:szCs w:val="17"/>
              </w:rPr>
              <w:t xml:space="preserve">Gonioscopy shows the angle recession</w:t>
            </w:r>
          </w:p>
        </w:tc>
      </w:tr>
    </w:tbl>
    <w:p>
      <w:pPr>
        <w:keepNext/>
        <w:widowControl/>
        <w:spacing w:before="110"/>
      </w:pPr>
      <w:r>
        <w:rPr>
          <w:b/>
          <w:bCs/>
        </w:rPr>
        <w:t xml:space="preserve">Worked example — past and drug history:</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633"/>
        <w:gridCol w:w="6459"/>
      </w:tblGrid>
      <w:tr>
        <w:trPr>
          <w:cantSplit/>
          <w:tblHeader/>
        </w:trPr>
        <w:tc>
          <w:tcPr>
            <w:tcW w:type="dxa" w:w="363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Question</w:t>
            </w:r>
          </w:p>
        </w:tc>
        <w:tc>
          <w:tcPr>
            <w:tcW w:type="dxa" w:w="645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 it matters</w:t>
            </w:r>
          </w:p>
        </w:tc>
      </w:tr>
      <w:tr>
        <w:trPr>
          <w:cantSplit/>
        </w:trPr>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Asthma or chronic obstructive pulmonary disease?</w:t>
            </w:r>
          </w:p>
        </w:tc>
        <w:tc>
          <w:tcPr>
            <w:tcW w:type="dxa" w:w="6459"/>
            <w:tcMar>
              <w:top w:type="dxa" w:w="60"/>
              <w:left w:type="dxa" w:w="80"/>
              <w:bottom w:type="dxa" w:w="60"/>
              <w:right w:type="dxa" w:w="80"/>
            </w:tcMar>
            <w:vAlign w:val="top"/>
          </w:tcPr>
          <w:p>
            <w:pPr>
              <w:widowControl/>
              <w:spacing w:after="0" w:before="0" w:line="245" w:lineRule="auto"/>
            </w:pPr>
            <w:r>
              <w:rPr>
                <w:b/>
                <w:bCs/>
                <w:sz w:val="17"/>
                <w:szCs w:val="17"/>
              </w:rPr>
              <w:t xml:space="preserve">Beta-blocker drops</w:t>
            </w:r>
            <w:r>
              <w:rPr>
                <w:sz w:val="17"/>
                <w:szCs w:val="17"/>
              </w:rPr>
              <w:t xml:space="preserve"> are contraindicated, so no timolol</w:t>
            </w:r>
          </w:p>
        </w:tc>
      </w:tr>
      <w:tr>
        <w:trPr>
          <w:cantSplit/>
        </w:trPr>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Steroid use: which form, and for how long?</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Steroid-induced glaucoma</w:t>
            </w:r>
            <w:r>
              <w:rPr>
                <w:sz w:val="17"/>
                <w:szCs w:val="17"/>
              </w:rPr>
              <w:t xml:space="preserve">: open angle and raised pressure. Look for a posterior subcapsular cataract</w:t>
            </w:r>
          </w:p>
        </w:tc>
      </w:tr>
    </w:tbl>
    <w:p>
      <w:pPr>
        <w:widowControl/>
        <w:spacing w:before="110"/>
      </w:pPr>
      <w:r>
        <w:rPr>
          <w:b/>
          <w:bCs/>
        </w:rPr>
        <w:t xml:space="preserve">Answering “Why did you ask…?”</w:t>
      </w:r>
      <w:r>
        <w:t xml:space="preserve"> Give the reason. Then say what a “yes” would mean, and the test that would confirm it.</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coloured haloes?</w:t>
      </w:r>
    </w:p>
    <w:p>
      <w:pPr>
        <w:keepLines/>
        <w:widowControl/>
        <w:spacing w:after="40"/>
        <w:ind w:left="227"/>
      </w:pPr>
      <w:r>
        <w:rPr>
          <w:b/>
          <w:bCs/>
        </w:rPr>
        <w:t xml:space="preserve">Coloured haloes</w:t>
      </w:r>
      <w:r>
        <w:t xml:space="preserve"> come from corneal epithelial oedema, which splits white light into its colours. A “yes” points to angle closure with a pressure rise. I would confirm it by Van Herick grading and gonioscopy, and use the Fincham test to exclude a cataract halo.</w:t>
      </w:r>
    </w:p>
    <w:p>
      <w:pPr>
        <w:pStyle w:val="Heading3"/>
        <w:widowControl/>
      </w:pPr>
      <w:r>
        <w:t xml:space="preserve">Ask 2 — the order of the examination earns marks</w:t>
      </w:r>
    </w:p>
    <w:p>
      <w:pPr>
        <w:pStyle w:val="ListParagraph"/>
        <w:keepLines/>
        <w:widowControl/>
        <w:numPr>
          <w:ilvl w:val="0"/>
          <w:numId w:val="4"/>
        </w:numPr>
        <w:spacing w:after="30"/>
      </w:pPr>
      <w:r>
        <w:rPr>
          <w:b/>
          <w:bCs/>
        </w:rPr>
        <w:t xml:space="preserve">Pupils before any drop.</w:t>
      </w:r>
      <w:r>
        <w:t xml:space="preserve"> Look for a relative afferent pupillary defect before the pupil is dilated. Look for iris new vessels at the pupillary margin before dilating, too. Count anterior chamber cells, measure a squint by Hirschberg and test colour vision before dilating.</w:t>
      </w:r>
    </w:p>
    <w:p>
      <w:pPr>
        <w:pStyle w:val="ListParagraph"/>
        <w:keepLines/>
        <w:widowControl/>
        <w:numPr>
          <w:ilvl w:val="0"/>
          <w:numId w:val="4"/>
        </w:numPr>
        <w:spacing w:after="30"/>
      </w:pPr>
      <w:r>
        <w:rPr>
          <w:b/>
          <w:bCs/>
        </w:rPr>
        <w:t xml:space="preserve">Tonometry before gonioscopy and dilatation.</w:t>
      </w:r>
      <w:r>
        <w:t xml:space="preserve"> Gonioscopy presses on the cornea and opens the angle, so a later reading is falsely low. Dilatation raises the pressure by 4–5 mm Hg, so a later reading is falsely high. Always note the method and the time.</w:t>
      </w:r>
    </w:p>
    <w:p>
      <w:pPr>
        <w:pStyle w:val="ListParagraph"/>
        <w:keepLines/>
        <w:widowControl/>
        <w:numPr>
          <w:ilvl w:val="0"/>
          <w:numId w:val="4"/>
        </w:numPr>
        <w:spacing w:after="60"/>
      </w:pPr>
      <w:r>
        <w:rPr>
          <w:b/>
          <w:bCs/>
        </w:rPr>
        <w:t xml:space="preserve">The disc after dilatation.</w:t>
      </w:r>
      <w:r>
        <w:t xml:space="preserve"> Examine the disc and nerve fibre layer through a dilated pupil. Use a +90 dioptre (D) or +78 D lens at the slit lamp. </w:t>
      </w:r>
      <w:r>
        <w:rPr>
          <w:b/>
          <w:bCs/>
        </w:rPr>
        <w:t xml:space="preserve">Exception:</w:t>
      </w:r>
      <w:r>
        <w:t xml:space="preserve"> do not dilate an eye with a narrow or closed angle until a laser iridotomy is done.</w:t>
      </w:r>
    </w:p>
    <w:p>
      <w:pPr>
        <w:widowControl/>
      </w:pPr>
      <w:r>
        <w:rPr>
          <w:b/>
          <w:bCs/>
        </w:rPr>
        <w:t xml:space="preserve">Mnemonic — before you dilate: PART B.</w:t>
      </w:r>
      <w:r>
        <w:t xml:space="preserve"> Pupillary reflex · Angle · Rubeosis · Tension · BCVA (best corrected visual acuity). The angle means both the anterior chamber angle and the angle of a squint.</w:t>
      </w:r>
    </w:p>
    <w:p>
      <w:pPr>
        <w:keepNext/>
        <w:widowControl/>
      </w:pPr>
      <w:r>
        <w:rPr>
          <w:b/>
          <w:bCs/>
        </w:rPr>
        <w:t xml:space="preserve">The long-case order, step by step:</w:t>
      </w:r>
    </w:p>
    <w:p>
      <w:pPr>
        <w:pStyle w:val="ListParagraph"/>
        <w:keepLines/>
        <w:widowControl/>
        <w:numPr>
          <w:ilvl w:val="0"/>
          <w:numId w:val="5"/>
        </w:numPr>
        <w:spacing w:after="30"/>
      </w:pPr>
      <w:r>
        <w:t xml:space="preserve">Visual acuity: unaided, pinhole, best corrected, near.</w:t>
      </w:r>
    </w:p>
    <w:p>
      <w:pPr>
        <w:pStyle w:val="ListParagraph"/>
        <w:keepLines/>
        <w:widowControl/>
        <w:numPr>
          <w:ilvl w:val="0"/>
          <w:numId w:val="5"/>
        </w:numPr>
        <w:spacing w:after="30"/>
      </w:pPr>
      <w:r>
        <w:t xml:space="preserve">Head posture; Hirschberg test and ocular movements.</w:t>
      </w:r>
    </w:p>
    <w:p>
      <w:pPr>
        <w:pStyle w:val="ListParagraph"/>
        <w:keepLines/>
        <w:widowControl/>
        <w:numPr>
          <w:ilvl w:val="0"/>
          <w:numId w:val="5"/>
        </w:numPr>
        <w:spacing w:after="30"/>
      </w:pPr>
      <w:r>
        <w:t xml:space="preserve">Pupils: direct and consensual reflexes; the swinging torch light test.</w:t>
      </w:r>
    </w:p>
    <w:p>
      <w:pPr>
        <w:pStyle w:val="ListParagraph"/>
        <w:keepLines/>
        <w:widowControl/>
        <w:numPr>
          <w:ilvl w:val="0"/>
          <w:numId w:val="5"/>
        </w:numPr>
        <w:spacing w:after="30"/>
      </w:pPr>
      <w:r>
        <w:t xml:space="preserve">Torch, then slit lamp, undilated. Lids and adnexa → conjunctiva → cornea → anterior chamber (Van Herick) → iris → pupil → lens.</w:t>
      </w:r>
    </w:p>
    <w:p>
      <w:pPr>
        <w:pStyle w:val="ListParagraph"/>
        <w:keepLines/>
        <w:widowControl/>
        <w:numPr>
          <w:ilvl w:val="0"/>
          <w:numId w:val="5"/>
        </w:numPr>
        <w:spacing w:after="30"/>
      </w:pPr>
      <w:r>
        <w:t xml:space="preserve">Intraocular pressure by applanation, with the time.</w:t>
      </w:r>
    </w:p>
    <w:p>
      <w:pPr>
        <w:pStyle w:val="ListParagraph"/>
        <w:keepLines/>
        <w:widowControl/>
        <w:numPr>
          <w:ilvl w:val="0"/>
          <w:numId w:val="5"/>
        </w:numPr>
        <w:spacing w:after="30"/>
      </w:pPr>
      <w:r>
        <w:t xml:space="preserve">Gonioscopy, with the cross diagram.</w:t>
      </w:r>
    </w:p>
    <w:p>
      <w:pPr>
        <w:pStyle w:val="ListParagraph"/>
        <w:keepLines/>
        <w:widowControl/>
        <w:numPr>
          <w:ilvl w:val="0"/>
          <w:numId w:val="5"/>
        </w:numPr>
        <w:spacing w:after="30"/>
      </w:pPr>
      <w:r>
        <w:t xml:space="preserve">Dilate, unless the angle is occludable. Look at the lens again, then the fundus: distant direct → direct → +90 D → indirect.</w:t>
      </w:r>
    </w:p>
    <w:p>
      <w:pPr>
        <w:pStyle w:val="ListParagraph"/>
        <w:keepLines/>
        <w:widowControl/>
        <w:numPr>
          <w:ilvl w:val="0"/>
          <w:numId w:val="5"/>
        </w:numPr>
        <w:spacing w:after="60"/>
      </w:pPr>
      <w:r>
        <w:t xml:space="preserve">Fields by confrontation (the seniors’ addition).</w:t>
      </w:r>
    </w:p>
    <w:p>
      <w:pPr>
        <w:keepNext/>
        <w:widowControl/>
      </w:pPr>
      <w:r>
        <w:rPr>
          <w:b/>
          <w:bCs/>
        </w:rPr>
        <w:t xml:space="preserve">Every step on a card has three parts:</w:t>
      </w:r>
    </w:p>
    <w:p>
      <w:pPr>
        <w:pStyle w:val="ListParagraph"/>
        <w:keepLines/>
        <w:widowControl/>
        <w:numPr>
          <w:ilvl w:val="0"/>
          <w:numId w:val="2"/>
        </w:numPr>
        <w:spacing w:after="30"/>
      </w:pPr>
      <w:r>
        <w:rPr>
          <w:b/>
          <w:bCs/>
        </w:rPr>
        <w:t xml:space="preserve">Do:</w:t>
      </w:r>
      <w:r>
        <w:t xml:space="preserve"> how, in 1–3 lines, including what you tell the patient.</w:t>
      </w:r>
    </w:p>
    <w:p>
      <w:pPr>
        <w:pStyle w:val="ListParagraph"/>
        <w:keepLines/>
        <w:widowControl/>
        <w:numPr>
          <w:ilvl w:val="0"/>
          <w:numId w:val="2"/>
        </w:numPr>
        <w:spacing w:after="30"/>
      </w:pPr>
      <w:r>
        <w:rPr>
          <w:b/>
          <w:bCs/>
        </w:rPr>
        <w:t xml:space="preserve">Record:</w:t>
      </w:r>
      <w:r>
        <w:t xml:space="preserve"> the department’s shorthand.</w:t>
      </w:r>
    </w:p>
    <w:p>
      <w:pPr>
        <w:pStyle w:val="ListParagraph"/>
        <w:keepLines/>
        <w:widowControl/>
        <w:numPr>
          <w:ilvl w:val="0"/>
          <w:numId w:val="2"/>
        </w:numPr>
        <w:spacing w:after="60"/>
      </w:pPr>
      <w:r>
        <w:rPr>
          <w:b/>
          <w:bCs/>
        </w:rPr>
        <w:t xml:space="preserve">Viva:</w:t>
      </w:r>
      <w:r>
        <w:t xml:space="preserve"> the 2–4 questions it brings, with their answers.</w:t>
      </w:r>
    </w:p>
    <w:p>
      <w:pPr>
        <w:keepNext/>
        <w:widowControl/>
      </w:pPr>
      <w:r>
        <w:rPr>
          <w:b/>
          <w:bCs/>
        </w:rPr>
        <w:t xml:space="preserve">Worked example — the Van Herick step:</w:t>
      </w:r>
    </w:p>
    <w:p>
      <w:pPr>
        <w:pStyle w:val="ListParagraph"/>
        <w:keepLines/>
        <w:widowControl/>
        <w:numPr>
          <w:ilvl w:val="0"/>
          <w:numId w:val="2"/>
        </w:numPr>
        <w:spacing w:after="30"/>
      </w:pPr>
      <w:r>
        <w:rPr>
          <w:b/>
          <w:bCs/>
        </w:rPr>
        <w:t xml:space="preserve">Do:</w:t>
      </w:r>
      <w:r>
        <w:t xml:space="preserve"> set a thin slit beam 1 mm inside the temporal limbus, at 60°. Compare the peripheral chamber depth with the corneal thickness.</w:t>
      </w:r>
    </w:p>
    <w:p>
      <w:pPr>
        <w:pStyle w:val="ListParagraph"/>
        <w:keepLines/>
        <w:widowControl/>
        <w:numPr>
          <w:ilvl w:val="0"/>
          <w:numId w:val="2"/>
        </w:numPr>
        <w:spacing w:after="60"/>
      </w:pPr>
      <w:r>
        <w:rPr>
          <w:b/>
          <w:bCs/>
        </w:rPr>
        <w:t xml:space="preserve">Record:</w:t>
      </w:r>
      <w:r>
        <w:t xml:space="preserve"> “VH Gr IV (ND)”, that is, Van Herick grade 4, normal depth.</w:t>
      </w:r>
    </w:p>
    <w:p>
      <w:pPr>
        <w:keepNext/>
        <w:keepLines/>
        <w:widowControl/>
        <w:tabs>
          <w:tab w:val="left" w:pos="227"/>
        </w:tabs>
        <w:spacing w:after="0" w:before="50"/>
        <w:ind w:left="227" w:hanging="227"/>
      </w:pPr>
      <w:r>
        <w:rPr>
          <w:b/>
          <w:bCs/>
          <w:color w:val="1F3864"/>
        </w:rPr>
        <w:t xml:space="preserve">Q</w:t>
      </w:r>
      <w:r>
        <w:tab/>
      </w:r>
      <w:r>
        <w:rPr>
          <w:b/>
          <w:bCs/>
        </w:rPr>
        <w:t xml:space="preserve">Why do you grade the anterior chamber by Van Herick?</w:t>
      </w:r>
    </w:p>
    <w:p>
      <w:pPr>
        <w:keepLines/>
        <w:widowControl/>
        <w:spacing w:after="40"/>
        <w:ind w:left="227"/>
      </w:pPr>
      <w:r>
        <w:rPr>
          <w:b/>
          <w:bCs/>
        </w:rPr>
        <w:t xml:space="preserve">Van Herick grading</w:t>
      </w:r>
      <w:r>
        <w:t xml:space="preserve"> is an initial guide to which patients need a detailed examination of the angle. Gonioscopy then shows the angle itself.</w:t>
      </w:r>
    </w:p>
    <w:p>
      <w:pPr>
        <w:keepNext/>
        <w:keepLines/>
        <w:widowControl/>
        <w:tabs>
          <w:tab w:val="left" w:pos="227"/>
        </w:tabs>
        <w:spacing w:after="0" w:before="50"/>
        <w:ind w:left="227" w:hanging="227"/>
      </w:pPr>
      <w:r>
        <w:rPr>
          <w:b/>
          <w:bCs/>
          <w:color w:val="1F3864"/>
        </w:rPr>
        <w:t xml:space="preserve">Q</w:t>
      </w:r>
      <w:r>
        <w:tab/>
      </w:r>
      <w:r>
        <w:rPr>
          <w:b/>
          <w:bCs/>
        </w:rPr>
        <w:t xml:space="preserve">What does Van Herick grade 1 mean?</w:t>
      </w:r>
    </w:p>
    <w:p>
      <w:pPr>
        <w:keepLines/>
        <w:widowControl/>
        <w:spacing w:after="40"/>
        <w:ind w:left="227"/>
      </w:pPr>
      <w:r>
        <w:rPr>
          <w:b/>
          <w:bCs/>
        </w:rPr>
        <w:t xml:space="preserve">Grade 1</w:t>
      </w:r>
      <w:r>
        <w:t xml:space="preserve"> means the peripheral chamber depth is less than a quarter of the corneal thickness. The angle may be occludable, so I would do gonioscopy and not dilate yet.</w:t>
      </w:r>
    </w:p>
    <w:p>
      <w:pPr>
        <w:pStyle w:val="Heading3"/>
        <w:widowControl/>
      </w:pPr>
      <w:r>
        <w:t xml:space="preserve">Ask 3 — differentials, each with its clinching sign</w:t>
      </w:r>
    </w:p>
    <w:p>
      <w:pPr>
        <w:pStyle w:val="ListParagraph"/>
        <w:keepLines/>
        <w:widowControl/>
        <w:numPr>
          <w:ilvl w:val="0"/>
          <w:numId w:val="2"/>
        </w:numPr>
        <w:spacing w:after="30"/>
      </w:pPr>
      <w:r>
        <w:rPr>
          <w:b/>
          <w:bCs/>
        </w:rPr>
        <w:t xml:space="preserve">Table:</w:t>
      </w:r>
      <w:r>
        <w:t xml:space="preserve"> Condition · Points for · Points against · How to tell apart. Give 4–6 rows, the most likely first.</w:t>
      </w:r>
    </w:p>
    <w:p>
      <w:pPr>
        <w:pStyle w:val="ListParagraph"/>
        <w:keepLines/>
        <w:widowControl/>
        <w:numPr>
          <w:ilvl w:val="0"/>
          <w:numId w:val="2"/>
        </w:numPr>
        <w:spacing w:after="30"/>
      </w:pPr>
      <w:r>
        <w:rPr>
          <w:b/>
          <w:bCs/>
        </w:rPr>
        <w:t xml:space="preserve">The last column</w:t>
      </w:r>
      <w:r>
        <w:t xml:space="preserve"> names a sign you can show or a test result. Never write “clinical features”.</w:t>
      </w:r>
    </w:p>
    <w:p>
      <w:pPr>
        <w:pStyle w:val="ListParagraph"/>
        <w:keepLines/>
        <w:widowControl/>
        <w:numPr>
          <w:ilvl w:val="0"/>
          <w:numId w:val="2"/>
        </w:numPr>
        <w:spacing w:after="30"/>
      </w:pPr>
      <w:r>
        <w:rPr>
          <w:b/>
          <w:bCs/>
        </w:rPr>
        <w:t xml:space="preserve">Exclude-first line:</w:t>
      </w:r>
      <w:r>
        <w:t xml:space="preserve"> under the table, name the differential to exclude first, and how.</w:t>
      </w:r>
    </w:p>
    <w:p>
      <w:pPr>
        <w:pStyle w:val="ListParagraph"/>
        <w:keepLines/>
        <w:widowControl/>
        <w:numPr>
          <w:ilvl w:val="0"/>
          <w:numId w:val="2"/>
        </w:numPr>
        <w:spacing w:after="60"/>
      </w:pPr>
      <w:r>
        <w:rPr>
          <w:b/>
          <w:bCs/>
        </w:rPr>
        <w:t xml:space="preserve">Say it like this:</w:t>
      </w:r>
      <w:r>
        <w:t xml:space="preserve"> “The differentials are A, which would show X, and B, which would show Y.”</w:t>
      </w:r>
    </w:p>
    <w:p>
      <w:pPr>
        <w:keepNext/>
        <w:widowControl/>
      </w:pPr>
      <w:r>
        <w:rPr>
          <w:b/>
          <w:bCs/>
        </w:rPr>
        <w:t xml:space="preserve">Worked example — primary open-angle glaucoma:</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220"/>
        <w:gridCol w:w="2422"/>
        <w:gridCol w:w="2422"/>
        <w:gridCol w:w="3028"/>
      </w:tblGrid>
      <w:tr>
        <w:trPr>
          <w:cantSplit/>
          <w:tblHeader/>
        </w:trPr>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Condition</w:t>
            </w:r>
          </w:p>
        </w:tc>
        <w:tc>
          <w:tcPr>
            <w:tcW w:type="dxa" w:w="242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Points for</w:t>
            </w:r>
          </w:p>
        </w:tc>
        <w:tc>
          <w:tcPr>
            <w:tcW w:type="dxa" w:w="242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Points against</w:t>
            </w:r>
          </w:p>
        </w:tc>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How to tell apart</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Ocular hypertension</w:t>
            </w:r>
          </w:p>
        </w:tc>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Pressure above 21 mm Hg on two readings; open angle</w:t>
            </w:r>
          </w:p>
        </w:tc>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Glaucomatous disc and field</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Disc, rim and field stay normal in ocular hypertension</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Normal-tension glaucoma</w:t>
            </w:r>
          </w:p>
        </w:tc>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Glaucomatous disc and field</w:t>
            </w:r>
          </w:p>
        </w:tc>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Pressure above 21 mm Hg</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Diurnal phasing: the pressure stays below 22 mm Hg; more disc haemorrhages and notching</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Pseudoexfoliation glaucoma</w:t>
            </w:r>
          </w:p>
        </w:tc>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Open angle; high pressure</w:t>
            </w:r>
          </w:p>
        </w:tc>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No white material</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White flakes on the pupillary margin and lens; Sampaolesi’s line on gonioscopy</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Chronic primary angle-closure glaucoma</w:t>
            </w:r>
          </w:p>
        </w:tc>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Raised pressure; cupping</w:t>
            </w:r>
          </w:p>
        </w:tc>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Deep chamber, Van Herick grade 4</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Gonioscopy: closed angle. Indentation tells appositional closure from synechiae</w:t>
            </w:r>
          </w:p>
        </w:tc>
      </w:tr>
    </w:tbl>
    <w:p>
      <w:pPr>
        <w:widowControl/>
        <w:spacing w:before="110"/>
      </w:pPr>
      <w:r>
        <w:rPr>
          <w:b/>
          <w:bCs/>
        </w:rPr>
        <w:t xml:space="preserve">Exclude first:</w:t>
      </w:r>
      <w:r>
        <w:t xml:space="preserve"> angle closure, by gonioscopy, before you call any glaucoma open-angle.</w:t>
      </w:r>
    </w:p>
    <w:p>
      <w:pPr>
        <w:pStyle w:val="Heading3"/>
        <w:widowControl/>
      </w:pPr>
      <w:r>
        <w:t xml:space="preserve">Ask 4 — investigations, each with its purpose</w:t>
      </w:r>
    </w:p>
    <w:p>
      <w:pPr>
        <w:keepNext/>
        <w:widowControl/>
      </w:pPr>
      <w:r>
        <w:t xml:space="preserve">Say them in this order:</w:t>
      </w:r>
    </w:p>
    <w:p>
      <w:pPr>
        <w:pStyle w:val="ListParagraph"/>
        <w:keepLines/>
        <w:widowControl/>
        <w:numPr>
          <w:ilvl w:val="0"/>
          <w:numId w:val="6"/>
        </w:numPr>
        <w:spacing w:after="30"/>
      </w:pPr>
      <w:r>
        <w:rPr>
          <w:b/>
          <w:bCs/>
        </w:rPr>
        <w:t xml:space="preserve">To confirm</w:t>
      </w:r>
      <w:r>
        <w:t xml:space="preserve"> the diagnosis.</w:t>
      </w:r>
    </w:p>
    <w:p>
      <w:pPr>
        <w:pStyle w:val="ListParagraph"/>
        <w:keepLines/>
        <w:widowControl/>
        <w:numPr>
          <w:ilvl w:val="0"/>
          <w:numId w:val="6"/>
        </w:numPr>
        <w:spacing w:after="30"/>
      </w:pPr>
      <w:r>
        <w:rPr>
          <w:b/>
          <w:bCs/>
        </w:rPr>
        <w:t xml:space="preserve">To stage or grade</w:t>
      </w:r>
      <w:r>
        <w:t xml:space="preserve"> it.</w:t>
      </w:r>
    </w:p>
    <w:p>
      <w:pPr>
        <w:pStyle w:val="ListParagraph"/>
        <w:keepLines/>
        <w:widowControl/>
        <w:numPr>
          <w:ilvl w:val="0"/>
          <w:numId w:val="6"/>
        </w:numPr>
        <w:spacing w:after="30"/>
      </w:pPr>
      <w:r>
        <w:rPr>
          <w:b/>
          <w:bCs/>
        </w:rPr>
        <w:t xml:space="preserve">To find the cause</w:t>
      </w:r>
      <w:r>
        <w:t xml:space="preserve">, or a risk factor.</w:t>
      </w:r>
    </w:p>
    <w:p>
      <w:pPr>
        <w:pStyle w:val="ListParagraph"/>
        <w:keepLines/>
        <w:widowControl/>
        <w:numPr>
          <w:ilvl w:val="0"/>
          <w:numId w:val="6"/>
        </w:numPr>
        <w:spacing w:after="30"/>
      </w:pPr>
      <w:r>
        <w:rPr>
          <w:b/>
          <w:bCs/>
        </w:rPr>
        <w:t xml:space="preserve">Baseline</w:t>
      </w:r>
      <w:r>
        <w:t xml:space="preserve"> for follow-up.</w:t>
      </w:r>
    </w:p>
    <w:p>
      <w:pPr>
        <w:pStyle w:val="ListParagraph"/>
        <w:keepLines/>
        <w:widowControl/>
        <w:numPr>
          <w:ilvl w:val="0"/>
          <w:numId w:val="6"/>
        </w:numPr>
        <w:spacing w:after="60"/>
      </w:pPr>
      <w:r>
        <w:rPr>
          <w:b/>
          <w:bCs/>
        </w:rPr>
        <w:t xml:space="preserve">Fitness for surgery.</w:t>
      </w:r>
    </w:p>
    <w:p>
      <w:pPr>
        <w:widowControl/>
      </w:pPr>
      <w:r>
        <w:t xml:space="preserve">For each test, know what you do, why, the expected finding and what it changes.</w:t>
      </w:r>
    </w:p>
    <w:p>
      <w:pPr>
        <w:keepNext/>
        <w:widowControl/>
      </w:pPr>
      <w:r>
        <w:rPr>
          <w:b/>
          <w:bCs/>
        </w:rPr>
        <w:t xml:space="preserve">Worked example — primary open-angle glaucoma:</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018"/>
        <w:gridCol w:w="2826"/>
        <w:gridCol w:w="5248"/>
      </w:tblGrid>
      <w:tr>
        <w:trPr>
          <w:cantSplit/>
          <w:tblHeader/>
        </w:trPr>
        <w:tc>
          <w:tcPr>
            <w:tcW w:type="dxa" w:w="201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Purpose</w:t>
            </w:r>
          </w:p>
        </w:tc>
        <w:tc>
          <w:tcPr>
            <w:tcW w:type="dxa" w:w="282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Test</w:t>
            </w:r>
          </w:p>
        </w:tc>
        <w:tc>
          <w:tcPr>
            <w:tcW w:type="dxa" w:w="524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it shows and what it changes</w:t>
            </w:r>
          </w:p>
        </w:tc>
      </w:tr>
      <w:tr>
        <w:trPr>
          <w:cantSplit/>
        </w:trPr>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To confirm</w:t>
            </w:r>
          </w:p>
        </w:tc>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Gonioscopy</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An open angle. It excludes angle closure and secondary causes such as angle recession and pigment dispersion</w:t>
            </w:r>
          </w:p>
        </w:tc>
      </w:tr>
      <w:tr>
        <w:trPr>
          <w:cantSplit/>
        </w:trPr>
        <w:tc>
          <w:tcPr>
            <w:tcW w:type="dxa" w:w="201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To confirm and stage</w:t>
            </w:r>
          </w:p>
        </w:tc>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Humphrey 24-2 or 30-2 field</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Paracentral scotoma, arcuate scotoma, nasal step. The mean deviation (cut-offs −6 dB and −12 dB) stages the damage as mild, moderate or severe</w:t>
            </w:r>
          </w:p>
        </w:tc>
      </w:tr>
      <w:tr>
        <w:trPr>
          <w:cantSplit/>
        </w:trPr>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To find a risk factor and correct the reading</w:t>
            </w:r>
          </w:p>
        </w:tc>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Pachymetry: central corneal thickness</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Goldmann applanation is accurate at 520 µm; the error is about 0.7 mm Hg per 10 µm. A thin cornea (below 500 µm) reads falsely low and is a risk factor. A thick cornea (above 570 µm) reads falsely high</w:t>
            </w:r>
          </w:p>
        </w:tc>
      </w:tr>
      <w:tr>
        <w:trPr>
          <w:cantSplit/>
        </w:trPr>
        <w:tc>
          <w:tcPr>
            <w:tcW w:type="dxa" w:w="201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Baseline for follow-up</w:t>
            </w:r>
          </w:p>
        </w:tc>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Diurnal phasing; optical coherence tomography of the nerve fibre layer</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 pressure swing of 8 mm Hg or more is significant. Superior and inferior nerve fibre thinning; the scan is the baseline for progression</w:t>
            </w:r>
          </w:p>
        </w:tc>
      </w:tr>
      <w:tr>
        <w:trPr>
          <w:cantSplit/>
        </w:trPr>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Fitness for surgery</w:t>
            </w:r>
          </w:p>
        </w:tc>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The tests the planned operation needs</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Example: specular microscopy and biometry before cataract surgery in pseudoexfoliation (card G6)</w:t>
            </w:r>
          </w:p>
        </w:tc>
      </w:tr>
    </w:tbl>
    <w:p>
      <w:pPr>
        <w:keepNext/>
        <w:widowControl/>
        <w:spacing w:before="110"/>
      </w:pPr>
      <w:r>
        <w:rPr>
          <w:b/>
          <w:bCs/>
        </w:rPr>
        <w:t xml:space="preserve">Say it like this: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spacing w:after="0"/>
            </w:pPr>
            <w:r>
              <w:t xml:space="preserve">I will proceed with gonioscopy to confirm an open angle, and a Humphrey field to confirm and stage the damage. Pachymetry will correct the pressure reading. Diurnal phasing and a nerve fibre layer scan will give the baseline for follow-up.</w:t>
            </w:r>
          </w:p>
        </w:tc>
      </w:tr>
    </w:tbl>
    <w:p>
      <w:pPr>
        <w:pStyle w:val="Heading3"/>
        <w:widowControl/>
      </w:pPr>
      <w:r>
        <w:t xml:space="preserve">Ask 5 — the management ladder, in the first person</w:t>
      </w:r>
    </w:p>
    <w:p>
      <w:pPr>
        <w:widowControl/>
      </w:pPr>
      <w:r>
        <w:t xml:space="preserve">Say it in this order: aim → medical → combinations → laser → surgery → follow-up and counselling. Give the trigger that moves you up each step. On every long-case card, two tables follow the ladder: “Drugs in this case” and “Laser and surgery in this case”. The full drug profiles are on the subject’s toolkit card (card GX for glaucoma).</w:t>
      </w:r>
    </w:p>
    <w:p>
      <w:pPr>
        <w:keepNext/>
        <w:widowControl/>
      </w:pPr>
      <w:r>
        <w:rPr>
          <w:b/>
          <w:bCs/>
        </w:rPr>
        <w:t xml:space="preserve">Worked example — primary open-angle glaucoma:</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My aim is to lower the intraocular pressure to a target pressure and stop further optic-nerve damage. The target pressure is the level at which further damage is unlikely.</w:t>
            </w:r>
          </w:p>
          <w:p>
            <w:pPr>
              <w:widowControl/>
            </w:pPr>
            <w:r>
              <w:t xml:space="preserve">First, medical treatment. I will start a prostaglandin analogue, latanoprost 0.005 per cent, one drop at bedtime. It lowers the pressure by increasing uveoscleral outflow. Its side effects are conjunctival hyperaemia, longer lashes and iris pigmentation. I avoid it in uveitis.</w:t>
            </w:r>
          </w:p>
          <w:p>
            <w:pPr>
              <w:widowControl/>
            </w:pPr>
            <w:r>
              <w:t xml:space="preserve">I will review him after two months. If the target is not reached, I will switch to another drug or add one. If two drugs are needed, I prefer a fixed combination. It gives simpler dosing, better adherence and less preservative toxicity. Its disadvantage is that the two drugs may need different times of day.</w:t>
            </w:r>
          </w:p>
          <w:p>
            <w:pPr>
              <w:widowControl/>
            </w:pPr>
            <w:r>
              <w:t xml:space="preserve">If he cannot use drops reliably, I will offer laser trabeculoplasty. Selective laser trabeculoplasty targets only the pigmented meshwork cells, so the tissue around them is spared heat. It is not suitable for uveitic, neovascular or angle-recession glaucoma.</w:t>
            </w:r>
          </w:p>
          <w:p>
            <w:pPr>
              <w:widowControl/>
            </w:pPr>
            <w:r>
              <w:t xml:space="preserve">The pressure may stay above target on three drugs, or the field may progress on maximal tolerated therapy. Then I will do a trabeculectomy. Its partial-thickness flap gives uniform pressure control and less hypotony. Its risks are hypotony with a flat chamber, bleb leak, bleb infection, endophthalmitis and cataract.</w:t>
            </w:r>
          </w:p>
          <w:p>
            <w:pPr>
              <w:widowControl/>
              <w:spacing w:after="0"/>
            </w:pPr>
            <w:r>
              <w:t xml:space="preserve">I will review him every three months, or monthly if the damage is advanced. Each time I will check the pressure and his compliance. I will repeat the field every six months, or every three months if advanced. I will repeat gonioscopy every year. I will counsel him that glaucoma is chronic, so the drops and the follow-up must continue. Lost vision does not return.</w:t>
            </w:r>
          </w:p>
        </w:tc>
      </w:tr>
    </w:tbl>
    <w:p>
      <w:pPr>
        <w:keepNext/>
        <w:widowControl/>
        <w:spacing w:before="110"/>
      </w:pPr>
      <w:r>
        <w:rPr>
          <w:b/>
          <w:bCs/>
        </w:rPr>
        <w:t xml:space="preserve">The triggers to step up</w:t>
      </w:r>
      <w:r>
        <w:t xml:space="preserve">, as the books give them for trabeculectomy:</w:t>
      </w:r>
    </w:p>
    <w:p>
      <w:pPr>
        <w:pStyle w:val="ListParagraph"/>
        <w:keepLines/>
        <w:widowControl/>
        <w:numPr>
          <w:ilvl w:val="0"/>
          <w:numId w:val="2"/>
        </w:numPr>
        <w:spacing w:after="30"/>
      </w:pPr>
      <w:r>
        <w:t xml:space="preserve">the target pressure is not reached on three topical drugs;</w:t>
      </w:r>
    </w:p>
    <w:p>
      <w:pPr>
        <w:pStyle w:val="ListParagraph"/>
        <w:keepLines/>
        <w:widowControl/>
        <w:numPr>
          <w:ilvl w:val="0"/>
          <w:numId w:val="2"/>
        </w:numPr>
        <w:spacing w:after="30"/>
      </w:pPr>
      <w:r>
        <w:t xml:space="preserve">the field progresses on maximal tolerated therapy;</w:t>
      </w:r>
    </w:p>
    <w:p>
      <w:pPr>
        <w:pStyle w:val="ListParagraph"/>
        <w:keepLines/>
        <w:widowControl/>
        <w:numPr>
          <w:ilvl w:val="0"/>
          <w:numId w:val="2"/>
        </w:numPr>
        <w:spacing w:after="30"/>
      </w:pPr>
      <w:r>
        <w:t xml:space="preserve">side effects or poor compliance;</w:t>
      </w:r>
    </w:p>
    <w:p>
      <w:pPr>
        <w:pStyle w:val="ListParagraph"/>
        <w:keepLines/>
        <w:widowControl/>
        <w:numPr>
          <w:ilvl w:val="0"/>
          <w:numId w:val="2"/>
        </w:numPr>
        <w:spacing w:after="30"/>
      </w:pPr>
      <w:r>
        <w:t xml:space="preserve">a baseline pressure above 40 mm Hg;</w:t>
      </w:r>
    </w:p>
    <w:p>
      <w:pPr>
        <w:pStyle w:val="ListParagraph"/>
        <w:keepLines/>
        <w:widowControl/>
        <w:numPr>
          <w:ilvl w:val="0"/>
          <w:numId w:val="2"/>
        </w:numPr>
        <w:spacing w:after="60"/>
      </w:pPr>
      <w:r>
        <w:t xml:space="preserve">one eye already lost, or follow-up likely to be difficult.</w:t>
      </w:r>
    </w:p>
    <w:p>
      <w:pPr>
        <w:pStyle w:val="Heading2"/>
        <w:widowControl/>
      </w:pPr>
      <w:r>
        <w:t xml:space="preserve">Seniors’ corrections — do these every time</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2"/>
              </w:numPr>
              <w:spacing w:after="30"/>
            </w:pPr>
            <w:r>
              <w:rPr>
                <w:b/>
                <w:bCs/>
              </w:rPr>
              <w:t xml:space="preserve">EOM</w:t>
            </w:r>
            <w:r>
              <w:t xml:space="preserve"> row straight after visual acuity.</w:t>
            </w:r>
          </w:p>
          <w:p>
            <w:pPr>
              <w:pStyle w:val="ListParagraph"/>
              <w:keepLines/>
              <w:widowControl/>
              <w:numPr>
                <w:ilvl w:val="0"/>
                <w:numId w:val="2"/>
              </w:numPr>
              <w:spacing w:after="30"/>
            </w:pPr>
            <w:r>
              <w:rPr>
                <w:b/>
                <w:bCs/>
              </w:rPr>
              <w:t xml:space="preserve">Van Herick grade</w:t>
            </w:r>
            <w:r>
              <w:t xml:space="preserve"> for every anterior chamber (“VH Gr IV (ND)”); the seniors circled it.</w:t>
            </w:r>
          </w:p>
          <w:p>
            <w:pPr>
              <w:pStyle w:val="ListParagraph"/>
              <w:keepLines/>
              <w:widowControl/>
              <w:numPr>
                <w:ilvl w:val="0"/>
                <w:numId w:val="2"/>
              </w:numPr>
              <w:spacing w:after="30"/>
            </w:pPr>
            <w:r>
              <w:rPr>
                <w:b/>
                <w:bCs/>
              </w:rPr>
              <w:t xml:space="preserve">CCT out of the clinical table</w:t>
            </w:r>
            <w:r>
              <w:t xml:space="preserve">: they struck the row out; it is an investigation.</w:t>
            </w:r>
          </w:p>
          <w:p>
            <w:pPr>
              <w:pStyle w:val="ListParagraph"/>
              <w:keepLines/>
              <w:widowControl/>
              <w:numPr>
                <w:ilvl w:val="0"/>
                <w:numId w:val="2"/>
              </w:numPr>
              <w:spacing w:after="30"/>
            </w:pPr>
            <w:r>
              <w:rPr>
                <w:b/>
                <w:bCs/>
              </w:rPr>
              <w:t xml:space="preserve">“Fields (confrontation test)”</w:t>
            </w:r>
            <w:r>
              <w:t xml:space="preserve"> after the fundus, before the diagnosis.</w:t>
            </w:r>
          </w:p>
          <w:p>
            <w:pPr>
              <w:pStyle w:val="ListParagraph"/>
              <w:keepLines/>
              <w:widowControl/>
              <w:numPr>
                <w:ilvl w:val="0"/>
                <w:numId w:val="2"/>
              </w:numPr>
              <w:spacing w:after="30"/>
            </w:pPr>
            <w:r>
              <w:rPr>
                <w:b/>
                <w:bCs/>
              </w:rPr>
              <w:t xml:space="preserve">The drug and systemic checklist</w:t>
            </w:r>
            <w:r>
              <w:t xml:space="preserve"> in every case; </w:t>
            </w:r>
            <w:r>
              <w:rPr>
                <w:b/>
                <w:bCs/>
              </w:rPr>
              <w:t xml:space="preserve">complete the negative:</w:t>
            </w:r>
            <w:r>
              <w:t xml:space="preserve"> “No h/o headache </w:t>
            </w:r>
            <w:r>
              <w:rPr>
                <w:b/>
                <w:bCs/>
              </w:rPr>
              <w:t xml:space="preserve">with vomiting and pain</w:t>
            </w:r>
            <w:r>
              <w:t xml:space="preserve">“.</w:t>
            </w:r>
          </w:p>
          <w:p>
            <w:pPr>
              <w:pStyle w:val="ListParagraph"/>
              <w:keepLines/>
              <w:widowControl/>
              <w:numPr>
                <w:ilvl w:val="0"/>
                <w:numId w:val="2"/>
              </w:numPr>
              <w:spacing w:after="30"/>
            </w:pPr>
            <w:r>
              <w:rPr>
                <w:b/>
                <w:bCs/>
              </w:rPr>
              <w:t xml:space="preserve">Gonioscopy:</w:t>
            </w:r>
            <w:r>
              <w:t xml:space="preserve"> name the grading (“by modified Shaffer’s grading”) and draw the cross.</w:t>
            </w:r>
          </w:p>
          <w:p>
            <w:pPr>
              <w:pStyle w:val="ListParagraph"/>
              <w:keepLines/>
              <w:widowControl/>
              <w:numPr>
                <w:ilvl w:val="0"/>
                <w:numId w:val="2"/>
              </w:numPr>
              <w:spacing w:after="30"/>
            </w:pPr>
            <w:r>
              <w:rPr>
                <w:b/>
                <w:bCs/>
              </w:rPr>
              <w:t xml:space="preserve">Corneal ulcer:</w:t>
            </w:r>
            <w:r>
              <w:t xml:space="preserve"> site, size, shape, depth, colour, margin, floor, vascularisation, KPs, stromal infiltrate. Then sensation, staining, syringing, digital tension.</w:t>
            </w:r>
          </w:p>
          <w:p>
            <w:pPr>
              <w:pStyle w:val="ListParagraph"/>
              <w:keepLines/>
              <w:widowControl/>
              <w:numPr>
                <w:ilvl w:val="0"/>
                <w:numId w:val="2"/>
              </w:numPr>
              <w:spacing w:after="0"/>
            </w:pPr>
            <w:r>
              <w:rPr>
                <w:b/>
                <w:bCs/>
              </w:rPr>
              <w:t xml:space="preserve">Cranial nerves:</w:t>
            </w:r>
            <w:r>
              <w:t xml:space="preserve"> name the muscles. The fifth nerve’s mandibular division supplies masseter, temporalis, medial and lateral pterygoids.</w:t>
            </w:r>
          </w:p>
        </w:tc>
      </w:tr>
    </w:tbl>
    <w:p>
      <w:pPr>
        <w:pStyle w:val="Heading2"/>
        <w:widowControl/>
      </w:pPr>
      <w:r>
        <w:t xml:space="preserve">How to present it in 8–10 minutes</w:t>
      </w:r>
    </w:p>
    <w:p>
      <w:pPr>
        <w:widowControl/>
      </w:pPr>
      <w:r>
        <w:t xml:space="preserve">The older scheme gave the long case 20 + 10 minutes without saying how they are split. Prepare 8–10 minutes. If stopped, go straight to the summary and diagnosis (each card’s 2-minute say-it script).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312"/>
        <w:gridCol w:w="3734"/>
        <w:gridCol w:w="5046"/>
      </w:tblGrid>
      <w:tr>
        <w:trPr>
          <w:cantSplit/>
          <w:tblHeader/>
        </w:trPr>
        <w:tc>
          <w:tcPr>
            <w:tcW w:type="dxa" w:w="131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Minute</w:t>
            </w:r>
          </w:p>
        </w:tc>
        <w:tc>
          <w:tcPr>
            <w:tcW w:type="dxa" w:w="373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Section</w:t>
            </w:r>
          </w:p>
        </w:tc>
        <w:tc>
          <w:tcPr>
            <w:tcW w:type="dxa" w:w="504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Key point</w:t>
            </w:r>
          </w:p>
        </w:tc>
      </w:tr>
      <w:tr>
        <w:trPr>
          <w:cantSplit/>
        </w:trPr>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0–0.5</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Particulars and chief complaints</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One sentence: complaint, eye, duration</w:t>
            </w:r>
          </w:p>
        </w:tc>
      </w:tr>
      <w:tr>
        <w:trPr>
          <w:cantSplit/>
        </w:trPr>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0.5–2.5</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History of presenting illness</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Onset, progression, associations; positives; negatives</w:t>
            </w:r>
          </w:p>
        </w:tc>
      </w:tr>
      <w:tr>
        <w:trPr>
          <w:cantSplit/>
        </w:trPr>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2.5–3.5</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Past, personal, family, treatment</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Seniors’ checklist; drugs with strength and frequency</w:t>
            </w:r>
          </w:p>
        </w:tc>
      </w:tr>
      <w:tr>
        <w:trPr>
          <w:cantSplit/>
        </w:trPr>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3.5–4</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General and systemic examination</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One sentence if normal; give the vitals</w:t>
            </w:r>
          </w:p>
        </w:tc>
      </w:tr>
      <w:tr>
        <w:trPr>
          <w:cantSplit/>
        </w:trPr>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4–7.5</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Ocular examination, RE then LE</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Brisk on normal rows; slow on the key structure</w:t>
            </w:r>
          </w:p>
        </w:tc>
      </w:tr>
      <w:tr>
        <w:trPr>
          <w:cantSplit/>
        </w:trPr>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7.5–8</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Special tests for this case</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Gonioscopy, Hertel, ptosis measurements, cranial nerves</w:t>
            </w:r>
          </w:p>
        </w:tc>
      </w:tr>
      <w:tr>
        <w:trPr>
          <w:cantSplit/>
        </w:trPr>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8–8.5</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Summary</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Positives and key negatives</w:t>
            </w:r>
          </w:p>
        </w:tc>
      </w:tr>
      <w:tr>
        <w:trPr>
          <w:cantSplit/>
        </w:trPr>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8.5–9</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Complete diagnosis</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“My provisional diagnosis is …”, by the formula</w:t>
            </w:r>
          </w:p>
        </w:tc>
      </w:tr>
      <w:tr>
        <w:trPr>
          <w:cantSplit/>
        </w:trPr>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9–10</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Differentials, investigations, plan</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One line each; then stop for questions</w:t>
            </w:r>
          </w:p>
        </w:tc>
      </w:tr>
    </w:tbl>
    <w:p>
      <w:pPr>
        <w:keepNext/>
        <w:widowControl/>
        <w:spacing w:before="110"/>
      </w:pPr>
      <w:r>
        <w:rPr>
          <w:b/>
          <w:bCs/>
        </w:rPr>
        <w:t xml:space="preserve">Saying the examination (minutes 4–7.5):</w:t>
      </w:r>
    </w:p>
    <w:p>
      <w:pPr>
        <w:pStyle w:val="ListParagraph"/>
        <w:keepLines/>
        <w:widowControl/>
        <w:numPr>
          <w:ilvl w:val="0"/>
          <w:numId w:val="2"/>
        </w:numPr>
        <w:spacing w:after="30"/>
      </w:pPr>
      <w:r>
        <w:t xml:space="preserve">Go row by row, in the table’s order. In each row give the right eye, then the left eye.</w:t>
      </w:r>
    </w:p>
    <w:p>
      <w:pPr>
        <w:pStyle w:val="ListParagraph"/>
        <w:keepLines/>
        <w:widowControl/>
        <w:numPr>
          <w:ilvl w:val="0"/>
          <w:numId w:val="2"/>
        </w:numPr>
        <w:spacing w:after="30"/>
      </w:pPr>
      <w:r>
        <w:t xml:space="preserve">Group the normal rows in one sentence: “The lids, conjunctiva and cornea are normal in both eyes.”</w:t>
      </w:r>
    </w:p>
    <w:p>
      <w:pPr>
        <w:pStyle w:val="ListParagraph"/>
        <w:keepLines/>
        <w:widowControl/>
        <w:numPr>
          <w:ilvl w:val="0"/>
          <w:numId w:val="2"/>
        </w:numPr>
        <w:spacing w:after="30"/>
      </w:pPr>
      <w:r>
        <w:t xml:space="preserve">Slow down on the key structure. Describe each finding, then say “suggestive of …”.</w:t>
      </w:r>
    </w:p>
    <w:p>
      <w:pPr>
        <w:pStyle w:val="ListParagraph"/>
        <w:keepLines/>
        <w:widowControl/>
        <w:numPr>
          <w:ilvl w:val="0"/>
          <w:numId w:val="2"/>
        </w:numPr>
        <w:spacing w:after="60"/>
      </w:pPr>
      <w:r>
        <w:t xml:space="preserve">Give the pressure with its method and time. Then give the special tests for this case.</w:t>
      </w:r>
    </w:p>
    <w:p>
      <w:pPr>
        <w:pStyle w:val="Heading3"/>
        <w:widowControl/>
      </w:pPr>
      <w:r>
        <w:t xml:space="preserve">Model opening — about 1 minute</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My patient is a 35-year-old man, a labourer by occupation. He came with pain, redness, watering and defective vision in the left eye for the past 10 days.</w:t>
            </w:r>
          </w:p>
          <w:p>
            <w:pPr>
              <w:widowControl/>
            </w:pPr>
            <w:r>
              <w:t xml:space="preserve">He was apparently normal 10 days back. Then dust fell into his left eye while he was travelling on a two-wheeler. He had pain in that eye, sudden in onset and progressive in nature. It was associated with redness, watering, photophobia and defective vision. He was treated at a private clinic nearby with two eye drops, and then referred to our institute.</w:t>
            </w:r>
          </w:p>
          <w:p>
            <w:pPr>
              <w:widowControl/>
              <w:spacing w:after="0"/>
            </w:pPr>
            <w:r>
              <w:t xml:space="preserve">There is no history of contact lens wear, eye surgery, steroid drops or similar episodes in the past. He is not a known case of diabetes mellitus, hypertension, tuberculosis, asthma or epilepsy. He has no drug allergy. His personal and family history are not significant.</w:t>
            </w:r>
          </w:p>
        </w:tc>
      </w:tr>
    </w:tbl>
    <w:p>
      <w:pPr>
        <w:pStyle w:val="Heading3"/>
        <w:widowControl/>
      </w:pPr>
      <w:r>
        <w:t xml:space="preserve">Model closing — the last 2 minutes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To summarise, my patient is a 35-year-old labourer with pain, redness, watering, photophobia and defective vision in the left eye. It began 10 days ago, after dust fell into the eye. He has no contact lens wear, steroid use or diabetes. Visual acuity is 6/6 in the right eye. In the left eye it is 6/60, not improving with glasses or pinhole. The left eye has lid oedema and circumcorneal congestion. It has a greyish-white, 4 by 4 millimetre paracentral corneal ulcer with well-defined margins. There is surrounding stromal infiltrate. The anterior chamber is of normal depth, with no hypopyon. The right eye and both fundi are normal.</w:t>
            </w:r>
          </w:p>
          <w:p>
            <w:pPr>
              <w:widowControl/>
            </w:pPr>
            <w:r>
              <w:t xml:space="preserve">My provisional diagnosis is left eye paracentral corneal ulcer, probably of bacterial aetiology, in healing stage. The main differential is a fungal ulcer, which would show feathery margins and satellite lesions.</w:t>
            </w:r>
          </w:p>
          <w:p>
            <w:pPr>
              <w:widowControl/>
              <w:spacing w:after="0"/>
            </w:pPr>
            <w:r>
              <w:t xml:space="preserve">I would take a scraping from the base and margins of the ulcer. I would send it for Gram stain, a 10 per cent potassium hydroxide mount and culture. I would treat according to the result, with atropine for the ciliary spasm. I would follow the ulcer until it heals.</w:t>
            </w:r>
          </w:p>
        </w:tc>
      </w:tr>
    </w:tbl>
    <w:p>
      <w:pPr>
        <w:pStyle w:val="Heading2"/>
        <w:widowControl/>
      </w:pPr>
      <w:r>
        <w:t xml:space="preserve">How to answer any viva question</w:t>
      </w:r>
    </w:p>
    <w:p>
      <w:pPr>
        <w:keepNext/>
        <w:widowControl/>
      </w:pPr>
      <w:r>
        <w:t xml:space="preserve">Examiners mark the shape of an answer as well as its content. Lead with the answer, never with background.</w:t>
      </w:r>
    </w:p>
    <w:p>
      <w:pPr>
        <w:pStyle w:val="ListParagraph"/>
        <w:keepLines/>
        <w:widowControl/>
        <w:numPr>
          <w:ilvl w:val="0"/>
          <w:numId w:val="2"/>
        </w:numPr>
        <w:spacing w:after="30"/>
      </w:pPr>
      <w:r>
        <w:rPr>
          <w:b/>
          <w:bCs/>
        </w:rPr>
        <w:t xml:space="preserve">Keyword first.</w:t>
      </w:r>
      <w:r>
        <w:t xml:space="preserve"> Put the exact term at the start of the answer, in bold. The examiner then hears it in the first second. Say “</w:t>
      </w:r>
      <w:r>
        <w:rPr>
          <w:b/>
          <w:bCs/>
        </w:rPr>
        <w:t xml:space="preserve">Bayoneting</w:t>
      </w:r>
      <w:r>
        <w:t xml:space="preserve"> is…”, not “It is called bayoneting when…”.</w:t>
      </w:r>
    </w:p>
    <w:p>
      <w:pPr>
        <w:pStyle w:val="ListParagraph"/>
        <w:keepLines/>
        <w:widowControl/>
        <w:numPr>
          <w:ilvl w:val="0"/>
          <w:numId w:val="2"/>
        </w:numPr>
        <w:spacing w:after="30"/>
      </w:pPr>
      <w:r>
        <w:rPr>
          <w:b/>
          <w:bCs/>
        </w:rPr>
        <w:t xml:space="preserve">Use the keywords.</w:t>
      </w:r>
      <w:r>
        <w:t xml:space="preserve"> Each subject card has a line of the keywords the examiner listens for. Use each of those terms in your answers.</w:t>
      </w:r>
    </w:p>
    <w:p>
      <w:pPr>
        <w:pStyle w:val="ListParagraph"/>
        <w:keepLines/>
        <w:widowControl/>
        <w:numPr>
          <w:ilvl w:val="0"/>
          <w:numId w:val="2"/>
        </w:numPr>
        <w:spacing w:after="30"/>
      </w:pPr>
      <w:r>
        <w:rPr>
          <w:b/>
          <w:bCs/>
        </w:rPr>
        <w:t xml:space="preserve">Definition first.</w:t>
      </w:r>
      <w:r>
        <w:t xml:space="preserve"> Start from the book’s standard definition, with its key terms unchanged. Then give one line in plain words.</w:t>
      </w:r>
    </w:p>
    <w:p>
      <w:pPr>
        <w:pStyle w:val="ListParagraph"/>
        <w:keepLines/>
        <w:widowControl/>
        <w:numPr>
          <w:ilvl w:val="0"/>
          <w:numId w:val="2"/>
        </w:numPr>
        <w:spacing w:after="60"/>
      </w:pPr>
      <w:r>
        <w:rPr>
          <w:b/>
          <w:bCs/>
        </w:rPr>
        <w:t xml:space="preserve">Plain English, professional register.</w:t>
      </w:r>
      <w:r>
        <w:t xml:space="preserve"> Short sentences, one idea each. Findings in the present tense: “The right eye shows…”. Management in the first person: “I will start…”. Numbers with their unit, method and time.</w:t>
      </w:r>
    </w:p>
    <w:p>
      <w:pPr>
        <w:keepNext/>
        <w:widowControl/>
      </w:pPr>
      <w:r>
        <w:rPr>
          <w:b/>
          <w:bCs/>
        </w:rPr>
        <w:t xml:space="preserve">The shape for each kind of question:</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624"/>
        <w:gridCol w:w="7468"/>
      </w:tblGrid>
      <w:tr>
        <w:trPr>
          <w:cantSplit/>
          <w:tblHeader/>
        </w:trPr>
        <w:tc>
          <w:tcPr>
            <w:tcW w:type="dxa" w:w="262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The question asks for</w:t>
            </w:r>
          </w:p>
        </w:tc>
        <w:tc>
          <w:tcPr>
            <w:tcW w:type="dxa" w:w="746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Shape of the answer</w:t>
            </w:r>
          </w:p>
        </w:tc>
      </w:tr>
      <w:tr>
        <w:trPr>
          <w:cantSplit/>
        </w:trPr>
        <w:tc>
          <w:tcPr>
            <w:tcW w:type="dxa" w:w="2624"/>
            <w:tcMar>
              <w:top w:type="dxa" w:w="60"/>
              <w:left w:type="dxa" w:w="80"/>
              <w:bottom w:type="dxa" w:w="60"/>
              <w:right w:type="dxa" w:w="80"/>
            </w:tcMar>
            <w:vAlign w:val="top"/>
          </w:tcPr>
          <w:p>
            <w:pPr>
              <w:widowControl/>
              <w:spacing w:after="0" w:before="0" w:line="245" w:lineRule="auto"/>
            </w:pPr>
            <w:r>
              <w:rPr>
                <w:b/>
                <w:bCs/>
                <w:sz w:val="17"/>
                <w:szCs w:val="17"/>
              </w:rPr>
              <w:t xml:space="preserve">A definition</w:t>
            </w:r>
            <w:r>
              <w:rPr>
                <w:sz w:val="17"/>
                <w:szCs w:val="17"/>
              </w:rPr>
              <w:t xml:space="preserve"> (“What is…?”)</w:t>
            </w:r>
          </w:p>
        </w:tc>
        <w:tc>
          <w:tcPr>
            <w:tcW w:type="dxa" w:w="7468"/>
            <w:tcMar>
              <w:top w:type="dxa" w:w="60"/>
              <w:left w:type="dxa" w:w="80"/>
              <w:bottom w:type="dxa" w:w="60"/>
              <w:right w:type="dxa" w:w="80"/>
            </w:tcMar>
            <w:vAlign w:val="top"/>
          </w:tcPr>
          <w:p>
            <w:pPr>
              <w:widowControl/>
              <w:spacing w:after="0" w:before="0" w:line="245" w:lineRule="auto"/>
            </w:pPr>
            <w:r>
              <w:rPr>
                <w:sz w:val="17"/>
                <w:szCs w:val="17"/>
              </w:rPr>
              <w:t xml:space="preserve">1. The standard definition, in the book’s wording, key terms unchanged. 2. One line in plain words. 3. The 2–3 features that make the diagnosis</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A classification</w:t>
            </w:r>
          </w:p>
        </w:tc>
        <w:tc>
          <w:tcPr>
            <w:tcW w:type="dxa" w:w="746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 Name the system. 2. Give its grades in order. 3. Say which grade this patient has</w:t>
            </w:r>
          </w:p>
        </w:tc>
      </w:tr>
      <w:tr>
        <w:trPr>
          <w:cantSplit/>
        </w:trPr>
        <w:tc>
          <w:tcPr>
            <w:tcW w:type="dxa" w:w="2624"/>
            <w:tcMar>
              <w:top w:type="dxa" w:w="60"/>
              <w:left w:type="dxa" w:w="80"/>
              <w:bottom w:type="dxa" w:w="60"/>
              <w:right w:type="dxa" w:w="80"/>
            </w:tcMar>
            <w:vAlign w:val="top"/>
          </w:tcPr>
          <w:p>
            <w:pPr>
              <w:widowControl/>
              <w:spacing w:after="0" w:before="0" w:line="245" w:lineRule="auto"/>
            </w:pPr>
            <w:r>
              <w:rPr>
                <w:b/>
                <w:bCs/>
                <w:sz w:val="17"/>
                <w:szCs w:val="17"/>
              </w:rPr>
              <w:t xml:space="preserve">Causes</w:t>
            </w:r>
          </w:p>
        </w:tc>
        <w:tc>
          <w:tcPr>
            <w:tcW w:type="dxa" w:w="7468"/>
            <w:tcMar>
              <w:top w:type="dxa" w:w="60"/>
              <w:left w:type="dxa" w:w="80"/>
              <w:bottom w:type="dxa" w:w="60"/>
              <w:right w:type="dxa" w:w="80"/>
            </w:tcMar>
            <w:vAlign w:val="top"/>
          </w:tcPr>
          <w:p>
            <w:pPr>
              <w:widowControl/>
              <w:spacing w:after="0" w:before="0" w:line="245" w:lineRule="auto"/>
            </w:pPr>
            <w:r>
              <w:rPr>
                <w:sz w:val="17"/>
                <w:szCs w:val="17"/>
              </w:rPr>
              <w:t xml:space="preserve">1. Group them (congenital / acquired, ocular / systemic). 2. Most common first in each group. 3. The mnemonic, if your mnemonics file has one</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Symptoms and signs</w:t>
            </w:r>
          </w:p>
        </w:tc>
        <w:tc>
          <w:tcPr>
            <w:tcW w:type="dxa" w:w="746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 Symptoms first. 2. Signs in examination order: lids → conjunctiva → cornea → anterior chamber → iris → pupil → lens → intraocular pressure → angle → fundus</w:t>
            </w:r>
          </w:p>
        </w:tc>
      </w:tr>
      <w:tr>
        <w:trPr>
          <w:cantSplit/>
        </w:trPr>
        <w:tc>
          <w:tcPr>
            <w:tcW w:type="dxa" w:w="2624"/>
            <w:tcMar>
              <w:top w:type="dxa" w:w="60"/>
              <w:left w:type="dxa" w:w="80"/>
              <w:bottom w:type="dxa" w:w="60"/>
              <w:right w:type="dxa" w:w="80"/>
            </w:tcMar>
            <w:vAlign w:val="top"/>
          </w:tcPr>
          <w:p>
            <w:pPr>
              <w:widowControl/>
              <w:spacing w:after="0" w:before="0" w:line="245" w:lineRule="auto"/>
            </w:pPr>
            <w:r>
              <w:rPr>
                <w:b/>
                <w:bCs/>
                <w:sz w:val="17"/>
                <w:szCs w:val="17"/>
              </w:rPr>
              <w:t xml:space="preserve">Difference between A and B</w:t>
            </w:r>
          </w:p>
        </w:tc>
        <w:tc>
          <w:tcPr>
            <w:tcW w:type="dxa" w:w="7468"/>
            <w:tcMar>
              <w:top w:type="dxa" w:w="60"/>
              <w:left w:type="dxa" w:w="80"/>
              <w:bottom w:type="dxa" w:w="60"/>
              <w:right w:type="dxa" w:w="80"/>
            </w:tcMar>
            <w:vAlign w:val="top"/>
          </w:tcPr>
          <w:p>
            <w:pPr>
              <w:widowControl/>
              <w:spacing w:after="0" w:before="0" w:line="245" w:lineRule="auto"/>
            </w:pPr>
            <w:r>
              <w:rPr>
                <w:sz w:val="17"/>
                <w:szCs w:val="17"/>
              </w:rPr>
              <w:t xml:space="preserve">A table with the same rows for both: age, onset, symptoms, the key sign, the key test, treatment</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Investigations</w:t>
            </w:r>
          </w:p>
        </w:tc>
        <w:tc>
          <w:tcPr>
            <w:tcW w:type="dxa" w:w="746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 order: confirm → stage or grade → find the cause → baseline for follow-up → fitness for surgery. Give the purpose of each</w:t>
            </w:r>
          </w:p>
        </w:tc>
      </w:tr>
      <w:tr>
        <w:trPr>
          <w:cantSplit/>
        </w:trPr>
        <w:tc>
          <w:tcPr>
            <w:tcW w:type="dxa" w:w="2624"/>
            <w:tcMar>
              <w:top w:type="dxa" w:w="60"/>
              <w:left w:type="dxa" w:w="80"/>
              <w:bottom w:type="dxa" w:w="60"/>
              <w:right w:type="dxa" w:w="80"/>
            </w:tcMar>
            <w:vAlign w:val="top"/>
          </w:tcPr>
          <w:p>
            <w:pPr>
              <w:widowControl/>
              <w:spacing w:after="0" w:before="0" w:line="245" w:lineRule="auto"/>
            </w:pPr>
            <w:r>
              <w:rPr>
                <w:b/>
                <w:bCs/>
                <w:sz w:val="17"/>
                <w:szCs w:val="17"/>
              </w:rPr>
              <w:t xml:space="preserve">Management</w:t>
            </w:r>
          </w:p>
        </w:tc>
        <w:tc>
          <w:tcPr>
            <w:tcW w:type="dxa" w:w="7468"/>
            <w:tcMar>
              <w:top w:type="dxa" w:w="60"/>
              <w:left w:type="dxa" w:w="80"/>
              <w:bottom w:type="dxa" w:w="60"/>
              <w:right w:type="dxa" w:w="80"/>
            </w:tcMar>
            <w:vAlign w:val="top"/>
          </w:tcPr>
          <w:p>
            <w:pPr>
              <w:widowControl/>
              <w:spacing w:after="0" w:before="0" w:line="245" w:lineRule="auto"/>
            </w:pPr>
            <w:r>
              <w:rPr>
                <w:sz w:val="17"/>
                <w:szCs w:val="17"/>
              </w:rPr>
              <w:t xml:space="preserve">Aim → medical → laser → surgery → follow-up and counselling, in the first person, with the trigger for each step up</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A drug</w:t>
            </w:r>
          </w:p>
        </w:tc>
        <w:tc>
          <w:tcPr>
            <w:tcW w:type="dxa" w:w="746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Class → strength, dose and frequency → mechanism of action → adverse effects (ocular, then systemic) → contraindications</w:t>
            </w:r>
          </w:p>
        </w:tc>
      </w:tr>
      <w:tr>
        <w:trPr>
          <w:cantSplit/>
        </w:trPr>
        <w:tc>
          <w:tcPr>
            <w:tcW w:type="dxa" w:w="2624"/>
            <w:tcMar>
              <w:top w:type="dxa" w:w="60"/>
              <w:left w:type="dxa" w:w="80"/>
              <w:bottom w:type="dxa" w:w="60"/>
              <w:right w:type="dxa" w:w="80"/>
            </w:tcMar>
            <w:vAlign w:val="top"/>
          </w:tcPr>
          <w:p>
            <w:pPr>
              <w:widowControl/>
              <w:spacing w:after="0" w:before="0" w:line="245" w:lineRule="auto"/>
            </w:pPr>
            <w:r>
              <w:rPr>
                <w:b/>
                <w:bCs/>
                <w:sz w:val="17"/>
                <w:szCs w:val="17"/>
              </w:rPr>
              <w:t xml:space="preserve">An operation or laser</w:t>
            </w:r>
          </w:p>
        </w:tc>
        <w:tc>
          <w:tcPr>
            <w:tcW w:type="dxa" w:w="7468"/>
            <w:tcMar>
              <w:top w:type="dxa" w:w="60"/>
              <w:left w:type="dxa" w:w="80"/>
              <w:bottom w:type="dxa" w:w="60"/>
              <w:right w:type="dxa" w:w="80"/>
            </w:tcMar>
            <w:vAlign w:val="top"/>
          </w:tcPr>
          <w:p>
            <w:pPr>
              <w:widowControl/>
              <w:spacing w:after="0" w:before="0" w:line="245" w:lineRule="auto"/>
            </w:pPr>
            <w:r>
              <w:rPr>
                <w:sz w:val="17"/>
                <w:szCs w:val="17"/>
              </w:rPr>
              <w:t xml:space="preserve">Indications → principle → key steps (numbered) → advantages → disadvantages and complications</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Complications</w:t>
            </w:r>
          </w:p>
        </w:tc>
        <w:tc>
          <w:tcPr>
            <w:tcW w:type="dxa" w:w="746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Grouped by time (during surgery / early / late) or by site (ocular / systemic). Most common and most serious first</w:t>
            </w:r>
          </w:p>
        </w:tc>
      </w:tr>
      <w:tr>
        <w:trPr>
          <w:cantSplit/>
        </w:trPr>
        <w:tc>
          <w:tcPr>
            <w:tcW w:type="dxa" w:w="2624"/>
            <w:tcMar>
              <w:top w:type="dxa" w:w="60"/>
              <w:left w:type="dxa" w:w="80"/>
              <w:bottom w:type="dxa" w:w="60"/>
              <w:right w:type="dxa" w:w="80"/>
            </w:tcMar>
            <w:vAlign w:val="top"/>
          </w:tcPr>
          <w:p>
            <w:pPr>
              <w:widowControl/>
              <w:spacing w:after="0" w:before="0" w:line="245" w:lineRule="auto"/>
            </w:pPr>
            <w:r>
              <w:rPr>
                <w:b/>
                <w:bCs/>
                <w:sz w:val="17"/>
                <w:szCs w:val="17"/>
              </w:rPr>
              <w:t xml:space="preserve">“Why did you ask / check…?”</w:t>
            </w:r>
          </w:p>
        </w:tc>
        <w:tc>
          <w:tcPr>
            <w:tcW w:type="dxa" w:w="7468"/>
            <w:tcMar>
              <w:top w:type="dxa" w:w="60"/>
              <w:left w:type="dxa" w:w="80"/>
              <w:bottom w:type="dxa" w:w="60"/>
              <w:right w:type="dxa" w:w="80"/>
            </w:tcMar>
            <w:vAlign w:val="top"/>
          </w:tcPr>
          <w:p>
            <w:pPr>
              <w:widowControl/>
              <w:spacing w:after="0" w:before="0" w:line="245" w:lineRule="auto"/>
            </w:pPr>
            <w:r>
              <w:rPr>
                <w:sz w:val="17"/>
                <w:szCs w:val="17"/>
              </w:rPr>
              <w:t xml:space="preserve">1. The reason, in one sentence. 2. What a positive answer would mean. 3. The test that would confirm it</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Prognosis</w:t>
            </w:r>
          </w:p>
        </w:tc>
        <w:tc>
          <w:tcPr>
            <w:tcW w:type="dxa" w:w="746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Good factors, then poor factors</w:t>
            </w:r>
          </w:p>
        </w:tc>
      </w:tr>
    </w:tbl>
    <w:p>
      <w:pPr>
        <w:pStyle w:val="Heading3"/>
        <w:widowControl/>
      </w:pPr>
      <w:r>
        <w:t xml:space="preserve">Two model answers</w:t>
      </w:r>
    </w:p>
    <w:p>
      <w:pPr>
        <w:keepNext/>
        <w:keepLines/>
        <w:widowControl/>
        <w:tabs>
          <w:tab w:val="left" w:pos="227"/>
        </w:tabs>
        <w:spacing w:after="0" w:before="50"/>
        <w:ind w:left="227" w:hanging="227"/>
      </w:pPr>
      <w:r>
        <w:rPr>
          <w:b/>
          <w:bCs/>
          <w:color w:val="1F3864"/>
        </w:rPr>
        <w:t xml:space="preserve">Q</w:t>
      </w:r>
      <w:r>
        <w:tab/>
      </w:r>
      <w:r>
        <w:rPr>
          <w:b/>
          <w:bCs/>
        </w:rPr>
        <w:t xml:space="preserve">What is glaucoma?</w:t>
      </w:r>
    </w:p>
    <w:p>
      <w:pPr>
        <w:keepLines/>
        <w:widowControl/>
        <w:spacing w:after="40"/>
        <w:ind w:left="227"/>
      </w:pPr>
      <w:r>
        <w:rPr>
          <w:b/>
          <w:bCs/>
        </w:rPr>
        <w:t xml:space="preserve">Glaucoma</w:t>
      </w:r>
      <w:r>
        <w:t xml:space="preserve"> is a chronic progressive optic neuropathy caused by a group of disorders leading to irreversible damage to optic nerves and corresponding visual field defects with or without high intraocular pressure. In plain words: the optic nerve is slowly and permanently damaged, and the field of vision shrinks to match. The diagnosis rests on the </w:t>
      </w:r>
      <w:r>
        <w:rPr>
          <w:b/>
          <w:bCs/>
        </w:rPr>
        <w:t xml:space="preserve">optic disc</w:t>
      </w:r>
      <w:r>
        <w:t xml:space="preserve">, the </w:t>
      </w:r>
      <w:r>
        <w:rPr>
          <w:b/>
          <w:bCs/>
        </w:rPr>
        <w:t xml:space="preserve">visual field</w:t>
      </w:r>
      <w:r>
        <w:t xml:space="preserve"> and the </w:t>
      </w:r>
      <w:r>
        <w:rPr>
          <w:b/>
          <w:bCs/>
        </w:rPr>
        <w:t xml:space="preserve">angle</w:t>
      </w:r>
      <w:r>
        <w:t xml:space="preserve">.</w:t>
      </w:r>
    </w:p>
    <w:p>
      <w:pPr>
        <w:keepNext/>
        <w:keepLines/>
        <w:widowControl/>
        <w:tabs>
          <w:tab w:val="left" w:pos="227"/>
        </w:tabs>
        <w:spacing w:after="0" w:before="50"/>
        <w:ind w:left="227" w:hanging="227"/>
      </w:pPr>
      <w:r>
        <w:rPr>
          <w:b/>
          <w:bCs/>
          <w:color w:val="1F3864"/>
        </w:rPr>
        <w:t xml:space="preserve">Q</w:t>
      </w:r>
      <w:r>
        <w:tab/>
      </w:r>
      <w:r>
        <w:rPr>
          <w:b/>
          <w:bCs/>
        </w:rPr>
        <w:t xml:space="preserve">Tell me about latanoprost.</w:t>
      </w:r>
    </w:p>
    <w:p>
      <w:pPr>
        <w:keepLines/>
        <w:widowControl/>
        <w:spacing w:after="40"/>
        <w:ind w:left="227"/>
      </w:pPr>
      <w:r>
        <w:rPr>
          <w:b/>
          <w:bCs/>
        </w:rPr>
        <w:t xml:space="preserve">Latanoprost</w:t>
      </w:r>
      <w:r>
        <w:t xml:space="preserve"> is a </w:t>
      </w:r>
      <w:r>
        <w:rPr>
          <w:b/>
          <w:bCs/>
        </w:rPr>
        <w:t xml:space="preserve">prostaglandin analogue</w:t>
      </w:r>
      <w:r>
        <w:t xml:space="preserve">, used as 0.005% drops once at bedtime. It lowers intraocular pressure by </w:t>
      </w:r>
      <w:r>
        <w:rPr>
          <w:b/>
          <w:bCs/>
        </w:rPr>
        <w:t xml:space="preserve">increasing uveoscleral outflow</w:t>
      </w:r>
      <w:r>
        <w:t xml:space="preserve">. Side effects: conjunctival hyperaemia, longer lashes and iris pigmentation. Avoid it in uveitis.</w:t>
      </w:r>
    </w:p>
    <w:p>
      <w:pPr>
        <w:widowControl/>
      </w:pPr>
      <w:r>
        <w:t xml:space="preserve">The first answer has the definition shape: the book’s definition, one plain line, then what makes the diagnosis. The second has the drug shape: class, strength and frequency, mechanism, adverse effects, contraindication.</w:t>
      </w:r>
    </w:p>
    <w:p>
      <w:pPr>
        <w:pStyle w:val="Heading2"/>
        <w:widowControl/>
      </w:pPr>
      <w:r>
        <w:t xml:space="preserve">Case-specific add-ons</w:t>
      </w:r>
    </w:p>
    <w:p>
      <w:pPr>
        <w:keepNext/>
        <w:widowControl/>
      </w:pPr>
      <w:r>
        <w:t xml:space="preserve">What the typed formats ask for on top of this proforma:</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716"/>
        <w:gridCol w:w="6661"/>
        <w:gridCol w:w="1715"/>
      </w:tblGrid>
      <w:tr>
        <w:trPr>
          <w:cantSplit/>
          <w:tblHeader/>
        </w:trPr>
        <w:tc>
          <w:tcPr>
            <w:tcW w:type="dxa" w:w="171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Case</w:t>
            </w:r>
          </w:p>
        </w:tc>
        <w:tc>
          <w:tcPr>
            <w:tcW w:type="dxa" w:w="666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Extra examination</w:t>
            </w:r>
          </w:p>
        </w:tc>
        <w:tc>
          <w:tcPr>
            <w:tcW w:type="dxa" w:w="17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Cards</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Glaucoma</w:t>
            </w:r>
          </w:p>
        </w:tc>
        <w:tc>
          <w:tcPr>
            <w:tcW w:type="dxa" w:w="6661"/>
            <w:tcMar>
              <w:top w:type="dxa" w:w="60"/>
              <w:left w:type="dxa" w:w="80"/>
              <w:bottom w:type="dxa" w:w="60"/>
              <w:right w:type="dxa" w:w="80"/>
            </w:tcMar>
            <w:vAlign w:val="top"/>
          </w:tcPr>
          <w:p>
            <w:pPr>
              <w:widowControl/>
              <w:spacing w:after="0" w:before="0" w:line="245" w:lineRule="auto"/>
            </w:pPr>
            <w:r>
              <w:rPr>
                <w:sz w:val="17"/>
                <w:szCs w:val="17"/>
              </w:rPr>
              <w:t xml:space="preserve">Head and ocular posture; colour vision; skin naevi and phakomatosis (neurofibromatosis, Lisch nodules); patent ductus arteriosus with congenital rubella; lid hyperpigmentation, port-wine stain; conjunctival follicles, adrenochrome pigmentation, bleb; Krukenberg spindle; new vessels, PxF, iridotomy patency; retrolental cells; vertical and horizontal CDR, disc haemorrhage, vessel tortuosity, nerve fibre layer defects; gonioscopy diagram; automated perimetry</w:t>
            </w:r>
          </w:p>
        </w:tc>
        <w:tc>
          <w:tcPr>
            <w:tcW w:type="dxa" w:w="1715"/>
            <w:tcMar>
              <w:top w:type="dxa" w:w="60"/>
              <w:left w:type="dxa" w:w="80"/>
              <w:bottom w:type="dxa" w:w="60"/>
              <w:right w:type="dxa" w:w="80"/>
            </w:tcMar>
            <w:vAlign w:val="top"/>
          </w:tcPr>
          <w:p>
            <w:pPr>
              <w:widowControl/>
              <w:spacing w:after="0" w:before="0" w:line="245" w:lineRule="auto"/>
            </w:pPr>
            <w:r>
              <w:rPr>
                <w:sz w:val="17"/>
                <w:szCs w:val="17"/>
              </w:rPr>
              <w:t xml:space="preserve">G1–G11</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Cornea</w:t>
            </w:r>
          </w:p>
        </w:tc>
        <w:tc>
          <w:tcPr>
            <w:tcW w:type="dxa" w:w="666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Lid apposition, punctum, tear meniscus; evert the upper lid; corneal sensation, staining; each slit-lamp illumination; ulcer site, size, shape, edge, margin; labelled colour diagram</w:t>
            </w:r>
          </w:p>
        </w:tc>
        <w:tc>
          <w:tcPr>
            <w:tcW w:type="dxa" w:w="17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C1–C11</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Proptosis</w:t>
            </w:r>
          </w:p>
        </w:tc>
        <w:tc>
          <w:tcPr>
            <w:tcW w:type="dxa" w:w="6661"/>
            <w:tcMar>
              <w:top w:type="dxa" w:w="60"/>
              <w:left w:type="dxa" w:w="80"/>
              <w:bottom w:type="dxa" w:w="60"/>
              <w:right w:type="dxa" w:w="80"/>
            </w:tcMar>
            <w:vAlign w:val="top"/>
          </w:tcPr>
          <w:p>
            <w:pPr>
              <w:widowControl/>
              <w:spacing w:after="0" w:before="0" w:line="245" w:lineRule="auto"/>
            </w:pPr>
            <w:r>
              <w:rPr>
                <w:sz w:val="17"/>
                <w:szCs w:val="17"/>
              </w:rPr>
              <w:t xml:space="preserve">Axial or eccentric; pulsation; change with Valsalva; thrill, finger insinuation, retropulsion; auscultation for bruit; Hertel exophthalmometry; pressure in upgaze; forced duction</w:t>
            </w:r>
          </w:p>
        </w:tc>
        <w:tc>
          <w:tcPr>
            <w:tcW w:type="dxa" w:w="1715"/>
            <w:tcMar>
              <w:top w:type="dxa" w:w="60"/>
              <w:left w:type="dxa" w:w="80"/>
              <w:bottom w:type="dxa" w:w="60"/>
              <w:right w:type="dxa" w:w="80"/>
            </w:tcMar>
            <w:vAlign w:val="top"/>
          </w:tcPr>
          <w:p>
            <w:pPr>
              <w:widowControl/>
              <w:spacing w:after="0" w:before="0" w:line="245" w:lineRule="auto"/>
            </w:pPr>
            <w:r>
              <w:rPr>
                <w:sz w:val="17"/>
                <w:szCs w:val="17"/>
              </w:rPr>
              <w:t xml:space="preserve">O1</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Paralytic squint</w:t>
            </w:r>
          </w:p>
        </w:tc>
        <w:tc>
          <w:tcPr>
            <w:tcW w:type="dxa" w:w="666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Head tilt, face turn; primary and secondary deviation; diplopia charting, Hess chart; Park–Bielschowsky three-step test; double Maddox rod; past pointing</w:t>
            </w:r>
          </w:p>
        </w:tc>
        <w:tc>
          <w:tcPr>
            <w:tcW w:type="dxa" w:w="17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N1–N3, O3; charting on NX</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Strabismus</w:t>
            </w:r>
          </w:p>
        </w:tc>
        <w:tc>
          <w:tcPr>
            <w:tcW w:type="dxa" w:w="6661"/>
            <w:tcMar>
              <w:top w:type="dxa" w:w="60"/>
              <w:left w:type="dxa" w:w="80"/>
              <w:bottom w:type="dxa" w:w="60"/>
              <w:right w:type="dxa" w:w="80"/>
            </w:tcMar>
            <w:vAlign w:val="top"/>
          </w:tcPr>
          <w:p>
            <w:pPr>
              <w:widowControl/>
              <w:spacing w:after="0" w:before="0" w:line="245" w:lineRule="auto"/>
            </w:pPr>
            <w:r>
              <w:rPr>
                <w:sz w:val="17"/>
                <w:szCs w:val="17"/>
              </w:rPr>
              <w:t xml:space="preserve">Alternate cover; Krimsky; prism bar cover test in nine gazes; A or V pattern; accommodative convergence/accommodation ratio; Worth four-dot, Bagolini, Titmus; Bruckner</w:t>
            </w:r>
          </w:p>
        </w:tc>
        <w:tc>
          <w:tcPr>
            <w:tcW w:type="dxa" w:w="1715"/>
            <w:tcMar>
              <w:top w:type="dxa" w:w="60"/>
              <w:left w:type="dxa" w:w="80"/>
              <w:bottom w:type="dxa" w:w="60"/>
              <w:right w:type="dxa" w:w="80"/>
            </w:tcMar>
            <w:vAlign w:val="top"/>
          </w:tcPr>
          <w:p>
            <w:pPr>
              <w:widowControl/>
              <w:spacing w:after="0" w:before="0" w:line="245" w:lineRule="auto"/>
            </w:pPr>
            <w:r>
              <w:rPr>
                <w:sz w:val="17"/>
                <w:szCs w:val="17"/>
              </w:rPr>
              <w:t xml:space="preserve">NX; N1–N3</w:t>
            </w:r>
          </w:p>
        </w:tc>
      </w:tr>
    </w:tbl>
    <w:p>
      <w:pPr>
        <w:keepLines/>
        <w:widowControl/>
        <w:pBdr>
          <w:top w:val="single" w:color="BFBFBF" w:sz="4" w:space="4"/>
        </w:pBdr>
        <w:spacing w:after="0" w:before="160"/>
        <w:sectPr>
          <w:footerReference w:type="default" r:id="rId6"/>
          <w:pgSz w:w="11906" w:h="16838" w:orient="portrait"/>
          <w:pgMar w:top="794" w:right="907" w:bottom="794" w:left="907" w:header="397" w:footer="397" w:gutter="0"/>
          <w:pgNumType/>
          <w:docGrid w:linePitch="360"/>
        </w:sectPr>
      </w:pPr>
      <w:r>
        <w:rPr>
          <w:i/>
          <w:iCs/>
          <w:color w:val="7F7F7F"/>
          <w:sz w:val="16"/>
          <w:szCs w:val="16"/>
        </w:rPr>
        <w:t xml:space="preserve">Read more: </w:t>
      </w:r>
      <w:r>
        <w:rPr>
          <w:i/>
          <w:iCs/>
          <w:color w:val="7F7F7F"/>
          <w:sz w:val="16"/>
          <w:szCs w:val="16"/>
        </w:rPr>
        <w:t xml:space="preserve">Department case-sheet proforma (glaucoma, corneal ulcer, proptosis, uveitis, ptosis and sixth nerve sheets) · Typed case-presentation formats: glaucoma, cornea, proptosis, paralytic squint, strabismus · Aravind “Case sheet writing” p.649–667; 1.2; 4.4; 4.6; 4.8; 4.15; 4.17; 4.18 · Baidya p.12–18, 149–150, 154–155, 158–166, 196–198, 364, 557 · Namrata p.173–178, 181, 196, 205, 218, 352 · Mnemonics PDF: PART B</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B" w:id="2"/>
            <w:r>
              <w:rPr>
                <w:b/>
                <w:bCs/>
                <w:color w:val="FFFFFF"/>
                <w:sz w:val="28"/>
                <w:szCs w:val="28"/>
              </w:rPr>
              <w:t xml:space="preserve">B  Master fundus format</w:t>
            </w:r>
            <w:bookmarkEnd w:id="2"/>
          </w:p>
          <w:p>
            <w:pPr>
              <w:spacing w:after="0" w:before="0"/>
            </w:pPr>
            <w:r>
              <w:rPr>
                <w:color w:val="FFFFFF"/>
                <w:sz w:val="18"/>
                <w:szCs w:val="18"/>
              </w:rPr>
              <w:t xml:space="preserve">Use with every fundus card · Fundus: 60 marks (2 × 30) · 10 + 5 minutes per case</w:t>
            </w:r>
          </w:p>
        </w:tc>
      </w:tr>
    </w:tbl>
    <w:p>
      <w:pPr>
        <w:pStyle w:val="Heading2"/>
        <w:widowControl/>
      </w:pPr>
      <w:r>
        <w:t xml:space="preserve">The instruction you may get</w:t>
      </w:r>
    </w:p>
    <w:p>
      <w:pPr>
        <w:widowControl/>
      </w:pPr>
      <w:r>
        <w:t xml:space="preserve">“Examine the fundus of this patient.” Do exactly that, in the order below. Introduce yourself and take consent first.</w:t>
      </w:r>
    </w:p>
    <w:p>
      <w:pPr>
        <w:pStyle w:val="Heading2"/>
        <w:widowControl/>
      </w:pPr>
      <w:r>
        <w:t xml:space="preserve">The order</w:t>
      </w:r>
    </w:p>
    <w:p>
      <w:pPr>
        <w:pStyle w:val="ListParagraph"/>
        <w:keepLines/>
        <w:widowControl/>
        <w:numPr>
          <w:ilvl w:val="0"/>
          <w:numId w:val="7"/>
        </w:numPr>
        <w:spacing w:after="30"/>
      </w:pPr>
      <w:r>
        <w:rPr>
          <w:b/>
          <w:bCs/>
        </w:rPr>
        <w:t xml:space="preserve">Particulars and chief complaint</w:t>
      </w:r>
      <w:r>
        <w:t xml:space="preserve"> (shorthand as on card A), each eye with its own duration. Jot the history beside it (the history table below).</w:t>
      </w:r>
    </w:p>
    <w:p>
      <w:pPr>
        <w:pStyle w:val="ListParagraph"/>
        <w:keepLines/>
        <w:widowControl/>
        <w:numPr>
          <w:ilvl w:val="0"/>
          <w:numId w:val="7"/>
        </w:numPr>
        <w:spacing w:after="30"/>
      </w:pPr>
      <w:r>
        <w:rPr>
          <w:b/>
          <w:bCs/>
        </w:rPr>
        <w:t xml:space="preserve">Vision with pinhole (PH)</w:t>
      </w:r>
      <w:r>
        <w:t xml:space="preserve">, right eye (RE) above left eye (LE): “6/24 → PH 6/18”.</w:t>
      </w:r>
    </w:p>
    <w:p>
      <w:pPr>
        <w:pStyle w:val="ListParagraph"/>
        <w:keepLines/>
        <w:widowControl/>
        <w:numPr>
          <w:ilvl w:val="0"/>
          <w:numId w:val="7"/>
        </w:numPr>
        <w:spacing w:after="30"/>
      </w:pPr>
      <w:r>
        <w:rPr>
          <w:b/>
          <w:bCs/>
        </w:rPr>
        <w:t xml:space="preserve">Tonometry</w:t>
      </w:r>
      <w:r>
        <w:t xml:space="preserve">: method, value, time (the department uses the non-contact tonometer).</w:t>
      </w:r>
    </w:p>
    <w:p>
      <w:pPr>
        <w:pStyle w:val="ListParagraph"/>
        <w:keepLines/>
        <w:widowControl/>
        <w:numPr>
          <w:ilvl w:val="0"/>
          <w:numId w:val="7"/>
        </w:numPr>
        <w:spacing w:after="30"/>
      </w:pPr>
      <w:r>
        <w:rPr>
          <w:b/>
          <w:bCs/>
        </w:rPr>
        <w:t xml:space="preserve">Anterior segment</w:t>
      </w:r>
      <w:r>
        <w:t xml:space="preserve">: the four checks below, before dilating.</w:t>
      </w:r>
    </w:p>
    <w:p>
      <w:pPr>
        <w:pStyle w:val="ListParagraph"/>
        <w:keepLines/>
        <w:widowControl/>
        <w:numPr>
          <w:ilvl w:val="0"/>
          <w:numId w:val="7"/>
        </w:numPr>
        <w:spacing w:after="30"/>
      </w:pPr>
      <w:r>
        <w:rPr>
          <w:b/>
          <w:bCs/>
        </w:rPr>
        <w:t xml:space="preserve">Fundus description</w:t>
      </w:r>
      <w:r>
        <w:t xml:space="preserve">, aloud, in the department’s order below. It comes from the department’s two written fundus write-ups: optic atrophy and diabetic retinopathy.</w:t>
      </w:r>
    </w:p>
    <w:p>
      <w:pPr>
        <w:pStyle w:val="ListParagraph"/>
        <w:keepLines/>
        <w:widowControl/>
        <w:numPr>
          <w:ilvl w:val="0"/>
          <w:numId w:val="7"/>
        </w:numPr>
        <w:spacing w:after="30"/>
      </w:pPr>
      <w:r>
        <w:rPr>
          <w:b/>
          <w:bCs/>
        </w:rPr>
        <w:t xml:space="preserve">Drawing</w:t>
      </w:r>
      <w:r>
        <w:t xml:space="preserve">, colour-coded, every lesion labelled.</w:t>
      </w:r>
    </w:p>
    <w:p>
      <w:pPr>
        <w:pStyle w:val="ListParagraph"/>
        <w:keepLines/>
        <w:widowControl/>
        <w:numPr>
          <w:ilvl w:val="0"/>
          <w:numId w:val="7"/>
        </w:numPr>
        <w:spacing w:after="30"/>
      </w:pPr>
      <w:r>
        <w:rPr>
          <w:b/>
          <w:bCs/>
        </w:rPr>
        <w:t xml:space="preserve">Diagnosis</w:t>
      </w:r>
      <w:r>
        <w:t xml:space="preserve"> with grade or stage and the lens status, one line per eye.</w:t>
      </w:r>
    </w:p>
    <w:p>
      <w:pPr>
        <w:pStyle w:val="ListParagraph"/>
        <w:keepLines/>
        <w:widowControl/>
        <w:numPr>
          <w:ilvl w:val="0"/>
          <w:numId w:val="7"/>
        </w:numPr>
        <w:spacing w:after="60"/>
      </w:pPr>
      <w:r>
        <w:rPr>
          <w:b/>
          <w:bCs/>
        </w:rPr>
        <w:t xml:space="preserve">Plan</w:t>
      </w:r>
      <w:r>
        <w:t xml:space="preserve">: eye + treatment, and the investigation that decides it.</w:t>
      </w:r>
    </w:p>
    <w:p>
      <w:pPr>
        <w:pStyle w:val="Heading2"/>
        <w:widowControl/>
      </w:pPr>
      <w:r>
        <w:t xml:space="preserve">Before you dilate — four checks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422"/>
        <w:gridCol w:w="4642"/>
        <w:gridCol w:w="3028"/>
      </w:tblGrid>
      <w:tr>
        <w:trPr>
          <w:cantSplit/>
          <w:tblHeader/>
        </w:trPr>
        <w:tc>
          <w:tcPr>
            <w:tcW w:type="dxa" w:w="242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Point</w:t>
            </w:r>
          </w:p>
        </w:tc>
        <w:tc>
          <w:tcPr>
            <w:tcW w:type="dxa" w:w="464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w:t>
            </w:r>
          </w:p>
        </w:tc>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Record</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New vessels on the iris (NVI)</w:t>
            </w:r>
          </w:p>
        </w:tc>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Proliferative retinopathy, ischaemic vein occlusion: pupillary margin, high magnification</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“NVI </w:t>
            </w:r>
            <w:r>
              <w:rPr>
                <w:rFonts w:ascii="Segoe UI Symbol" w:cs="Segoe UI Symbol" w:eastAsia="Segoe UI Symbol" w:hAnsi="Segoe UI Symbol"/>
                <w:sz w:val="17"/>
                <w:szCs w:val="17"/>
              </w:rPr>
              <w:t xml:space="preserve">⊕</w:t>
            </w:r>
            <w:r>
              <w:rPr>
                <w:sz w:val="17"/>
                <w:szCs w:val="17"/>
              </w:rPr>
              <w:t xml:space="preserve"> at the pupillary margin”</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Lens status</w:t>
            </w:r>
          </w:p>
        </w:tc>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Part of the vision loss; a lens line in every diagnosis</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“NS-2”, “PCIOL”</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Pseudoexfoliation</w:t>
            </w:r>
          </w:p>
        </w:tc>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Weak zonules, glaucoma; on the department’s vein occlusion sheet</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“PxF in ALC”</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Relative afferent pupillary defect (RAPD)</w:t>
            </w:r>
          </w:p>
        </w:tc>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 ominous sign in vein occlusion; check before dilating</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“Sluggish RTL”, “RAPD </w:t>
            </w:r>
            <w:r>
              <w:rPr>
                <w:rFonts w:ascii="Segoe UI Symbol" w:cs="Segoe UI Symbol" w:eastAsia="Segoe UI Symbol" w:hAnsi="Segoe UI Symbol"/>
                <w:sz w:val="17"/>
                <w:szCs w:val="17"/>
              </w:rPr>
              <w:t xml:space="preserve">⊕</w:t>
            </w:r>
            <w:r>
              <w:rPr>
                <w:sz w:val="17"/>
                <w:szCs w:val="17"/>
              </w:rPr>
              <w:t xml:space="preserve">”</w:t>
            </w:r>
          </w:p>
        </w:tc>
      </w:tr>
    </w:tbl>
    <w:p>
      <w:pPr>
        <w:spacing w:after="0" w:before="0" w:line="100" w:lineRule="exact"/>
        <w:rPr>
          <w:sz w:val="2"/>
          <w:szCs w:val="2"/>
        </w:rPr>
      </w:pP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028"/>
        <w:gridCol w:w="7064"/>
      </w:tblGrid>
      <w:tr>
        <w:trPr>
          <w:cantSplit/>
          <w:tblHeader/>
        </w:trPr>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Shorthand (as on card A)</w:t>
            </w:r>
          </w:p>
        </w:tc>
        <w:tc>
          <w:tcPr>
            <w:tcW w:type="dxa" w:w="706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Meaning</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NS-2</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nuclear sclerosis grade 2</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PCIOL</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posterior chamber intraocular lens</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PxF in ALC</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pseudoexfoliation on the anterior lens capsule</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RTL</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round, reacting to light</w:t>
            </w:r>
          </w:p>
        </w:tc>
      </w:tr>
    </w:tbl>
    <w:p>
      <w:pPr>
        <w:keepNext/>
        <w:keepLines/>
        <w:widowControl/>
        <w:tabs>
          <w:tab w:val="left" w:pos="227"/>
        </w:tabs>
        <w:spacing w:after="0" w:before="110"/>
        <w:ind w:left="227" w:hanging="227"/>
      </w:pPr>
      <w:r>
        <w:rPr>
          <w:b/>
          <w:bCs/>
          <w:color w:val="1F3864"/>
        </w:rPr>
        <w:t xml:space="preserve">Q</w:t>
      </w:r>
      <w:r>
        <w:tab/>
      </w:r>
      <w:r>
        <w:rPr>
          <w:b/>
          <w:bCs/>
        </w:rPr>
        <w:t xml:space="preserve">Why do you look at the iris before dilating?</w:t>
      </w:r>
    </w:p>
    <w:p>
      <w:pPr>
        <w:keepLines/>
        <w:widowControl/>
        <w:spacing w:after="40"/>
        <w:ind w:left="227"/>
      </w:pPr>
      <w:r>
        <w:rPr>
          <w:b/>
          <w:bCs/>
        </w:rPr>
        <w:t xml:space="preserve">Iris new vessels</w:t>
      </w:r>
      <w:r>
        <w:t xml:space="preserve"> are looked for at the pupillary margin, under high magnification, before the pupil is dilated. In vein occlusion they are an important sign that decides the management.</w:t>
      </w:r>
    </w:p>
    <w:p>
      <w:pPr>
        <w:keepNext/>
        <w:keepLines/>
        <w:widowControl/>
        <w:tabs>
          <w:tab w:val="left" w:pos="227"/>
        </w:tabs>
        <w:spacing w:after="0" w:before="50"/>
        <w:ind w:left="227" w:hanging="227"/>
      </w:pPr>
      <w:r>
        <w:rPr>
          <w:b/>
          <w:bCs/>
          <w:color w:val="1F3864"/>
        </w:rPr>
        <w:t xml:space="preserve">Q</w:t>
      </w:r>
      <w:r>
        <w:tab/>
      </w:r>
      <w:r>
        <w:rPr>
          <w:b/>
          <w:bCs/>
        </w:rPr>
        <w:t xml:space="preserve">Why check the pupils before dilating?</w:t>
      </w:r>
    </w:p>
    <w:p>
      <w:pPr>
        <w:keepLines/>
        <w:widowControl/>
        <w:spacing w:after="40"/>
        <w:ind w:left="227"/>
      </w:pPr>
      <w:r>
        <w:t xml:space="preserve">A </w:t>
      </w:r>
      <w:r>
        <w:rPr>
          <w:b/>
          <w:bCs/>
        </w:rPr>
        <w:t xml:space="preserve">relative afferent pupillary defect</w:t>
      </w:r>
      <w:r>
        <w:t xml:space="preserve"> is an ominous sign in vein occlusion. Look for it before the pupil is dilated.</w:t>
      </w:r>
    </w:p>
    <w:p>
      <w:pPr>
        <w:keepNext/>
        <w:keepLines/>
        <w:widowControl/>
        <w:tabs>
          <w:tab w:val="left" w:pos="227"/>
        </w:tabs>
        <w:spacing w:after="0" w:before="50"/>
        <w:ind w:left="227" w:hanging="227"/>
      </w:pPr>
      <w:r>
        <w:rPr>
          <w:b/>
          <w:bCs/>
          <w:color w:val="1F3864"/>
        </w:rPr>
        <w:t xml:space="preserve">Q</w:t>
      </w:r>
      <w:r>
        <w:tab/>
      </w:r>
      <w:r>
        <w:rPr>
          <w:b/>
          <w:bCs/>
        </w:rPr>
        <w:t xml:space="preserve">Why record the lens status?</w:t>
      </w:r>
    </w:p>
    <w:p>
      <w:pPr>
        <w:keepLines/>
        <w:widowControl/>
        <w:spacing w:after="40"/>
        <w:ind w:left="227"/>
      </w:pPr>
      <w:r>
        <w:t xml:space="preserve">The </w:t>
      </w:r>
      <w:r>
        <w:rPr>
          <w:b/>
          <w:bCs/>
        </w:rPr>
        <w:t xml:space="preserve">lens status</w:t>
      </w:r>
      <w:r>
        <w:t xml:space="preserve"> explains part of the vision loss. Every diagnosis line carries it: “NS-2” or “PCIOL”.</w:t>
      </w:r>
    </w:p>
    <w:p>
      <w:pPr>
        <w:keepNext/>
        <w:keepLines/>
        <w:widowControl/>
        <w:tabs>
          <w:tab w:val="left" w:pos="227"/>
        </w:tabs>
        <w:spacing w:after="0" w:before="50"/>
        <w:ind w:left="227" w:hanging="227"/>
      </w:pPr>
      <w:r>
        <w:rPr>
          <w:b/>
          <w:bCs/>
          <w:color w:val="1F3864"/>
        </w:rPr>
        <w:t xml:space="preserve">Q</w:t>
      </w:r>
      <w:r>
        <w:tab/>
      </w:r>
      <w:r>
        <w:rPr>
          <w:b/>
          <w:bCs/>
        </w:rPr>
        <w:t xml:space="preserve">Why note pseudoexfoliation in a fundus case?</w:t>
      </w:r>
    </w:p>
    <w:p>
      <w:pPr>
        <w:keepLines/>
        <w:widowControl/>
        <w:spacing w:after="40"/>
        <w:ind w:left="227"/>
      </w:pPr>
      <w:r>
        <w:rPr>
          <w:b/>
          <w:bCs/>
        </w:rPr>
        <w:t xml:space="preserve">Pseudoexfoliation</w:t>
      </w:r>
      <w:r>
        <w:t xml:space="preserve"> is linked with central retinal vein occlusion and glaucoma. It also means weak zonules if cataract surgery is needed later.</w:t>
      </w:r>
    </w:p>
    <w:p>
      <w:pPr>
        <w:pStyle w:val="Heading2"/>
        <w:widowControl/>
      </w:pPr>
      <w:r>
        <w:t xml:space="preserve">Fundus description — in this order</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422"/>
        <w:gridCol w:w="7670"/>
      </w:tblGrid>
      <w:tr>
        <w:trPr>
          <w:cantSplit/>
          <w:tblHeader/>
        </w:trPr>
        <w:tc>
          <w:tcPr>
            <w:tcW w:type="dxa" w:w="242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Step</w:t>
            </w:r>
          </w:p>
        </w:tc>
        <w:tc>
          <w:tcPr>
            <w:tcW w:type="dxa" w:w="767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Say it like this</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Red glow</w:t>
            </w:r>
          </w:p>
        </w:tc>
        <w:tc>
          <w:tcPr>
            <w:tcW w:type="dxa" w:w="7670"/>
            <w:tcMar>
              <w:top w:type="dxa" w:w="60"/>
              <w:left w:type="dxa" w:w="80"/>
              <w:bottom w:type="dxa" w:w="60"/>
              <w:right w:type="dxa" w:w="80"/>
            </w:tcMar>
            <w:vAlign w:val="top"/>
          </w:tcPr>
          <w:p>
            <w:pPr>
              <w:widowControl/>
              <w:spacing w:after="0" w:before="0" w:line="245" w:lineRule="auto"/>
            </w:pPr>
            <w:r>
              <w:rPr>
                <w:sz w:val="17"/>
                <w:szCs w:val="17"/>
              </w:rPr>
              <w:t xml:space="preserve">“On distant direct ophthalmoscopy at one arm’s distance, there is a good red glow.”</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Media</w:t>
            </w:r>
          </w:p>
        </w:tc>
        <w:tc>
          <w:tcPr>
            <w:tcW w:type="dxa" w:w="767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“Direct ophthalmoscopy close to the face reveals clear media” (or “hazy media due to lens changes”).</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Disc: size, shape, colour, margins, cup–disc ratio, rim</w:t>
            </w:r>
          </w:p>
        </w:tc>
        <w:tc>
          <w:tcPr>
            <w:tcW w:type="dxa" w:w="7670"/>
            <w:tcMar>
              <w:top w:type="dxa" w:w="60"/>
              <w:left w:type="dxa" w:w="80"/>
              <w:bottom w:type="dxa" w:w="60"/>
              <w:right w:type="dxa" w:w="80"/>
            </w:tcMar>
            <w:vAlign w:val="top"/>
          </w:tcPr>
          <w:p>
            <w:pPr>
              <w:widowControl/>
              <w:spacing w:after="0" w:before="0" w:line="245" w:lineRule="auto"/>
            </w:pPr>
            <w:r>
              <w:rPr>
                <w:sz w:val="17"/>
                <w:szCs w:val="17"/>
              </w:rPr>
              <w:t xml:space="preserve">“The disc is normal in size, vertically oval, pink, with well-defined margins, a cup–disc ratio of 0.3 and a healthy neuroretinal rim.”</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Vessels: origin, branching, arteriovenous (AV) ratio, calibre, crossings, sheathing</w:t>
            </w:r>
          </w:p>
        </w:tc>
        <w:tc>
          <w:tcPr>
            <w:tcW w:type="dxa" w:w="767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vessels arise from the centre of the disc, branching dichotomously, with an arteriovenous ratio of 2:3” (after the first branching); then attenuation, beading, AV crossings, sheathing.</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Background</w:t>
            </w:r>
          </w:p>
        </w:tc>
        <w:tc>
          <w:tcPr>
            <w:tcW w:type="dxa" w:w="7670"/>
            <w:tcMar>
              <w:top w:type="dxa" w:w="60"/>
              <w:left w:type="dxa" w:w="80"/>
              <w:bottom w:type="dxa" w:w="60"/>
              <w:right w:type="dxa" w:w="80"/>
            </w:tcMar>
            <w:vAlign w:val="top"/>
          </w:tcPr>
          <w:p>
            <w:pPr>
              <w:widowControl/>
              <w:spacing w:after="0" w:before="0" w:line="245" w:lineRule="auto"/>
            </w:pPr>
            <w:r>
              <w:rPr>
                <w:sz w:val="17"/>
                <w:szCs w:val="17"/>
              </w:rPr>
              <w:t xml:space="preserve">Each lesion: number, colour, shape, size in disc diameters, margins, location → “suggestive of …” (table below). Otherwise: “The background retina appears normal.”</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Macula</w:t>
            </w:r>
          </w:p>
        </w:tc>
        <w:tc>
          <w:tcPr>
            <w:tcW w:type="dxa" w:w="767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Foveal reflex present or absent; oedema; hard exudates (circinate pattern?); scar.</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Periphery</w:t>
            </w:r>
          </w:p>
        </w:tc>
        <w:tc>
          <w:tcPr>
            <w:tcW w:type="dxa" w:w="7670"/>
            <w:tcMar>
              <w:top w:type="dxa" w:w="60"/>
              <w:left w:type="dxa" w:w="80"/>
              <w:bottom w:type="dxa" w:w="60"/>
              <w:right w:type="dxa" w:w="80"/>
            </w:tcMar>
            <w:vAlign w:val="top"/>
          </w:tcPr>
          <w:p>
            <w:pPr>
              <w:widowControl/>
              <w:spacing w:after="0" w:before="0" w:line="245" w:lineRule="auto"/>
            </w:pPr>
            <w:r>
              <w:rPr>
                <w:sz w:val="17"/>
                <w:szCs w:val="17"/>
              </w:rPr>
              <w:t xml:space="preserve">“Indirect ophthalmoscopy with a 20 dioptre lens shows the peripheries to be normal.”</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Confirm</w:t>
            </w:r>
          </w:p>
        </w:tc>
        <w:tc>
          <w:tcPr>
            <w:tcW w:type="dxa" w:w="767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“On slit-lamp biomicroscopy with a plus 90 dioptre lens, the above findings were confirmed.”</w:t>
            </w:r>
          </w:p>
        </w:tc>
      </w:tr>
    </w:tbl>
    <w:p>
      <w:pPr>
        <w:widowControl/>
        <w:spacing w:before="110"/>
      </w:pPr>
      <w:r>
        <w:t xml:space="preserve">The diabetic retinopathy write-up follows this order as far as the macula, where it stops. The optic atrophy write-up puts the +90 dioptre confirmation before the periphery.</w:t>
      </w:r>
    </w:p>
    <w:p>
      <w:pPr>
        <w:pStyle w:val="Heading3"/>
        <w:widowControl/>
      </w:pPr>
      <w:r>
        <w:t xml:space="preserve">Describe each lesion, then name it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422"/>
        <w:gridCol w:w="7670"/>
      </w:tblGrid>
      <w:tr>
        <w:trPr>
          <w:cantSplit/>
          <w:tblHeader/>
        </w:trPr>
        <w:tc>
          <w:tcPr>
            <w:tcW w:type="dxa" w:w="242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Lesion</w:t>
            </w:r>
          </w:p>
        </w:tc>
        <w:tc>
          <w:tcPr>
            <w:tcW w:type="dxa" w:w="767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Say it like this</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Hard exudates</w:t>
            </w:r>
          </w:p>
        </w:tc>
        <w:tc>
          <w:tcPr>
            <w:tcW w:type="dxa" w:w="7670"/>
            <w:tcMar>
              <w:top w:type="dxa" w:w="60"/>
              <w:left w:type="dxa" w:w="80"/>
              <w:bottom w:type="dxa" w:w="60"/>
              <w:right w:type="dxa" w:w="80"/>
            </w:tcMar>
            <w:vAlign w:val="top"/>
          </w:tcPr>
          <w:p>
            <w:pPr>
              <w:widowControl/>
              <w:spacing w:after="0" w:before="0" w:line="245" w:lineRule="auto"/>
            </w:pPr>
            <w:r>
              <w:rPr>
                <w:sz w:val="17"/>
                <w:szCs w:val="17"/>
              </w:rPr>
              <w:t xml:space="preserve">“Yellowish, waxy lesions with distinct margins around the fovea, suggestive of hard exudates.”</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Dot and blot haemorrhages</w:t>
            </w:r>
          </w:p>
        </w:tc>
        <w:tc>
          <w:tcPr>
            <w:tcW w:type="dxa" w:w="767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“Red, pinhead-shaped lesions in all four quadrants, suggestive of dot and blot haemorrhages.”</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Flame-shaped haemorrhages</w:t>
            </w:r>
          </w:p>
        </w:tc>
        <w:tc>
          <w:tcPr>
            <w:tcW w:type="dxa" w:w="7670"/>
            <w:tcMar>
              <w:top w:type="dxa" w:w="60"/>
              <w:left w:type="dxa" w:w="80"/>
              <w:bottom w:type="dxa" w:w="60"/>
              <w:right w:type="dxa" w:w="80"/>
            </w:tcMar>
            <w:vAlign w:val="top"/>
          </w:tcPr>
          <w:p>
            <w:pPr>
              <w:widowControl/>
              <w:spacing w:after="0" w:before="0" w:line="245" w:lineRule="auto"/>
            </w:pPr>
            <w:r>
              <w:rPr>
                <w:sz w:val="17"/>
                <w:szCs w:val="17"/>
              </w:rPr>
              <w:t xml:space="preserve">“Multiple linear red lesions temporal to the disc, suggestive of flame-shaped superficial haemorrhages.”</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Cotton-wool spot</w:t>
            </w:r>
          </w:p>
        </w:tc>
        <w:tc>
          <w:tcPr>
            <w:tcW w:type="dxa" w:w="767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 yellowish, fluffy lesion with indistinct margins, suggestive of a cotton-wool spot.”</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New vessels on the disc</w:t>
            </w:r>
          </w:p>
        </w:tc>
        <w:tc>
          <w:tcPr>
            <w:tcW w:type="dxa" w:w="7670"/>
            <w:tcMar>
              <w:top w:type="dxa" w:w="60"/>
              <w:left w:type="dxa" w:w="80"/>
              <w:bottom w:type="dxa" w:w="60"/>
              <w:right w:type="dxa" w:w="80"/>
            </w:tcMar>
            <w:vAlign w:val="top"/>
          </w:tcPr>
          <w:p>
            <w:pPr>
              <w:widowControl/>
              <w:spacing w:after="0" w:before="0" w:line="245" w:lineRule="auto"/>
            </w:pPr>
            <w:r>
              <w:rPr>
                <w:sz w:val="17"/>
                <w:szCs w:val="17"/>
              </w:rPr>
              <w:t xml:space="preserve">“A fine, lacy frond of vessels on the disc, suggestive of neovascularisation of the disc.”</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New vessels elsewhere</w:t>
            </w:r>
          </w:p>
        </w:tc>
        <w:tc>
          <w:tcPr>
            <w:tcW w:type="dxa" w:w="767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 whitish fibrous band with tufts of vessels, 1 disc diameter inferonasal to the disc, suggestive of neovascularisation elsewhere.”</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Old laser marks</w:t>
            </w:r>
          </w:p>
        </w:tc>
        <w:tc>
          <w:tcPr>
            <w:tcW w:type="dxa" w:w="7670"/>
            <w:tcMar>
              <w:top w:type="dxa" w:w="60"/>
              <w:left w:type="dxa" w:w="80"/>
              <w:bottom w:type="dxa" w:w="60"/>
              <w:right w:type="dxa" w:w="80"/>
            </w:tcMar>
            <w:vAlign w:val="top"/>
          </w:tcPr>
          <w:p>
            <w:pPr>
              <w:widowControl/>
              <w:spacing w:after="0" w:before="0" w:line="245" w:lineRule="auto"/>
            </w:pPr>
            <w:r>
              <w:rPr>
                <w:sz w:val="17"/>
                <w:szCs w:val="17"/>
              </w:rPr>
              <w:t xml:space="preserve">“Atrophic, hypopigmented chorioretinal scars along the arcade, suggestive of old laser marks.”</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Pale disc (the department’s optic atrophy write-up)</w:t>
            </w:r>
          </w:p>
        </w:tc>
        <w:tc>
          <w:tcPr>
            <w:tcW w:type="dxa" w:w="767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disc is vertically oval, pale yellow and waxy in colour, with well-defined margins. Arteriolar attenuation is present.”</w:t>
            </w:r>
          </w:p>
        </w:tc>
      </w:tr>
    </w:tbl>
    <w:p>
      <w:pPr>
        <w:pStyle w:val="Heading3"/>
        <w:widowControl/>
      </w:pPr>
      <w:r>
        <w:t xml:space="preserve">Say it — a normal fundus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spacing w:after="0"/>
            </w:pPr>
            <w:r>
              <w:t xml:space="preserve">Fundus examination of the right eye. On distant direct ophthalmoscopy at one arm’s distance, there is a good red glow. Direct ophthalmoscopy close to the face reveals clear media. The disc is normal in size, vertically oval and pink, with well-defined margins. The cup–disc ratio is 0.3, with a healthy neuroretinal rim. The vessels arise from the centre of the disc and branch dichotomously. They maintain an arteriovenous ratio of 2 is to 3, with no attenuation, crossing changes or sheathing. The background retina is normal, with no haemorrhages, exudates or pigment. The macula is normal, and the foveal reflex is present. On indirect ophthalmoscopy with a 20 dioptre lens, the peripheries are normal. On slit-lamp biomicroscopy with a plus 90 dioptre lens, the above findings were confirmed. The left fundus is the same.</w:t>
            </w:r>
          </w:p>
        </w:tc>
      </w:tr>
    </w:tbl>
    <w:p>
      <w:pPr>
        <w:pStyle w:val="Heading3"/>
        <w:widowControl/>
      </w:pPr>
      <w:r>
        <w:t xml:space="preserve">Say it — an abnormal fundus (the department’s diabetic retinopathy write-up, with the last two steps added)</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spacing w:after="0"/>
            </w:pPr>
            <w:r>
              <w:t xml:space="preserve">Fundus examination of the right eye. On distant direct ophthalmoscopy at one arm’s distance, there is a good red glow. Direct ophthalmoscopy close to the face reveals clear media. The disc is normal in size, vertically oval and pink, with well-defined margins. The cup–disc ratio is 0.3, with a healthy neuroretinal rim. The vessels arise from the centre of the disc and branch dichotomously. They maintain an arteriovenous ratio of 2 is to 3. Multiple yellowish lesions with distinct margins lie inferior to the disc and around the macula, suggestive of hard exudates. Multiple pinhead red lesions are seen in all four quadrants, suggestive of dot and blot haemorrhages. Multiple linear red lesions lie temporal to the disc, suggestive of flame-shaped superficial haemorrhages. Large, fluffy, yellow lesions lie in the superotemporal and superonasal quadrants, suggestive of cotton-wool spots. The macula shows oedema. On indirect ophthalmoscopy with a 20 dioptre lens, the peripheries are normal. On slit-lamp biomicroscopy with a plus 90 dioptre lens, the above findings were confirmed.</w:t>
            </w:r>
          </w:p>
        </w:tc>
      </w:tr>
    </w:tbl>
    <w:p>
      <w:pPr>
        <w:widowControl/>
        <w:spacing w:before="110"/>
      </w:pPr>
      <w:r>
        <w:t xml:space="preserve">Then give the diagnosis line with its grade, the macular status and the lens status. The grading is on card R14.</w:t>
      </w:r>
    </w:p>
    <w:p>
      <w:pPr>
        <w:pStyle w:val="Heading3"/>
        <w:widowControl/>
      </w:pPr>
      <w:r>
        <w:t xml:space="preserve">Viva on the description</w:t>
      </w:r>
    </w:p>
    <w:p>
      <w:pPr>
        <w:keepNext/>
        <w:keepLines/>
        <w:widowControl/>
        <w:tabs>
          <w:tab w:val="left" w:pos="227"/>
        </w:tabs>
        <w:spacing w:after="0" w:before="50"/>
        <w:ind w:left="227" w:hanging="227"/>
      </w:pPr>
      <w:r>
        <w:rPr>
          <w:b/>
          <w:bCs/>
          <w:color w:val="1F3864"/>
        </w:rPr>
        <w:t xml:space="preserve">Q</w:t>
      </w:r>
      <w:r>
        <w:tab/>
      </w:r>
      <w:r>
        <w:rPr>
          <w:b/>
          <w:bCs/>
        </w:rPr>
        <w:t xml:space="preserve">What does distant direct ophthalmoscopy show?</w:t>
      </w:r>
    </w:p>
    <w:p>
      <w:pPr>
        <w:keepLines/>
        <w:widowControl/>
        <w:spacing w:after="40"/>
        <w:ind w:left="227"/>
      </w:pPr>
      <w:r>
        <w:rPr>
          <w:b/>
          <w:bCs/>
        </w:rPr>
        <w:t xml:space="preserve">Distant direct ophthalmoscopy</w:t>
      </w:r>
      <w:r>
        <w:t xml:space="preserve">, at one arm’s distance, shows opacities in the media against the red glow. A greyish reflex suggests retinal detachment and a black reflex vitreous haemorrhage. A white reflex is leukocoria.</w:t>
      </w:r>
    </w:p>
    <w:p>
      <w:pPr>
        <w:keepNext/>
        <w:keepLines/>
        <w:widowControl/>
        <w:tabs>
          <w:tab w:val="left" w:pos="227"/>
        </w:tabs>
        <w:spacing w:after="0" w:before="50"/>
        <w:ind w:left="227" w:hanging="227"/>
      </w:pPr>
      <w:r>
        <w:rPr>
          <w:b/>
          <w:bCs/>
          <w:color w:val="1F3864"/>
        </w:rPr>
        <w:t xml:space="preserve">Q</w:t>
      </w:r>
      <w:r>
        <w:tab/>
      </w:r>
      <w:r>
        <w:rPr>
          <w:b/>
          <w:bCs/>
        </w:rPr>
        <w:t xml:space="preserve">Where do you judge the arteriovenous ratio, and what is normal?</w:t>
      </w:r>
    </w:p>
    <w:p>
      <w:pPr>
        <w:keepLines/>
        <w:widowControl/>
        <w:spacing w:after="40"/>
        <w:ind w:left="227"/>
      </w:pPr>
      <w:r>
        <w:rPr>
          <w:b/>
          <w:bCs/>
        </w:rPr>
        <w:t xml:space="preserve">The arteriovenous ratio</w:t>
      </w:r>
      <w:r>
        <w:t xml:space="preserve"> is judged after the first branching of the vessels. The normal ratio is 2:3.</w:t>
      </w:r>
    </w:p>
    <w:p>
      <w:pPr>
        <w:keepNext/>
        <w:keepLines/>
        <w:widowControl/>
        <w:tabs>
          <w:tab w:val="left" w:pos="227"/>
        </w:tabs>
        <w:spacing w:after="0" w:before="50"/>
        <w:ind w:left="227" w:hanging="227"/>
      </w:pPr>
      <w:r>
        <w:rPr>
          <w:b/>
          <w:bCs/>
          <w:color w:val="1F3864"/>
        </w:rPr>
        <w:t xml:space="preserve">Q</w:t>
      </w:r>
      <w:r>
        <w:tab/>
      </w:r>
      <w:r>
        <w:rPr>
          <w:b/>
          <w:bCs/>
        </w:rPr>
        <w:t xml:space="preserve">Why are superficial haemorrhages flame-shaped and deeper ones dot-shaped?</w:t>
      </w:r>
    </w:p>
    <w:p>
      <w:pPr>
        <w:keepLines/>
        <w:widowControl/>
        <w:spacing w:after="40"/>
        <w:ind w:left="227"/>
      </w:pPr>
      <w:r>
        <w:rPr>
          <w:b/>
          <w:bCs/>
        </w:rPr>
        <w:t xml:space="preserve">Flame-shaped haemorrhages</w:t>
      </w:r>
      <w:r>
        <w:t xml:space="preserve"> lie in the nerve fibre layer and follow its architecture; they come from the superficial precapillary arterioles. </w:t>
      </w:r>
      <w:r>
        <w:rPr>
          <w:b/>
          <w:bCs/>
        </w:rPr>
        <w:t xml:space="preserve">Dot haemorrhages</w:t>
      </w:r>
      <w:r>
        <w:t xml:space="preserve"> lie in the inner retina, whose structures run perpendicular to the retinal surface.</w:t>
      </w:r>
    </w:p>
    <w:p>
      <w:pPr>
        <w:keepNext/>
        <w:keepLines/>
        <w:widowControl/>
        <w:tabs>
          <w:tab w:val="left" w:pos="227"/>
        </w:tabs>
        <w:spacing w:after="0" w:before="50"/>
        <w:ind w:left="227" w:hanging="227"/>
      </w:pPr>
      <w:r>
        <w:rPr>
          <w:b/>
          <w:bCs/>
          <w:color w:val="1F3864"/>
        </w:rPr>
        <w:t xml:space="preserve">Q</w:t>
      </w:r>
      <w:r>
        <w:tab/>
      </w:r>
      <w:r>
        <w:rPr>
          <w:b/>
          <w:bCs/>
        </w:rPr>
        <w:t xml:space="preserve">What is a cotton-wool spot?</w:t>
      </w:r>
    </w:p>
    <w:p>
      <w:pPr>
        <w:keepLines/>
        <w:widowControl/>
        <w:spacing w:after="40"/>
        <w:ind w:left="227"/>
      </w:pPr>
      <w:r>
        <w:rPr>
          <w:b/>
          <w:bCs/>
        </w:rPr>
        <w:t xml:space="preserve">Cotton-wool spots</w:t>
      </w:r>
      <w:r>
        <w:t xml:space="preserve"> are ischaemic infarcts of the nerve fibre layer. Axoplasmic flow is interrupted, so transported material builds up in the axons.</w:t>
      </w:r>
    </w:p>
    <w:p>
      <w:pPr>
        <w:keepNext/>
        <w:keepLines/>
        <w:widowControl/>
        <w:tabs>
          <w:tab w:val="left" w:pos="227"/>
        </w:tabs>
        <w:spacing w:after="0" w:before="50"/>
        <w:ind w:left="227" w:hanging="227"/>
      </w:pPr>
      <w:r>
        <w:rPr>
          <w:b/>
          <w:bCs/>
          <w:color w:val="1F3864"/>
        </w:rPr>
        <w:t xml:space="preserve">Q</w:t>
      </w:r>
      <w:r>
        <w:tab/>
      </w:r>
      <w:r>
        <w:rPr>
          <w:b/>
          <w:bCs/>
        </w:rPr>
        <w:t xml:space="preserve">Why use both the direct and the indirect ophthalmoscope?</w:t>
      </w:r>
    </w:p>
    <w:p>
      <w:pPr>
        <w:keepLines/>
        <w:widowControl/>
        <w:spacing w:after="40"/>
        <w:ind w:left="227"/>
      </w:pPr>
      <w:r>
        <w:t xml:space="preserve">The </w:t>
      </w:r>
      <w:r>
        <w:rPr>
          <w:b/>
          <w:bCs/>
        </w:rPr>
        <w:t xml:space="preserve">direct ophthalmoscope</w:t>
      </w:r>
      <w:r>
        <w:t xml:space="preserve"> gives a 15 times magnified, erect image of a 10–15° field, up to the equator. The </w:t>
      </w:r>
      <w:r>
        <w:rPr>
          <w:b/>
          <w:bCs/>
        </w:rPr>
        <w:t xml:space="preserve">indirect ophthalmoscope</w:t>
      </w:r>
      <w:r>
        <w:t xml:space="preserve"> gives a stereoscopic view of a 35° field, out to the ora serrata. It sees better through hazy media.</w:t>
      </w:r>
    </w:p>
    <w:p>
      <w:pPr>
        <w:keepNext/>
        <w:keepLines/>
        <w:widowControl/>
        <w:tabs>
          <w:tab w:val="left" w:pos="227"/>
        </w:tabs>
        <w:spacing w:after="0" w:before="50"/>
        <w:ind w:left="227" w:hanging="227"/>
      </w:pPr>
      <w:r>
        <w:rPr>
          <w:b/>
          <w:bCs/>
          <w:color w:val="1F3864"/>
        </w:rPr>
        <w:t xml:space="preserve">Q</w:t>
      </w:r>
      <w:r>
        <w:tab/>
      </w:r>
      <w:r>
        <w:rPr>
          <w:b/>
          <w:bCs/>
        </w:rPr>
        <w:t xml:space="preserve">Why confirm with the +90 dioptre lens?</w:t>
      </w:r>
    </w:p>
    <w:p>
      <w:pPr>
        <w:keepLines/>
        <w:widowControl/>
        <w:spacing w:after="40"/>
        <w:ind w:left="227"/>
      </w:pPr>
      <w:r>
        <w:rPr>
          <w:b/>
          <w:bCs/>
        </w:rPr>
        <w:t xml:space="preserve">Slit-lamp biomicroscopy with a +90 dioptre (D) lens</w:t>
      </w:r>
      <w:r>
        <w:t xml:space="preserve"> is the best way to examine the disc and nerve fibre layer. It is done through a dilated pupil.</w:t>
      </w:r>
    </w:p>
    <w:p>
      <w:pPr>
        <w:pStyle w:val="Heading2"/>
        <w:widowControl/>
      </w:pPr>
      <w:r>
        <w:t xml:space="preserve">What to draw — Kanski’s colour code</w:t>
      </w:r>
    </w:p>
    <w:p>
      <w:pPr>
        <w:widowControl/>
      </w:pPr>
      <w:r>
        <w:t xml:space="preserve">Two circles side by side, the right eye on the left. Write “RE” and “LE” above them (the department’s circles are never labelled). Draw the disc on the nasal side, with the cup–disc ratio beside it. Every lesion gets a label and a pointer. Carry coloured pencils: red, blue, green, yellow, brown and black, and an eraser.</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615"/>
        <w:gridCol w:w="3431"/>
        <w:gridCol w:w="5046"/>
      </w:tblGrid>
      <w:tr>
        <w:trPr>
          <w:cantSplit/>
          <w:tblHeader/>
        </w:trPr>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Colour</w:t>
            </w:r>
          </w:p>
        </w:tc>
        <w:tc>
          <w:tcPr>
            <w:tcW w:type="dxa" w:w="343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Standard code — draw this</w:t>
            </w:r>
          </w:p>
        </w:tc>
        <w:tc>
          <w:tcPr>
            <w:tcW w:type="dxa" w:w="504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your department’s sheets actually use</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Red</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Flat (attached) retina and haemorrhages</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Haemorrhages of every kind; new vessels; one writer’s fundus outline</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Blue</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Detached retina; retinal vessels (usually veins)</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Disc outline; vessels, arteries and veins alike; labels and pointers</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Red with a blue outline</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Retinal breaks</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Not used (no detachment last year)</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Black</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Pigment</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Bony spicules, macular pigment, laser marks</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Yellow</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Exudates</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Hard exudates; also disciform scar, sclerosed vessels, coloboma, macular flecks</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Green</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Vitreous opacities</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Vitreous haemorrhage, fibrovascular proliferation, epiretinal membrane</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Orange</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Not in the code</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Drusen</w:t>
            </w:r>
          </w:p>
        </w:tc>
      </w:tr>
    </w:tbl>
    <w:p>
      <w:pPr>
        <w:keepNext/>
        <w:widowControl/>
        <w:spacing w:before="110"/>
      </w:pPr>
      <w:r>
        <w:rPr>
          <w:b/>
          <w:bCs/>
        </w:rPr>
        <w:t xml:space="preserve">Your books add:</w:t>
      </w:r>
    </w:p>
    <w:p>
      <w:pPr>
        <w:pStyle w:val="ListParagraph"/>
        <w:keepLines/>
        <w:widowControl/>
        <w:numPr>
          <w:ilvl w:val="0"/>
          <w:numId w:val="2"/>
        </w:numPr>
        <w:spacing w:after="30"/>
      </w:pPr>
      <w:r>
        <w:t xml:space="preserve">arteries red, veins blue;</w:t>
      </w:r>
    </w:p>
    <w:p>
      <w:pPr>
        <w:pStyle w:val="ListParagraph"/>
        <w:keepLines/>
        <w:widowControl/>
        <w:numPr>
          <w:ilvl w:val="0"/>
          <w:numId w:val="2"/>
        </w:numPr>
        <w:spacing w:after="30"/>
      </w:pPr>
      <w:r>
        <w:t xml:space="preserve">the flap of a retinal tear blue;</w:t>
      </w:r>
    </w:p>
    <w:p>
      <w:pPr>
        <w:pStyle w:val="ListParagraph"/>
        <w:keepLines/>
        <w:widowControl/>
        <w:numPr>
          <w:ilvl w:val="0"/>
          <w:numId w:val="2"/>
        </w:numPr>
        <w:spacing w:after="30"/>
      </w:pPr>
      <w:r>
        <w:t xml:space="preserve">thinned retina in red hatches outlined in blue; lattice degeneration in blue hatches outlined in blue;</w:t>
      </w:r>
    </w:p>
    <w:p>
      <w:pPr>
        <w:pStyle w:val="ListParagraph"/>
        <w:keepLines/>
        <w:widowControl/>
        <w:numPr>
          <w:ilvl w:val="0"/>
          <w:numId w:val="2"/>
        </w:numPr>
        <w:spacing w:after="30"/>
      </w:pPr>
      <w:r>
        <w:t xml:space="preserve">drusen and chorioretinal coloboma yellow;</w:t>
      </w:r>
    </w:p>
    <w:p>
      <w:pPr>
        <w:pStyle w:val="ListParagraph"/>
        <w:keepLines/>
        <w:widowControl/>
        <w:numPr>
          <w:ilvl w:val="0"/>
          <w:numId w:val="2"/>
        </w:numPr>
        <w:spacing w:after="30"/>
      </w:pPr>
      <w:r>
        <w:t xml:space="preserve">sclerosed vessels black;</w:t>
      </w:r>
    </w:p>
    <w:p>
      <w:pPr>
        <w:pStyle w:val="ListParagraph"/>
        <w:keepLines/>
        <w:widowControl/>
        <w:numPr>
          <w:ilvl w:val="0"/>
          <w:numId w:val="2"/>
        </w:numPr>
        <w:spacing w:after="30"/>
      </w:pPr>
      <w:r>
        <w:t xml:space="preserve">silicone oil and gas green;</w:t>
      </w:r>
    </w:p>
    <w:p>
      <w:pPr>
        <w:pStyle w:val="ListParagraph"/>
        <w:keepLines/>
        <w:widowControl/>
        <w:numPr>
          <w:ilvl w:val="0"/>
          <w:numId w:val="2"/>
        </w:numPr>
        <w:spacing w:after="60"/>
      </w:pPr>
      <w:r>
        <w:t xml:space="preserve">choroidal lesions brown.</w:t>
      </w:r>
    </w:p>
    <w:p>
      <w:pPr>
        <w:widowControl/>
      </w:pPr>
      <w:r>
        <w:t xml:space="preserve">Where the department differs, use the standard colour and label it.</w:t>
      </w:r>
    </w:p>
    <w:p>
      <w:pPr>
        <w:pStyle w:val="Heading2"/>
        <w:widowControl/>
      </w:pPr>
      <w:r>
        <w:t xml:space="preserve">History to ask, if the examiner allows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633"/>
        <w:gridCol w:w="6459"/>
      </w:tblGrid>
      <w:tr>
        <w:trPr>
          <w:cantSplit/>
          <w:tblHeader/>
        </w:trPr>
        <w:tc>
          <w:tcPr>
            <w:tcW w:type="dxa" w:w="363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Question</w:t>
            </w:r>
          </w:p>
        </w:tc>
        <w:tc>
          <w:tcPr>
            <w:tcW w:type="dxa" w:w="645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 — what it rules in or out</w:t>
            </w:r>
          </w:p>
        </w:tc>
      </w:tr>
      <w:tr>
        <w:trPr>
          <w:cantSplit/>
        </w:trPr>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Diabetes: since when, and how well controlled?</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The duration of diabetes is the strongest predictor of retinopathy: about 25% at 5 years, 60% at 10 years and 90% at 15 years. Poor control raises the risk</w:t>
            </w:r>
          </w:p>
        </w:tc>
      </w:tr>
      <w:tr>
        <w:trPr>
          <w:cantSplit/>
        </w:trPr>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Hypertension, raised lipids, kidney disease, anaemia?</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They aggravate diabetic retinopathy. Hypertension, diabetes, smoking and raised lipids are also risk factors for vein occlusion</w:t>
            </w:r>
          </w:p>
        </w:tc>
      </w:tr>
      <w:tr>
        <w:trPr>
          <w:cantSplit/>
        </w:trPr>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Laser or injections in this eye before? How many?</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The treatment so far explains laser scars and guides the next step</w:t>
            </w:r>
          </w:p>
        </w:tc>
      </w:tr>
      <w:tr>
        <w:trPr>
          <w:cantSplit/>
        </w:trPr>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Night blindness since childhood? Any relative affected?</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Night blindness is the earliest and hallmark symptom of retinitis pigmentosa. Draw a pedigree chart, and note consanguinity as the department’s sheets do</w:t>
            </w:r>
          </w:p>
        </w:tc>
      </w:tr>
      <w:tr>
        <w:trPr>
          <w:cantSplit/>
        </w:trPr>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Chloroquine or phenothiazine (thioridazine) tablets?</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Drug toxicity can mimic retinitis pigmentosa</w:t>
            </w:r>
          </w:p>
        </w:tc>
      </w:tr>
      <w:tr>
        <w:trPr>
          <w:cantSplit/>
        </w:trPr>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Any similar symptoms in the other eye?</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other eye may be affected too</w:t>
            </w:r>
          </w:p>
        </w:tc>
      </w:tr>
    </w:tbl>
    <w:p>
      <w:pPr>
        <w:pStyle w:val="Heading2"/>
        <w:widowControl/>
      </w:pPr>
      <w:r>
        <w:t xml:space="preserve">Complete diagnosis</w:t>
      </w:r>
    </w:p>
    <w:p>
      <w:pPr>
        <w:pStyle w:val="ListParagraph"/>
        <w:keepLines/>
        <w:widowControl/>
        <w:numPr>
          <w:ilvl w:val="0"/>
          <w:numId w:val="2"/>
        </w:numPr>
        <w:spacing w:after="30"/>
      </w:pPr>
      <w:r>
        <w:rPr>
          <w:b/>
          <w:bCs/>
        </w:rPr>
        <w:t xml:space="preserve">Write “Diagnosis:”</w:t>
      </w:r>
      <w:r>
        <w:t xml:space="preserve"> with one line per eye and condition. Add the lens status and the grade, which the department’s sheets leave out.</w:t>
      </w:r>
    </w:p>
    <w:p>
      <w:pPr>
        <w:pStyle w:val="ListParagraph"/>
        <w:keepLines/>
        <w:widowControl/>
        <w:numPr>
          <w:ilvl w:val="0"/>
          <w:numId w:val="2"/>
        </w:numPr>
        <w:spacing w:after="60"/>
      </w:pPr>
      <w:r>
        <w:rPr>
          <w:b/>
          <w:bCs/>
        </w:rPr>
        <w:t xml:space="preserve">Example:</w:t>
      </w:r>
      <w:r>
        <w:t xml:space="preserve"> “Right eye high-risk proliferative diabetic retinopathy with clinically significant macular oedema · right eye pseudophakia”.</w:t>
      </w:r>
    </w:p>
    <w:p>
      <w:pPr>
        <w:pStyle w:val="Heading2"/>
        <w:widowControl/>
      </w:pPr>
      <w:r>
        <w:t xml:space="preserve">Differentials</w:t>
      </w:r>
    </w:p>
    <w:p>
      <w:pPr>
        <w:widowControl/>
      </w:pPr>
      <w:r>
        <w:rPr>
          <w:b/>
          <w:bCs/>
        </w:rPr>
        <w:t xml:space="preserve">Method:</w:t>
      </w:r>
      <w:r>
        <w:t xml:space="preserve"> a table of Condition · How to tell apart, 2–4 rows, the most likely first. The last column names a sign you can show or a test result.</w:t>
      </w:r>
    </w:p>
    <w:p>
      <w:pPr>
        <w:keepNext/>
        <w:widowControl/>
      </w:pPr>
      <w:r>
        <w:rPr>
          <w:b/>
          <w:bCs/>
        </w:rPr>
        <w:t xml:space="preserve">Worked example — haemorrhages and hard exudates in one fundus: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028"/>
        <w:gridCol w:w="7064"/>
      </w:tblGrid>
      <w:tr>
        <w:trPr>
          <w:cantSplit/>
          <w:tblHeader/>
        </w:trPr>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Condition</w:t>
            </w:r>
          </w:p>
        </w:tc>
        <w:tc>
          <w:tcPr>
            <w:tcW w:type="dxa" w:w="706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How to tell apart</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Diabetic retinopathy</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Microaneurysms, the earliest sign, with dot and blot haemorrhages and hard exudates; a history of diabetes</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Central retinal vein occlusion</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Flame and blot haemorrhages in all four quadrants, with dilated, tortuous veins: the “blood and thunder” appearance</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Hypertensive retinopathy</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Arteriolar narrowing and arteriovenous crossing changes come first; haemorrhages and cotton-wool spots come later</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Drusen, mistaken for hard exudates</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Round or oval, whitish or yellowish, with punched-out areas of choroidal or pigment epithelial atrophy. Hard exudates are waxy yellow, with distinct margins, among microaneurysms and haemorrhages</w:t>
            </w:r>
          </w:p>
        </w:tc>
      </w:tr>
    </w:tbl>
    <w:p>
      <w:pPr>
        <w:pStyle w:val="Heading2"/>
        <w:widowControl/>
      </w:pPr>
      <w:r>
        <w:t xml:space="preserve">How I will proceed</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624"/>
        <w:gridCol w:w="4037"/>
        <w:gridCol w:w="3431"/>
      </w:tblGrid>
      <w:tr>
        <w:trPr>
          <w:cantSplit/>
          <w:tblHeader/>
        </w:trPr>
        <w:tc>
          <w:tcPr>
            <w:tcW w:type="dxa" w:w="262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Test</w:t>
            </w:r>
          </w:p>
        </w:tc>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it shows</w:t>
            </w:r>
          </w:p>
        </w:tc>
        <w:tc>
          <w:tcPr>
            <w:tcW w:type="dxa" w:w="343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Significance</w:t>
            </w:r>
          </w:p>
        </w:tc>
      </w:tr>
      <w:tr>
        <w:trPr>
          <w:cantSplit/>
        </w:trPr>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Macular optical coherence tomography (OCT)</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Retinal thickening, with cystic spaces in the inner nuclear and outer plexiform layers in diabetic macular oedema</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Whether the oedema involves the central 1 mm subfield</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 fluorescein angiography (FFA)</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Diabetic retinopathy: macular ischaemia; new vessels told apart from intraretinal microvascular abnormalities. Vein occlusion: the extent of capillary non-perfusion</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Done after the acute haemorrhages settle in vein occlusion; shows conversion to the ischaemic type</w:t>
            </w:r>
          </w:p>
        </w:tc>
      </w:tr>
      <w:tr>
        <w:trPr>
          <w:cantSplit/>
        </w:trPr>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B-scan ultrasonography</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The retina behind hazy media, such as dense vitreous haemorrhage</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Whether the retina is attached or detached; traction</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Systemic work-up</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Complete blood count, fasting and postprandial blood sugar, glycated haemoglobin, lipid profile, urea and creatinine, electrocardiogram</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basic tests in vitreous haemorrhage; diabetes control</w:t>
            </w:r>
          </w:p>
        </w:tc>
      </w:tr>
    </w:tbl>
    <w:p>
      <w:pPr>
        <w:pStyle w:val="Heading2"/>
        <w:widowControl/>
      </w:pPr>
      <w:r>
        <w:t xml:space="preserve">How I will manage</w:t>
      </w:r>
    </w:p>
    <w:p>
      <w:pPr>
        <w:pStyle w:val="ListParagraph"/>
        <w:keepLines/>
        <w:widowControl/>
        <w:numPr>
          <w:ilvl w:val="0"/>
          <w:numId w:val="2"/>
        </w:numPr>
        <w:spacing w:after="30"/>
      </w:pPr>
      <w:r>
        <w:rPr>
          <w:b/>
          <w:bCs/>
        </w:rPr>
        <w:t xml:space="preserve">Plan</w:t>
      </w:r>
      <w:r>
        <w:t xml:space="preserve">: the eye, then the treatment. Examples: “(BE, both eyes) panretinal photocoagulation (PRP)”, “LE sectoral PRP”. Or “LE intravitreal bevacizumab, 3 doses”, written “Inj Avastin”.</w:t>
      </w:r>
    </w:p>
    <w:p>
      <w:pPr>
        <w:pStyle w:val="ListParagraph"/>
        <w:keepLines/>
        <w:widowControl/>
        <w:numPr>
          <w:ilvl w:val="0"/>
          <w:numId w:val="2"/>
        </w:numPr>
        <w:spacing w:after="60"/>
      </w:pPr>
      <w:r>
        <w:rPr>
          <w:b/>
          <w:bCs/>
        </w:rPr>
        <w:t xml:space="preserve">Management</w:t>
      </w:r>
      <w:r>
        <w:t xml:space="preserve">: say the ladder in the first person, as on card A (ask 5). The drug, laser and surgery profiles are on card RX.</w:t>
      </w:r>
    </w:p>
    <w:p>
      <w:pPr>
        <w:pStyle w:val="Heading2"/>
        <w:widowControl/>
      </w:pPr>
      <w:r>
        <w:t xml:space="preserve">Common fundus-description mistakes</w:t>
      </w:r>
    </w:p>
    <w:p>
      <w:pPr>
        <w:pStyle w:val="ListParagraph"/>
        <w:keepLines/>
        <w:widowControl/>
        <w:numPr>
          <w:ilvl w:val="0"/>
          <w:numId w:val="2"/>
        </w:numPr>
        <w:spacing w:after="30"/>
      </w:pPr>
      <w:r>
        <w:t xml:space="preserve">Naming a lesion without describing it (colour, shape, size, margins, number, location, then “suggestive of”).</w:t>
      </w:r>
    </w:p>
    <w:p>
      <w:pPr>
        <w:pStyle w:val="ListParagraph"/>
        <w:keepLines/>
        <w:widowControl/>
        <w:numPr>
          <w:ilvl w:val="0"/>
          <w:numId w:val="2"/>
        </w:numPr>
        <w:spacing w:after="30"/>
      </w:pPr>
      <w:r>
        <w:t xml:space="preserve">Skipping the red glow and the media; a cup–disc ratio without the rim; no AV ratio.</w:t>
      </w:r>
    </w:p>
    <w:p>
      <w:pPr>
        <w:pStyle w:val="ListParagraph"/>
        <w:keepLines/>
        <w:widowControl/>
        <w:numPr>
          <w:ilvl w:val="0"/>
          <w:numId w:val="2"/>
        </w:numPr>
        <w:spacing w:after="30"/>
      </w:pPr>
      <w:r>
        <w:t xml:space="preserve">“Macula normal” without the foveal reflex; no periphery; no 90 dioptre confirmation.</w:t>
      </w:r>
    </w:p>
    <w:p>
      <w:pPr>
        <w:pStyle w:val="ListParagraph"/>
        <w:keepLines/>
        <w:widowControl/>
        <w:numPr>
          <w:ilvl w:val="0"/>
          <w:numId w:val="2"/>
        </w:numPr>
        <w:spacing w:after="30"/>
      </w:pPr>
      <w:r>
        <w:t xml:space="preserve">Pupil and iris checked after dilating, so an RAPD or iris new vessels are missed.</w:t>
      </w:r>
    </w:p>
    <w:p>
      <w:pPr>
        <w:pStyle w:val="ListParagraph"/>
        <w:keepLines/>
        <w:widowControl/>
        <w:numPr>
          <w:ilvl w:val="0"/>
          <w:numId w:val="2"/>
        </w:numPr>
        <w:spacing w:after="30"/>
      </w:pPr>
      <w:r>
        <w:t xml:space="preserve">A diagnosis without its grade, stage or lens status.</w:t>
      </w:r>
    </w:p>
    <w:p>
      <w:pPr>
        <w:pStyle w:val="ListParagraph"/>
        <w:keepLines/>
        <w:widowControl/>
        <w:numPr>
          <w:ilvl w:val="0"/>
          <w:numId w:val="2"/>
        </w:numPr>
        <w:spacing w:after="60"/>
      </w:pPr>
      <w:r>
        <w:t xml:space="preserve">Unlabelled circles, eyes swapped; abbreviations aloud (“NVE” for new vessels elsewhere).</w:t>
      </w:r>
    </w:p>
    <w:p>
      <w:pPr>
        <w:pStyle w:val="Heading2"/>
        <w:widowControl/>
      </w:pPr>
      <w:r>
        <w:t xml:space="preserve">Quick recall</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2"/>
              </w:numPr>
              <w:spacing w:after="30"/>
            </w:pPr>
            <w:r>
              <w:rPr>
                <w:b/>
                <w:bCs/>
              </w:rPr>
              <w:t xml:space="preserve">Order:</w:t>
            </w:r>
            <w:r>
              <w:t xml:space="preserve"> red glow → media → disc → vessels → background → macula → periphery → +90 dioptre confirmation.</w:t>
            </w:r>
          </w:p>
          <w:p>
            <w:pPr>
              <w:pStyle w:val="ListParagraph"/>
              <w:keepNext/>
              <w:keepLines/>
              <w:widowControl/>
              <w:numPr>
                <w:ilvl w:val="0"/>
                <w:numId w:val="2"/>
              </w:numPr>
              <w:spacing w:after="30"/>
            </w:pPr>
            <w:r>
              <w:rPr>
                <w:b/>
                <w:bCs/>
              </w:rPr>
              <w:t xml:space="preserve">Each lesion:</w:t>
            </w:r>
            <w:r>
              <w:t xml:space="preserve"> number, colour, shape, size in disc diameters, margins, location → “suggestive of …”.</w:t>
            </w:r>
          </w:p>
          <w:p>
            <w:pPr>
              <w:pStyle w:val="ListParagraph"/>
              <w:keepNext/>
              <w:keepLines/>
              <w:widowControl/>
              <w:numPr>
                <w:ilvl w:val="0"/>
                <w:numId w:val="2"/>
              </w:numPr>
              <w:spacing w:after="30"/>
            </w:pPr>
            <w:r>
              <w:rPr>
                <w:b/>
                <w:bCs/>
              </w:rPr>
              <w:t xml:space="preserve">Before dilating:</w:t>
            </w:r>
            <w:r>
              <w:t xml:space="preserve"> iris new vessels, lens status, pseudoexfoliation, relative afferent pupillary defect.</w:t>
            </w:r>
          </w:p>
          <w:p>
            <w:pPr>
              <w:pStyle w:val="ListParagraph"/>
              <w:keepNext/>
              <w:keepLines/>
              <w:widowControl/>
              <w:numPr>
                <w:ilvl w:val="0"/>
                <w:numId w:val="2"/>
              </w:numPr>
              <w:spacing w:after="30"/>
            </w:pPr>
            <w:r>
              <w:rPr>
                <w:b/>
                <w:bCs/>
              </w:rPr>
              <w:t xml:space="preserve">Arteriovenous ratio:</w:t>
            </w:r>
            <w:r>
              <w:t xml:space="preserve"> 2:3, judged after the first branching.</w:t>
            </w:r>
          </w:p>
          <w:p>
            <w:pPr>
              <w:pStyle w:val="ListParagraph"/>
              <w:keepNext/>
              <w:keepLines/>
              <w:widowControl/>
              <w:numPr>
                <w:ilvl w:val="0"/>
                <w:numId w:val="2"/>
              </w:numPr>
              <w:spacing w:after="30"/>
            </w:pPr>
            <w:r>
              <w:rPr>
                <w:b/>
                <w:bCs/>
              </w:rPr>
              <w:t xml:space="preserve">Draw in red</w:t>
            </w:r>
            <w:r>
              <w:t xml:space="preserve"> the attached retina and haemorrhages; </w:t>
            </w:r>
            <w:r>
              <w:rPr>
                <w:b/>
                <w:bCs/>
              </w:rPr>
              <w:t xml:space="preserve">in blue</w:t>
            </w:r>
            <w:r>
              <w:t xml:space="preserve"> the detached retina and veins.</w:t>
            </w:r>
          </w:p>
          <w:p>
            <w:pPr>
              <w:pStyle w:val="ListParagraph"/>
              <w:keepNext/>
              <w:keepLines/>
              <w:widowControl/>
              <w:numPr>
                <w:ilvl w:val="0"/>
                <w:numId w:val="2"/>
              </w:numPr>
              <w:spacing w:after="0"/>
            </w:pPr>
            <w:r>
              <w:rPr>
                <w:b/>
                <w:bCs/>
              </w:rPr>
              <w:t xml:space="preserve">Draw in black</w:t>
            </w:r>
            <w:r>
              <w:t xml:space="preserve"> pigment; </w:t>
            </w:r>
            <w:r>
              <w:rPr>
                <w:b/>
                <w:bCs/>
              </w:rPr>
              <w:t xml:space="preserve">in yellow</w:t>
            </w:r>
            <w:r>
              <w:t xml:space="preserve"> exudates; </w:t>
            </w:r>
            <w:r>
              <w:rPr>
                <w:b/>
                <w:bCs/>
              </w:rPr>
              <w:t xml:space="preserve">in green</w:t>
            </w:r>
            <w:r>
              <w:t xml:space="preserve"> vitreous opacities.</w:t>
            </w:r>
          </w:p>
        </w:tc>
      </w:tr>
    </w:tbl>
    <w:p>
      <w:pPr>
        <w:keepLines/>
        <w:widowControl/>
        <w:pBdr>
          <w:top w:val="single" w:color="BFBFBF" w:sz="4" w:space="4"/>
        </w:pBdr>
        <w:spacing w:after="0" w:before="160"/>
        <w:sectPr>
          <w:footerReference w:type="default" r:id="rId7"/>
          <w:type w:val="nextPage"/>
          <w:pgSz w:w="11906" w:h="16838" w:orient="portrait"/>
          <w:pgMar w:top="794" w:right="907" w:bottom="794" w:left="907" w:header="397" w:footer="397" w:gutter="0"/>
          <w:pgNumType/>
          <w:docGrid w:linePitch="360"/>
        </w:sectPr>
      </w:pPr>
      <w:r>
        <w:rPr>
          <w:i/>
          <w:iCs/>
          <w:color w:val="7F7F7F"/>
          <w:sz w:val="16"/>
          <w:szCs w:val="16"/>
        </w:rPr>
        <w:t xml:space="preserve">Read more: </w:t>
      </w:r>
      <w:r>
        <w:rPr>
          <w:i/>
          <w:iCs/>
          <w:color w:val="7F7F7F"/>
          <w:sz w:val="16"/>
          <w:szCs w:val="16"/>
        </w:rPr>
        <w:t xml:space="preserve">Department fundus case sheets (13 cases) · Department fundus write-ups (case-sheet proforma p.21, 30) · Aravind “Case sheet writing” p.649–650; 1.6; 1.7; 4.11; 6.1; 6.3; 6.5; 6.6; 6.8 · Baidya p.231–232, 249, 258, 273, 286, 318, 744–749 · Namrata p.173, 196, 218 · Kanski p.27</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C" w:id="3"/>
            <w:r>
              <w:rPr>
                <w:b/>
                <w:bCs/>
                <w:color w:val="FFFFFF"/>
                <w:sz w:val="28"/>
                <w:szCs w:val="28"/>
              </w:rPr>
              <w:t xml:space="preserve">C  Master short-case method</w:t>
            </w:r>
            <w:bookmarkEnd w:id="3"/>
          </w:p>
          <w:p>
            <w:pPr>
              <w:spacing w:after="0" w:before="0"/>
            </w:pPr>
            <w:r>
              <w:rPr>
                <w:color w:val="FFFFFF"/>
                <w:sz w:val="18"/>
                <w:szCs w:val="18"/>
              </w:rPr>
              <w:t xml:space="preserve">Use with every short-case card · Short cases: 60 marks (2 × 30) · 10 + 5 minutes each</w:t>
            </w:r>
          </w:p>
        </w:tc>
      </w:tr>
    </w:tbl>
    <w:p>
      <w:pPr>
        <w:pStyle w:val="Heading2"/>
        <w:widowControl/>
      </w:pPr>
      <w:r>
        <w:t xml:space="preserve">The method, in one look</w:t>
      </w:r>
    </w:p>
    <w:p>
      <w:pPr>
        <w:keepNext/>
        <w:widowControl/>
      </w:pPr>
      <w:r>
        <w:t xml:space="preserve">Every short-case card follows template B, in this order. This card teaches each heading, with a worked example: a pseudoexfoliation patient.</w:t>
      </w:r>
    </w:p>
    <w:p>
      <w:pPr>
        <w:pStyle w:val="ListParagraph"/>
        <w:keepLines/>
        <w:widowControl/>
        <w:numPr>
          <w:ilvl w:val="0"/>
          <w:numId w:val="8"/>
        </w:numPr>
        <w:spacing w:after="30"/>
      </w:pPr>
      <w:r>
        <w:rPr>
          <w:b/>
          <w:bCs/>
        </w:rPr>
        <w:t xml:space="preserve">The instruction you may get</w:t>
      </w:r>
      <w:r>
        <w:t xml:space="preserve">, and do exactly that.</w:t>
      </w:r>
    </w:p>
    <w:p>
      <w:pPr>
        <w:pStyle w:val="ListParagraph"/>
        <w:keepLines/>
        <w:widowControl/>
        <w:numPr>
          <w:ilvl w:val="0"/>
          <w:numId w:val="8"/>
        </w:numPr>
        <w:spacing w:after="30"/>
      </w:pPr>
      <w:r>
        <w:rPr>
          <w:b/>
          <w:bCs/>
        </w:rPr>
        <w:t xml:space="preserve">Spot</w:t>
      </w:r>
      <w:r>
        <w:t xml:space="preserve">: what you see first, said in one line.</w:t>
      </w:r>
    </w:p>
    <w:p>
      <w:pPr>
        <w:pStyle w:val="ListParagraph"/>
        <w:keepLines/>
        <w:widowControl/>
        <w:numPr>
          <w:ilvl w:val="0"/>
          <w:numId w:val="8"/>
        </w:numPr>
        <w:spacing w:after="30"/>
      </w:pPr>
      <w:r>
        <w:rPr>
          <w:b/>
          <w:bCs/>
        </w:rPr>
        <w:t xml:space="preserve">Keywords</w:t>
      </w:r>
      <w:r>
        <w:t xml:space="preserve">: the 6–10 exact terms the examiner listens for.</w:t>
      </w:r>
    </w:p>
    <w:p>
      <w:pPr>
        <w:pStyle w:val="ListParagraph"/>
        <w:keepLines/>
        <w:widowControl/>
        <w:numPr>
          <w:ilvl w:val="0"/>
          <w:numId w:val="8"/>
        </w:numPr>
        <w:spacing w:after="30"/>
      </w:pPr>
      <w:r>
        <w:rPr>
          <w:b/>
          <w:bCs/>
        </w:rPr>
        <w:t xml:space="preserve">Focused examination</w:t>
      </w:r>
      <w:r>
        <w:t xml:space="preserve">: numbered steps, each with Do, Record and its viva.</w:t>
      </w:r>
    </w:p>
    <w:p>
      <w:pPr>
        <w:pStyle w:val="ListParagraph"/>
        <w:keepLines/>
        <w:widowControl/>
        <w:numPr>
          <w:ilvl w:val="0"/>
          <w:numId w:val="8"/>
        </w:numPr>
        <w:spacing w:after="30"/>
      </w:pPr>
      <w:r>
        <w:rPr>
          <w:b/>
          <w:bCs/>
        </w:rPr>
        <w:t xml:space="preserve">Say-it description</w:t>
      </w:r>
      <w:r>
        <w:t xml:space="preserve">, ending in the complete diagnosis line.</w:t>
      </w:r>
    </w:p>
    <w:p>
      <w:pPr>
        <w:pStyle w:val="ListParagraph"/>
        <w:keepLines/>
        <w:widowControl/>
        <w:numPr>
          <w:ilvl w:val="0"/>
          <w:numId w:val="8"/>
        </w:numPr>
        <w:spacing w:after="30"/>
      </w:pPr>
      <w:r>
        <w:rPr>
          <w:b/>
          <w:bCs/>
        </w:rPr>
        <w:t xml:space="preserve">History to ask, if the examiner allows.</w:t>
      </w:r>
    </w:p>
    <w:p>
      <w:pPr>
        <w:pStyle w:val="ListParagraph"/>
        <w:keepLines/>
        <w:widowControl/>
        <w:numPr>
          <w:ilvl w:val="0"/>
          <w:numId w:val="8"/>
        </w:numPr>
        <w:spacing w:after="30"/>
      </w:pPr>
      <w:r>
        <w:rPr>
          <w:b/>
          <w:bCs/>
        </w:rPr>
        <w:t xml:space="preserve">Differentials</w:t>
      </w:r>
      <w:r>
        <w:t xml:space="preserve">, each with the sign or test that tells it apart.</w:t>
      </w:r>
    </w:p>
    <w:p>
      <w:pPr>
        <w:pStyle w:val="ListParagraph"/>
        <w:keepLines/>
        <w:widowControl/>
        <w:numPr>
          <w:ilvl w:val="0"/>
          <w:numId w:val="8"/>
        </w:numPr>
        <w:spacing w:after="30"/>
      </w:pPr>
      <w:r>
        <w:rPr>
          <w:b/>
          <w:bCs/>
        </w:rPr>
        <w:t xml:space="preserve">How I will proceed</w:t>
      </w:r>
      <w:r>
        <w:t xml:space="preserve">: investigations and their significance.</w:t>
      </w:r>
    </w:p>
    <w:p>
      <w:pPr>
        <w:pStyle w:val="ListParagraph"/>
        <w:keepLines/>
        <w:widowControl/>
        <w:numPr>
          <w:ilvl w:val="0"/>
          <w:numId w:val="8"/>
        </w:numPr>
        <w:spacing w:after="30"/>
      </w:pPr>
      <w:r>
        <w:rPr>
          <w:b/>
          <w:bCs/>
        </w:rPr>
        <w:t xml:space="preserve">How I will manage</w:t>
      </w:r>
      <w:r>
        <w:t xml:space="preserve">: a short first-person ladder.</w:t>
      </w:r>
    </w:p>
    <w:p>
      <w:pPr>
        <w:pStyle w:val="ListParagraph"/>
        <w:keepLines/>
        <w:widowControl/>
        <w:numPr>
          <w:ilvl w:val="0"/>
          <w:numId w:val="8"/>
        </w:numPr>
        <w:spacing w:after="30"/>
      </w:pPr>
      <w:r>
        <w:rPr>
          <w:b/>
          <w:bCs/>
        </w:rPr>
        <w:t xml:space="preserve">Must know</w:t>
      </w:r>
      <w:r>
        <w:t xml:space="preserve">: the definition first, then the classification and the key numbers.</w:t>
      </w:r>
    </w:p>
    <w:p>
      <w:pPr>
        <w:pStyle w:val="ListParagraph"/>
        <w:keepLines/>
        <w:widowControl/>
        <w:numPr>
          <w:ilvl w:val="0"/>
          <w:numId w:val="8"/>
        </w:numPr>
        <w:spacing w:after="60"/>
      </w:pPr>
      <w:r>
        <w:rPr>
          <w:b/>
          <w:bCs/>
        </w:rPr>
        <w:t xml:space="preserve">Viva questions</w:t>
      </w:r>
      <w:r>
        <w:t xml:space="preserve"> and </w:t>
      </w:r>
      <w:r>
        <w:rPr>
          <w:b/>
          <w:bCs/>
        </w:rPr>
        <w:t xml:space="preserve">quick recall</w:t>
      </w:r>
      <w:r>
        <w:t xml:space="preserve">.</w:t>
      </w:r>
    </w:p>
    <w:p>
      <w:pPr>
        <w:pStyle w:val="Heading2"/>
        <w:widowControl/>
      </w:pPr>
      <w:r>
        <w:t xml:space="preserve">The instruction you may get</w:t>
      </w:r>
    </w:p>
    <w:p>
      <w:pPr>
        <w:widowControl/>
      </w:pPr>
      <w:r>
        <w:rPr>
          <w:b/>
          <w:bCs/>
        </w:rPr>
        <w:t xml:space="preserve">Method:</w:t>
      </w:r>
      <w:r>
        <w:t xml:space="preserve"> hear the instruction and do exactly that. Introduce yourself and take consent. Ask the age and complaint only if the examiner allows.</w:t>
      </w:r>
    </w:p>
    <w:p>
      <w:pPr>
        <w:keepNext/>
        <w:widowControl/>
      </w:pPr>
      <w:r>
        <w:rPr>
          <w:b/>
          <w:bCs/>
        </w:rPr>
        <w:t xml:space="preserve">Examples:</w:t>
      </w:r>
    </w:p>
    <w:p>
      <w:pPr>
        <w:pStyle w:val="ListParagraph"/>
        <w:keepLines/>
        <w:widowControl/>
        <w:numPr>
          <w:ilvl w:val="0"/>
          <w:numId w:val="2"/>
        </w:numPr>
        <w:spacing w:after="30"/>
      </w:pPr>
      <w:r>
        <w:t xml:space="preserve">“Examine the anterior segment of this patient and measure the intraocular pressure.”</w:t>
      </w:r>
    </w:p>
    <w:p>
      <w:pPr>
        <w:pStyle w:val="ListParagraph"/>
        <w:keepLines/>
        <w:widowControl/>
        <w:numPr>
          <w:ilvl w:val="0"/>
          <w:numId w:val="2"/>
        </w:numPr>
        <w:spacing w:after="60"/>
      </w:pPr>
      <w:r>
        <w:t xml:space="preserve">“Examine the pupil and the lens of this patient.”</w:t>
      </w:r>
    </w:p>
    <w:p>
      <w:pPr>
        <w:pStyle w:val="Heading2"/>
        <w:widowControl/>
      </w:pPr>
      <w:r>
        <w:t xml:space="preserve">Spot</w:t>
      </w:r>
    </w:p>
    <w:p>
      <w:pPr>
        <w:widowControl/>
      </w:pPr>
      <w:r>
        <w:rPr>
          <w:b/>
          <w:bCs/>
        </w:rPr>
        <w:t xml:space="preserve">Method:</w:t>
      </w:r>
      <w:r>
        <w:t xml:space="preserve"> inspect before you touch: head posture, face, both eyes compared, lids, deviation. Name the spot diagnosis in one line when asked.</w:t>
      </w:r>
    </w:p>
    <w:p>
      <w:pPr>
        <w:widowControl/>
      </w:pPr>
      <w:r>
        <w:rPr>
          <w:b/>
          <w:bCs/>
        </w:rPr>
        <w:t xml:space="preserve">Example:</w:t>
      </w:r>
      <w:r>
        <w:t xml:space="preserve"> “White, flaky, dandruff-like material at the pupillary margin and on the anterior lens capsule, suggestive of pseudoexfoliation.”</w:t>
      </w:r>
    </w:p>
    <w:p>
      <w:pPr>
        <w:widowControl/>
      </w:pPr>
      <w:r>
        <w:rPr>
          <w:b/>
          <w:bCs/>
        </w:rPr>
        <w:t xml:space="preserve">Keywords the examiner listens for:</w:t>
      </w:r>
      <w:r>
        <w:t xml:space="preserve"> pseudoexfoliation · four-point description · pupillary margin · three zones (target sign) · Sampaolesi’s line · poor mydriasis · phacodonesis · Goldmann applanation tonometry · gonioscopy · capsular tension ring</w:t>
      </w:r>
    </w:p>
    <w:p>
      <w:pPr>
        <w:pStyle w:val="Heading2"/>
        <w:widowControl/>
      </w:pPr>
      <w:r>
        <w:t xml:space="preserve">Focused examination — steps and their viva</w:t>
      </w:r>
    </w:p>
    <w:p>
      <w:pPr>
        <w:widowControl/>
      </w:pPr>
      <w:r>
        <w:rPr>
          <w:b/>
          <w:bCs/>
        </w:rPr>
        <w:t xml:space="preserve">Method:</w:t>
      </w:r>
      <w:r>
        <w:t xml:space="preserve"> torch, then slit lamp, so the examiner sees each sign. Pupils and iris new vessels before any drop. Tension before gonioscopy and dilatation. Each step has </w:t>
      </w:r>
      <w:r>
        <w:rPr>
          <w:b/>
          <w:bCs/>
        </w:rPr>
        <w:t xml:space="preserve">Do</w:t>
      </w:r>
      <w:r>
        <w:t xml:space="preserve"> (how), </w:t>
      </w:r>
      <w:r>
        <w:rPr>
          <w:b/>
          <w:bCs/>
        </w:rPr>
        <w:t xml:space="preserve">Record</w:t>
      </w:r>
      <w:r>
        <w:t xml:space="preserve"> (the department’s shorthand) and 1–2 viva questions.</w:t>
      </w:r>
    </w:p>
    <w:p>
      <w:pPr>
        <w:pStyle w:val="Heading3"/>
        <w:widowControl/>
      </w:pPr>
      <w:r>
        <w:t xml:space="preserve">Step 1 — Inspect, then the pupils before any drop</w:t>
      </w:r>
    </w:p>
    <w:p>
      <w:pPr>
        <w:widowControl/>
      </w:pPr>
      <w:r>
        <w:rPr>
          <w:b/>
          <w:bCs/>
        </w:rPr>
        <w:t xml:space="preserve">Do:</w:t>
      </w:r>
      <w:r>
        <w:t xml:space="preserve"> compare the two eyes with a torch. Check the direct and consensual reflexes, then the swinging torch light test for a relative afferent pupillary defect (RAPD). Look at the pupillary margin before any drop.</w:t>
      </w:r>
    </w:p>
    <w:p>
      <w:pPr>
        <w:widowControl/>
      </w:pPr>
      <w:r>
        <w:rPr>
          <w:b/>
          <w:bCs/>
        </w:rPr>
        <w:t xml:space="preserve">Record:</w:t>
      </w:r>
      <w:r>
        <w:t xml:space="preserve"> “RTL (3 mm); no RAPD” (round, reacting to light).</w:t>
      </w:r>
    </w:p>
    <w:p>
      <w:pPr>
        <w:keepNext/>
        <w:keepLines/>
        <w:widowControl/>
        <w:tabs>
          <w:tab w:val="left" w:pos="227"/>
        </w:tabs>
        <w:spacing w:after="0" w:before="50"/>
        <w:ind w:left="227" w:hanging="227"/>
      </w:pPr>
      <w:r>
        <w:rPr>
          <w:b/>
          <w:bCs/>
          <w:color w:val="1F3864"/>
        </w:rPr>
        <w:t xml:space="preserve">Q</w:t>
      </w:r>
      <w:r>
        <w:tab/>
      </w:r>
      <w:r>
        <w:rPr>
          <w:b/>
          <w:bCs/>
        </w:rPr>
        <w:t xml:space="preserve">Why do you look at the pupil before dilating?</w:t>
      </w:r>
    </w:p>
    <w:p>
      <w:pPr>
        <w:keepLines/>
        <w:widowControl/>
        <w:spacing w:after="40"/>
        <w:ind w:left="227"/>
      </w:pPr>
      <w:r>
        <w:t xml:space="preserve">The </w:t>
      </w:r>
      <w:r>
        <w:rPr>
          <w:b/>
          <w:bCs/>
        </w:rPr>
        <w:t xml:space="preserve">pupillary margin</w:t>
      </w:r>
      <w:r>
        <w:t xml:space="preserve"> carries the hallmark flecks and shows loss of the pupillary ruff. </w:t>
      </w:r>
      <w:r>
        <w:rPr>
          <w:b/>
          <w:bCs/>
        </w:rPr>
        <w:t xml:space="preserve">Poor mydriasis</w:t>
      </w:r>
      <w:r>
        <w:t xml:space="preserve"> is itself a sign of pseudoexfoliation.</w:t>
      </w:r>
    </w:p>
    <w:p>
      <w:pPr>
        <w:pStyle w:val="Heading3"/>
        <w:widowControl/>
      </w:pPr>
      <w:r>
        <w:t xml:space="preserve">Step 2 — Slit lamp, undilated</w:t>
      </w:r>
    </w:p>
    <w:p>
      <w:pPr>
        <w:widowControl/>
      </w:pPr>
      <w:r>
        <w:rPr>
          <w:b/>
          <w:bCs/>
        </w:rPr>
        <w:t xml:space="preserve">Do:</w:t>
      </w:r>
      <w:r>
        <w:t xml:space="preserve"> grade the chamber by Van Herick. Examine the pupillary margin and iris, and retro-illuminate for transillumination defects. Look for iridodonesis and phacodonesis, and compare the chamber depth of the two eyes.</w:t>
      </w:r>
    </w:p>
    <w:p>
      <w:pPr>
        <w:widowControl/>
      </w:pPr>
      <w:r>
        <w:rPr>
          <w:b/>
          <w:bCs/>
        </w:rPr>
        <w:t xml:space="preserve">Record:</w:t>
      </w:r>
      <w:r>
        <w:t xml:space="preserve"> “VH Gr IV (ND)” (Van Herick grade 4, normal depth); “PxF (pseudoexfoliation) at the pupillary margin, no iris atrophy”.</w:t>
      </w:r>
    </w:p>
    <w:p>
      <w:pPr>
        <w:keepNext/>
        <w:keepLines/>
        <w:widowControl/>
        <w:tabs>
          <w:tab w:val="left" w:pos="227"/>
        </w:tabs>
        <w:spacing w:after="0" w:before="50"/>
        <w:ind w:left="227" w:hanging="227"/>
      </w:pPr>
      <w:r>
        <w:rPr>
          <w:b/>
          <w:bCs/>
          <w:color w:val="1F3864"/>
        </w:rPr>
        <w:t xml:space="preserve">Q</w:t>
      </w:r>
      <w:r>
        <w:tab/>
      </w:r>
      <w:r>
        <w:rPr>
          <w:b/>
          <w:bCs/>
        </w:rPr>
        <w:t xml:space="preserve">What are the four points to describe pseudoexfoliation?</w:t>
      </w:r>
    </w:p>
    <w:p>
      <w:pPr>
        <w:keepLines/>
        <w:widowControl/>
        <w:spacing w:after="40"/>
        <w:ind w:left="227"/>
      </w:pPr>
      <w:r>
        <w:t xml:space="preserve">The </w:t>
      </w:r>
      <w:r>
        <w:rPr>
          <w:b/>
          <w:bCs/>
        </w:rPr>
        <w:t xml:space="preserve">four-point description</w:t>
      </w:r>
      <w:r>
        <w:t xml:space="preserve"> gives the colour of the material (white) and its nature (flaky, dandruff-like). Then its location (pupillary margin as tufts; anterior lens capsule as a disc-shaped deposit), and whether there is iris atrophy.</w:t>
      </w:r>
    </w:p>
    <w:p>
      <w:pPr>
        <w:keepNext/>
        <w:keepLines/>
        <w:widowControl/>
        <w:tabs>
          <w:tab w:val="left" w:pos="227"/>
        </w:tabs>
        <w:spacing w:after="0" w:before="50"/>
        <w:ind w:left="227" w:hanging="227"/>
      </w:pPr>
      <w:r>
        <w:rPr>
          <w:b/>
          <w:bCs/>
          <w:color w:val="1F3864"/>
        </w:rPr>
        <w:t xml:space="preserve">Q</w:t>
      </w:r>
      <w:r>
        <w:tab/>
      </w:r>
      <w:r>
        <w:rPr>
          <w:b/>
          <w:bCs/>
        </w:rPr>
        <w:t xml:space="preserve">Why compare the chamber depth of the two eyes?</w:t>
      </w:r>
    </w:p>
    <w:p>
      <w:pPr>
        <w:keepLines/>
        <w:widowControl/>
        <w:spacing w:after="40"/>
        <w:ind w:left="227"/>
      </w:pPr>
      <w:r>
        <w:t xml:space="preserve">A difference in depth, or </w:t>
      </w:r>
      <w:r>
        <w:rPr>
          <w:b/>
          <w:bCs/>
        </w:rPr>
        <w:t xml:space="preserve">phacodonesis</w:t>
      </w:r>
      <w:r>
        <w:t xml:space="preserve">, points to zonular dialysis. Ultrasound biomicroscopy confirms its extent before cataract surgery.</w:t>
      </w:r>
    </w:p>
    <w:p>
      <w:pPr>
        <w:pStyle w:val="Heading3"/>
        <w:widowControl/>
      </w:pPr>
      <w:r>
        <w:t xml:space="preserve">Step 3 — Applanation tonometry</w:t>
      </w:r>
    </w:p>
    <w:p>
      <w:pPr>
        <w:widowControl/>
      </w:pPr>
      <w:r>
        <w:rPr>
          <w:b/>
          <w:bCs/>
        </w:rPr>
        <w:t xml:space="preserve">Do:</w:t>
      </w:r>
      <w:r>
        <w:t xml:space="preserve"> consent, topical anaesthetic, fluorescein and a disinfected prism; both eyes (card G8).</w:t>
      </w:r>
    </w:p>
    <w:p>
      <w:pPr>
        <w:widowControl/>
      </w:pPr>
      <w:r>
        <w:rPr>
          <w:b/>
          <w:bCs/>
        </w:rPr>
        <w:t xml:space="preserve">Record:</w:t>
      </w:r>
      <w:r>
        <w:t xml:space="preserve"> “Tn by GAT 24 mm Hg (RE), 16 mm Hg (LE) at 11 am”. That is tension by Goldmann applanation tonometry, right eye and left eye.</w:t>
      </w:r>
    </w:p>
    <w:p>
      <w:pPr>
        <w:keepNext/>
        <w:keepLines/>
        <w:widowControl/>
        <w:tabs>
          <w:tab w:val="left" w:pos="227"/>
        </w:tabs>
        <w:spacing w:after="0" w:before="50"/>
        <w:ind w:left="227" w:hanging="227"/>
      </w:pPr>
      <w:r>
        <w:rPr>
          <w:b/>
          <w:bCs/>
          <w:color w:val="1F3864"/>
        </w:rPr>
        <w:t xml:space="preserve">Q</w:t>
      </w:r>
      <w:r>
        <w:tab/>
      </w:r>
      <w:r>
        <w:rPr>
          <w:b/>
          <w:bCs/>
        </w:rPr>
        <w:t xml:space="preserve">Why measure the pressure before gonioscopy and dilatation?</w:t>
      </w:r>
    </w:p>
    <w:p>
      <w:pPr>
        <w:keepLines/>
        <w:widowControl/>
        <w:spacing w:after="40"/>
        <w:ind w:left="227"/>
      </w:pPr>
      <w:r>
        <w:rPr>
          <w:b/>
          <w:bCs/>
        </w:rPr>
        <w:t xml:space="preserve">Goldmann applanation tonometry</w:t>
      </w:r>
      <w:r>
        <w:t xml:space="preserve"> comes first. Gonioscopy presses on the cornea and opens the angle, so a later reading is falsely low. Dilatation raises the pressure by 4–5 mm Hg, so a later reading is falsely high.</w:t>
      </w:r>
    </w:p>
    <w:p>
      <w:pPr>
        <w:pStyle w:val="Heading3"/>
        <w:widowControl/>
      </w:pPr>
      <w:r>
        <w:t xml:space="preserve">Step 4 — Gonioscopy</w:t>
      </w:r>
    </w:p>
    <w:p>
      <w:pPr>
        <w:widowControl/>
      </w:pPr>
      <w:r>
        <w:rPr>
          <w:b/>
          <w:bCs/>
        </w:rPr>
        <w:t xml:space="preserve">Do:</w:t>
      </w:r>
      <w:r>
        <w:t xml:space="preserve"> after tonometry and before dilating; topical anaesthetic and a disinfected lens; every quadrant (card G9).</w:t>
      </w:r>
    </w:p>
    <w:p>
      <w:pPr>
        <w:widowControl/>
      </w:pPr>
      <w:r>
        <w:rPr>
          <w:b/>
          <w:bCs/>
        </w:rPr>
        <w:t xml:space="preserve">Record:</w:t>
      </w:r>
      <w:r>
        <w:t xml:space="preserve"> one cross per eye with the deepest structure seen in each quadrant. Note the pigment and Sampaolesi’s line beside it.</w:t>
      </w:r>
    </w:p>
    <w:p>
      <w:pPr>
        <w:keepNext/>
        <w:keepLines/>
        <w:widowControl/>
        <w:tabs>
          <w:tab w:val="left" w:pos="227"/>
        </w:tabs>
        <w:spacing w:after="0" w:before="50"/>
        <w:ind w:left="227" w:hanging="227"/>
      </w:pPr>
      <w:r>
        <w:rPr>
          <w:b/>
          <w:bCs/>
          <w:color w:val="1F3864"/>
        </w:rPr>
        <w:t xml:space="preserve">Q</w:t>
      </w:r>
      <w:r>
        <w:tab/>
      </w:r>
      <w:r>
        <w:rPr>
          <w:b/>
          <w:bCs/>
        </w:rPr>
        <w:t xml:space="preserve">What is Sampaolesi’s line? Is it specific?</w:t>
      </w:r>
    </w:p>
    <w:p>
      <w:pPr>
        <w:keepLines/>
        <w:widowControl/>
        <w:spacing w:after="40"/>
        <w:ind w:left="227"/>
      </w:pPr>
      <w:r>
        <w:rPr>
          <w:b/>
          <w:bCs/>
        </w:rPr>
        <w:t xml:space="preserve">Sampaolesi’s line</w:t>
      </w:r>
      <w:r>
        <w:t xml:space="preserve"> is a dark, dense, scalloped band of pigment on or in front of Schwalbe’s line. It is not specific: it also occurs in pigment dispersion syndrome and chronic inflammation.</w:t>
      </w:r>
    </w:p>
    <w:p>
      <w:pPr>
        <w:pStyle w:val="Heading3"/>
        <w:widowControl/>
      </w:pPr>
      <w:r>
        <w:t xml:space="preserve">Step 5 — After dilatation: the lens and the disc</w:t>
      </w:r>
    </w:p>
    <w:p>
      <w:pPr>
        <w:widowControl/>
      </w:pPr>
      <w:r>
        <w:rPr>
          <w:b/>
          <w:bCs/>
        </w:rPr>
        <w:t xml:space="preserve">Do:</w:t>
      </w:r>
      <w:r>
        <w:t xml:space="preserve"> dilate, since the angle is open, and note how well the pupil dilates. Examine the anterior lens capsule, then the disc with a +90 dioptre lens.</w:t>
      </w:r>
    </w:p>
    <w:p>
      <w:pPr>
        <w:widowControl/>
      </w:pPr>
      <w:r>
        <w:rPr>
          <w:b/>
          <w:bCs/>
        </w:rPr>
        <w:t xml:space="preserve">Record:</w:t>
      </w:r>
      <w:r>
        <w:t xml:space="preserve"> “Three zones on the anterior lens capsule (target sign); NS-2; CDR ___” (nuclear sclerosis grade 2; cup–disc ratio).</w:t>
      </w:r>
    </w:p>
    <w:p>
      <w:pPr>
        <w:keepNext/>
        <w:keepLines/>
        <w:widowControl/>
        <w:tabs>
          <w:tab w:val="left" w:pos="227"/>
        </w:tabs>
        <w:spacing w:after="0" w:before="50"/>
        <w:ind w:left="227" w:hanging="227"/>
      </w:pPr>
      <w:r>
        <w:rPr>
          <w:b/>
          <w:bCs/>
          <w:color w:val="1F3864"/>
        </w:rPr>
        <w:t xml:space="preserve">Q</w:t>
      </w:r>
      <w:r>
        <w:tab/>
      </w:r>
      <w:r>
        <w:rPr>
          <w:b/>
          <w:bCs/>
        </w:rPr>
        <w:t xml:space="preserve">Describe the deposit on the lens.</w:t>
      </w:r>
    </w:p>
    <w:p>
      <w:pPr>
        <w:keepLines/>
        <w:widowControl/>
        <w:spacing w:after="40"/>
        <w:ind w:left="227"/>
      </w:pPr>
      <w:r>
        <w:t xml:space="preserve">The </w:t>
      </w:r>
      <w:r>
        <w:rPr>
          <w:b/>
          <w:bCs/>
        </w:rPr>
        <w:t xml:space="preserve">three zones (target sign)</w:t>
      </w:r>
      <w:r>
        <w:t xml:space="preserve"> start with a central disc, absent in 20%. Next comes a clear zone, rubbed clean by the moving iris. Outside it lies a peripheral granular zone, seen only after dilatation.</w:t>
      </w:r>
    </w:p>
    <w:p>
      <w:pPr>
        <w:pStyle w:val="Heading2"/>
        <w:widowControl/>
      </w:pPr>
      <w:r>
        <w:t xml:space="preserve">Say-it description</w:t>
      </w:r>
    </w:p>
    <w:p>
      <w:pPr>
        <w:widowControl/>
      </w:pPr>
      <w:r>
        <w:rPr>
          <w:b/>
          <w:bCs/>
        </w:rPr>
        <w:t xml:space="preserve">Method:</w:t>
      </w:r>
      <w:r>
        <w:t xml:space="preserve"> right eye, then left eye. Describe each finding, then say “suggestive of …”. No abbreviations. End with the complete diagnosis line. The formula: eye → disease → type, stage or grade → aetiology → complications or status → other eye.</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On slit-lamp examination of the right eye, the lids and conjunctiva are normal and the cornea is clear. The anterior chamber is of normal depth, Van Herick grade 4. There is white, flaky, dandruff-like material at the pupillary margin as tufts. There is a disc-shaped deposit on the anterior lens capsule, with no iris atrophy. This is suggestive of pseudoexfoliation. The pupil is round and reacting to light, and the lens shows grade 2 nuclear sclerosis. The left anterior segment is normal. Intraocular pressure by Goldmann applanation tonometry is 24 millimetres of mercury in the right eye. It is 16 in the left eye, at eleven in the morning.</w:t>
            </w:r>
          </w:p>
          <w:p>
            <w:pPr>
              <w:widowControl/>
              <w:spacing w:after="0"/>
            </w:pPr>
            <w:r>
              <w:t xml:space="preserve">My diagnosis is right eye pseudoexfoliation syndrome with raised intraocular pressure and grade 2 nuclear sclerosis.</w:t>
            </w:r>
          </w:p>
        </w:tc>
      </w:tr>
    </w:tbl>
    <w:p>
      <w:pPr>
        <w:pStyle w:val="Heading2"/>
        <w:widowControl/>
      </w:pPr>
      <w:r>
        <w:t xml:space="preserve">History to ask, if the examiner allows</w:t>
      </w:r>
    </w:p>
    <w:p>
      <w:pPr>
        <w:keepNext/>
        <w:widowControl/>
      </w:pPr>
      <w:r>
        <w:rPr>
          <w:b/>
          <w:bCs/>
        </w:rPr>
        <w:t xml:space="preserve">Method:</w:t>
      </w:r>
      <w:r>
        <w:t xml:space="preserve"> 3–6 questions, one per row, each with what it rules in or out.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835"/>
        <w:gridCol w:w="6257"/>
      </w:tblGrid>
      <w:tr>
        <w:trPr>
          <w:cantSplit/>
          <w:tblHeader/>
        </w:trPr>
        <w:tc>
          <w:tcPr>
            <w:tcW w:type="dxa" w:w="383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Question</w:t>
            </w:r>
          </w:p>
        </w:tc>
        <w:tc>
          <w:tcPr>
            <w:tcW w:type="dxa" w:w="625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 — what it rules in or out</w:t>
            </w:r>
          </w:p>
        </w:tc>
      </w:tr>
      <w:tr>
        <w:trPr>
          <w:cantSplit/>
        </w:trPr>
        <w:tc>
          <w:tcPr>
            <w:tcW w:type="dxa" w:w="3835"/>
            <w:tcMar>
              <w:top w:type="dxa" w:w="60"/>
              <w:left w:type="dxa" w:w="80"/>
              <w:bottom w:type="dxa" w:w="60"/>
              <w:right w:type="dxa" w:w="80"/>
            </w:tcMar>
            <w:vAlign w:val="top"/>
          </w:tcPr>
          <w:p>
            <w:pPr>
              <w:widowControl/>
              <w:spacing w:after="0" w:before="0" w:line="245" w:lineRule="auto"/>
            </w:pPr>
            <w:r>
              <w:rPr>
                <w:sz w:val="17"/>
                <w:szCs w:val="17"/>
              </w:rPr>
              <w:t xml:space="preserve">Any heart attack, stroke or high blood pressure?</w:t>
            </w:r>
          </w:p>
        </w:tc>
        <w:tc>
          <w:tcPr>
            <w:tcW w:type="dxa" w:w="6257"/>
            <w:tcMar>
              <w:top w:type="dxa" w:w="60"/>
              <w:left w:type="dxa" w:w="80"/>
              <w:bottom w:type="dxa" w:w="60"/>
              <w:right w:type="dxa" w:w="80"/>
            </w:tcMar>
            <w:vAlign w:val="top"/>
          </w:tcPr>
          <w:p>
            <w:pPr>
              <w:widowControl/>
              <w:spacing w:after="0" w:before="0" w:line="245" w:lineRule="auto"/>
            </w:pPr>
            <w:r>
              <w:rPr>
                <w:sz w:val="17"/>
                <w:szCs w:val="17"/>
              </w:rPr>
              <w:t xml:space="preserve">Pseudoexfoliation is systemic: it is linked with myocardial infarction, stroke, hypertension and aortic aneurysm</w:t>
            </w:r>
          </w:p>
        </w:tc>
      </w:tr>
      <w:tr>
        <w:trPr>
          <w:cantSplit/>
        </w:trPr>
        <w:tc>
          <w:tcPr>
            <w:tcW w:type="dxa" w:w="383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Any glass blowing, or work with heat or infrared exposure?</w:t>
            </w:r>
          </w:p>
        </w:tc>
        <w:tc>
          <w:tcPr>
            <w:tcW w:type="dxa" w:w="625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 “yes” points to true exfoliation: the capsule itself splits into thin, clear scrolls</w:t>
            </w:r>
          </w:p>
        </w:tc>
      </w:tr>
      <w:tr>
        <w:trPr>
          <w:cantSplit/>
        </w:trPr>
        <w:tc>
          <w:tcPr>
            <w:tcW w:type="dxa" w:w="3835"/>
            <w:tcMar>
              <w:top w:type="dxa" w:w="60"/>
              <w:left w:type="dxa" w:w="80"/>
              <w:bottom w:type="dxa" w:w="60"/>
              <w:right w:type="dxa" w:w="80"/>
            </w:tcMar>
            <w:vAlign w:val="top"/>
          </w:tcPr>
          <w:p>
            <w:pPr>
              <w:widowControl/>
              <w:spacing w:after="0" w:before="0" w:line="245" w:lineRule="auto"/>
            </w:pPr>
            <w:r>
              <w:rPr>
                <w:sz w:val="17"/>
                <w:szCs w:val="17"/>
              </w:rPr>
              <w:t xml:space="preserve">Any coloured haloes?</w:t>
            </w:r>
          </w:p>
        </w:tc>
        <w:tc>
          <w:tcPr>
            <w:tcW w:type="dxa" w:w="6257"/>
            <w:tcMar>
              <w:top w:type="dxa" w:w="60"/>
              <w:left w:type="dxa" w:w="80"/>
              <w:bottom w:type="dxa" w:w="60"/>
              <w:right w:type="dxa" w:w="80"/>
            </w:tcMar>
            <w:vAlign w:val="top"/>
          </w:tcPr>
          <w:p>
            <w:pPr>
              <w:widowControl/>
              <w:spacing w:after="0" w:before="0" w:line="245" w:lineRule="auto"/>
            </w:pPr>
            <w:r>
              <w:rPr>
                <w:sz w:val="17"/>
                <w:szCs w:val="17"/>
              </w:rPr>
              <w:t xml:space="preserve">A “yes” points to angle closure: weak zonules let the lens move forward</w:t>
            </w:r>
          </w:p>
        </w:tc>
      </w:tr>
      <w:tr>
        <w:trPr>
          <w:cantSplit/>
        </w:trPr>
        <w:tc>
          <w:tcPr>
            <w:tcW w:type="dxa" w:w="383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Which drops, how often, since when?</w:t>
            </w:r>
          </w:p>
        </w:tc>
        <w:tc>
          <w:tcPr>
            <w:tcW w:type="dxa" w:w="625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One drug is usually not enough in pseudoexfoliation glaucoma; check compliance</w:t>
            </w:r>
          </w:p>
        </w:tc>
      </w:tr>
      <w:tr>
        <w:trPr>
          <w:cantSplit/>
        </w:trPr>
        <w:tc>
          <w:tcPr>
            <w:tcW w:type="dxa" w:w="3835"/>
            <w:tcMar>
              <w:top w:type="dxa" w:w="60"/>
              <w:left w:type="dxa" w:w="80"/>
              <w:bottom w:type="dxa" w:w="60"/>
              <w:right w:type="dxa" w:w="80"/>
            </w:tcMar>
            <w:vAlign w:val="top"/>
          </w:tcPr>
          <w:p>
            <w:pPr>
              <w:widowControl/>
              <w:spacing w:after="0" w:before="0" w:line="245" w:lineRule="auto"/>
            </w:pPr>
            <w:r>
              <w:rPr>
                <w:sz w:val="17"/>
                <w:szCs w:val="17"/>
              </w:rPr>
              <w:t xml:space="preserve">Any eye surgery before?</w:t>
            </w:r>
          </w:p>
        </w:tc>
        <w:tc>
          <w:tcPr>
            <w:tcW w:type="dxa" w:w="6257"/>
            <w:tcMar>
              <w:top w:type="dxa" w:w="60"/>
              <w:left w:type="dxa" w:w="80"/>
              <w:bottom w:type="dxa" w:w="60"/>
              <w:right w:type="dxa" w:w="80"/>
            </w:tcMar>
            <w:vAlign w:val="top"/>
          </w:tcPr>
          <w:p>
            <w:pPr>
              <w:widowControl/>
              <w:spacing w:after="0" w:before="0" w:line="245" w:lineRule="auto"/>
            </w:pPr>
            <w:r>
              <w:rPr>
                <w:sz w:val="17"/>
                <w:szCs w:val="17"/>
              </w:rPr>
              <w:t xml:space="preserve">After cataract surgery the intraocular lens may decentre late, because the zonules are weak</w:t>
            </w:r>
          </w:p>
        </w:tc>
      </w:tr>
      <w:tr>
        <w:trPr>
          <w:cantSplit/>
        </w:trPr>
        <w:tc>
          <w:tcPr>
            <w:tcW w:type="dxa" w:w="383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Asthma?</w:t>
            </w:r>
          </w:p>
        </w:tc>
        <w:tc>
          <w:tcPr>
            <w:tcW w:type="dxa" w:w="625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Beta-blocker drops are contraindicated, so no timolol</w:t>
            </w:r>
          </w:p>
        </w:tc>
      </w:tr>
    </w:tbl>
    <w:p>
      <w:pPr>
        <w:pStyle w:val="Heading2"/>
        <w:widowControl/>
      </w:pPr>
      <w:r>
        <w:t xml:space="preserve">Differentials</w:t>
      </w:r>
    </w:p>
    <w:p>
      <w:pPr>
        <w:keepNext/>
        <w:widowControl/>
      </w:pPr>
      <w:r>
        <w:rPr>
          <w:b/>
          <w:bCs/>
        </w:rPr>
        <w:t xml:space="preserve">Method:</w:t>
      </w:r>
      <w:r>
        <w:t xml:space="preserve"> 2–4 rows. The last column names a sign you can show or a test result.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028"/>
        <w:gridCol w:w="7064"/>
      </w:tblGrid>
      <w:tr>
        <w:trPr>
          <w:cantSplit/>
          <w:tblHeader/>
        </w:trPr>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Condition</w:t>
            </w:r>
          </w:p>
        </w:tc>
        <w:tc>
          <w:tcPr>
            <w:tcW w:type="dxa" w:w="706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How to tell apart</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Pigment dispersion syndrome</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Young myopic men aged 30–50; Krukenberg spindle; </w:t>
            </w:r>
            <w:r>
              <w:rPr>
                <w:b/>
                <w:bCs/>
                <w:sz w:val="17"/>
                <w:szCs w:val="17"/>
              </w:rPr>
              <w:t xml:space="preserve">mid-peripheral</w:t>
            </w:r>
            <w:r>
              <w:rPr>
                <w:sz w:val="17"/>
                <w:szCs w:val="17"/>
              </w:rPr>
              <w:t xml:space="preserve"> transillumination defects; a </w:t>
            </w:r>
            <w:r>
              <w:rPr>
                <w:b/>
                <w:bCs/>
                <w:sz w:val="17"/>
                <w:szCs w:val="17"/>
              </w:rPr>
              <w:t xml:space="preserve">uniform</w:t>
            </w:r>
            <w:r>
              <w:rPr>
                <w:sz w:val="17"/>
                <w:szCs w:val="17"/>
              </w:rPr>
              <w:t xml:space="preserve"> dark pigment band on gonioscopy</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True exfoliation</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Clear scrolls split from the capsule itself; heat or infrared exposure; glaucoma is infrequent</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Primary amyloidosis</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Systemic and bilateral; fine whitish powdery deposits throughout the eye</w:t>
            </w:r>
          </w:p>
        </w:tc>
      </w:tr>
    </w:tbl>
    <w:p>
      <w:pPr>
        <w:pStyle w:val="Heading2"/>
        <w:widowControl/>
      </w:pPr>
      <w:r>
        <w:t xml:space="preserve">How I will proceed</w:t>
      </w:r>
    </w:p>
    <w:p>
      <w:pPr>
        <w:keepNext/>
        <w:widowControl/>
      </w:pPr>
      <w:r>
        <w:rPr>
          <w:b/>
          <w:bCs/>
        </w:rPr>
        <w:t xml:space="preserve">Method:</w:t>
      </w:r>
      <w:r>
        <w:t xml:space="preserve"> 3–5 tests. For each, what it shows and what it changes.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826"/>
        <w:gridCol w:w="3835"/>
        <w:gridCol w:w="3431"/>
      </w:tblGrid>
      <w:tr>
        <w:trPr>
          <w:cantSplit/>
          <w:tblHeader/>
        </w:trPr>
        <w:tc>
          <w:tcPr>
            <w:tcW w:type="dxa" w:w="282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Test</w:t>
            </w:r>
          </w:p>
        </w:tc>
        <w:tc>
          <w:tcPr>
            <w:tcW w:type="dxa" w:w="383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it shows</w:t>
            </w:r>
          </w:p>
        </w:tc>
        <w:tc>
          <w:tcPr>
            <w:tcW w:type="dxa" w:w="343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Significance</w:t>
            </w:r>
          </w:p>
        </w:tc>
      </w:tr>
      <w:tr>
        <w:trPr>
          <w:cantSplit/>
        </w:trPr>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Gonioscopy</w:t>
            </w:r>
          </w:p>
        </w:tc>
        <w:tc>
          <w:tcPr>
            <w:tcW w:type="dxa" w:w="3835"/>
            <w:tcMar>
              <w:top w:type="dxa" w:w="60"/>
              <w:left w:type="dxa" w:w="80"/>
              <w:bottom w:type="dxa" w:w="60"/>
              <w:right w:type="dxa" w:w="80"/>
            </w:tcMar>
            <w:vAlign w:val="top"/>
          </w:tcPr>
          <w:p>
            <w:pPr>
              <w:widowControl/>
              <w:spacing w:after="0" w:before="0" w:line="245" w:lineRule="auto"/>
            </w:pPr>
            <w:r>
              <w:rPr>
                <w:sz w:val="17"/>
                <w:szCs w:val="17"/>
              </w:rPr>
              <w:t xml:space="preserve">Open or occludable angle; blotchy pigment; Sampaolesi’s line</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Open angle or angle closure (the angle is occludable in 9–18%)</w:t>
            </w:r>
          </w:p>
        </w:tc>
      </w:tr>
      <w:tr>
        <w:trPr>
          <w:cantSplit/>
        </w:trPr>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Dilated disc examination and Humphrey field</w:t>
            </w:r>
          </w:p>
        </w:tc>
        <w:tc>
          <w:tcPr>
            <w:tcW w:type="dxa" w:w="383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Cupping with diffuse rim loss; a glaucomatous field defect</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Pseudoexfoliation glaucoma rather than the syndrome alone</w:t>
            </w:r>
          </w:p>
        </w:tc>
      </w:tr>
      <w:tr>
        <w:trPr>
          <w:cantSplit/>
        </w:trPr>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Diurnal variation of intraocular pressure</w:t>
            </w:r>
          </w:p>
        </w:tc>
        <w:tc>
          <w:tcPr>
            <w:tcW w:type="dxa" w:w="3835"/>
            <w:tcMar>
              <w:top w:type="dxa" w:w="60"/>
              <w:left w:type="dxa" w:w="80"/>
              <w:bottom w:type="dxa" w:w="60"/>
              <w:right w:type="dxa" w:w="80"/>
            </w:tcMar>
            <w:vAlign w:val="top"/>
          </w:tcPr>
          <w:p>
            <w:pPr>
              <w:widowControl/>
              <w:spacing w:after="0" w:before="0" w:line="245" w:lineRule="auto"/>
            </w:pPr>
            <w:r>
              <w:rPr>
                <w:sz w:val="17"/>
                <w:szCs w:val="17"/>
              </w:rPr>
              <w:t xml:space="preserve">Wider swings than in primary open-angle glaucoma</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Sets a realistic target pressure</w:t>
            </w:r>
          </w:p>
        </w:tc>
      </w:tr>
      <w:tr>
        <w:trPr>
          <w:cantSplit/>
        </w:trPr>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Specular microscopy</w:t>
            </w:r>
          </w:p>
        </w:tc>
        <w:tc>
          <w:tcPr>
            <w:tcW w:type="dxa" w:w="383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Low endothelial cell density; altered cell size and shape</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Fitness for cataract surgery</w:t>
            </w:r>
          </w:p>
        </w:tc>
      </w:tr>
      <w:tr>
        <w:trPr>
          <w:cantSplit/>
        </w:trPr>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Ultrasound biomicroscopy, if phacodonesis</w:t>
            </w:r>
          </w:p>
        </w:tc>
        <w:tc>
          <w:tcPr>
            <w:tcW w:type="dxa" w:w="3835"/>
            <w:tcMar>
              <w:top w:type="dxa" w:w="60"/>
              <w:left w:type="dxa" w:w="80"/>
              <w:bottom w:type="dxa" w:w="60"/>
              <w:right w:type="dxa" w:w="80"/>
            </w:tcMar>
            <w:vAlign w:val="top"/>
          </w:tcPr>
          <w:p>
            <w:pPr>
              <w:widowControl/>
              <w:spacing w:after="0" w:before="0" w:line="245" w:lineRule="auto"/>
            </w:pPr>
            <w:r>
              <w:rPr>
                <w:sz w:val="17"/>
                <w:szCs w:val="17"/>
              </w:rPr>
              <w:t xml:space="preserve">The extent of zonular dialysis</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Plans the cataract surgery</w:t>
            </w:r>
          </w:p>
        </w:tc>
      </w:tr>
    </w:tbl>
    <w:p>
      <w:pPr>
        <w:pStyle w:val="Heading2"/>
        <w:widowControl/>
      </w:pPr>
      <w:r>
        <w:t xml:space="preserve">How I will manage</w:t>
      </w:r>
    </w:p>
    <w:p>
      <w:pPr>
        <w:widowControl/>
      </w:pPr>
      <w:r>
        <w:rPr>
          <w:b/>
          <w:bCs/>
        </w:rPr>
        <w:t xml:space="preserve">Method:</w:t>
      </w:r>
      <w:r>
        <w:t xml:space="preserve"> 3–6 first-person steps, each with its trigger. Each drug gets a one-line mechanism and its key adverse effect or contraindication. Each procedure gets one advantage and one disadvantage. Full profiles: card GX.</w:t>
      </w:r>
    </w:p>
    <w:p>
      <w:pPr>
        <w:pStyle w:val="ListParagraph"/>
        <w:keepLines/>
        <w:widowControl/>
        <w:numPr>
          <w:ilvl w:val="0"/>
          <w:numId w:val="9"/>
        </w:numPr>
        <w:spacing w:after="30"/>
      </w:pPr>
      <w:r>
        <w:rPr>
          <w:b/>
          <w:bCs/>
        </w:rPr>
        <w:t xml:space="preserve">Aim and approach.</w:t>
      </w:r>
      <w:r>
        <w:t xml:space="preserve"> I will treat aggressively, with frequent follow-up, because pseudoexfoliation glaucoma responds less well to drugs.</w:t>
      </w:r>
    </w:p>
    <w:p>
      <w:pPr>
        <w:pStyle w:val="ListParagraph"/>
        <w:keepLines/>
        <w:widowControl/>
        <w:numPr>
          <w:ilvl w:val="0"/>
          <w:numId w:val="9"/>
        </w:numPr>
        <w:spacing w:after="30"/>
      </w:pPr>
      <w:r>
        <w:rPr>
          <w:b/>
          <w:bCs/>
        </w:rPr>
        <w:t xml:space="preserve">Medical.</w:t>
      </w:r>
      <w:r>
        <w:t xml:space="preserve"> Latanoprost 0.005% at bedtime increases uveoscleral outflow; it darkens the iris and lengthens the lashes. Timolol 0.5% twice daily lowers aqueous production; I avoid it in asthma. One drug is usually not enough, so I will combine.</w:t>
      </w:r>
    </w:p>
    <w:p>
      <w:pPr>
        <w:pStyle w:val="ListParagraph"/>
        <w:keepLines/>
        <w:widowControl/>
        <w:numPr>
          <w:ilvl w:val="0"/>
          <w:numId w:val="9"/>
        </w:numPr>
        <w:spacing w:after="30"/>
      </w:pPr>
      <w:r>
        <w:rPr>
          <w:b/>
          <w:bCs/>
        </w:rPr>
        <w:t xml:space="preserve">Laser trabeculoplasty</w:t>
      </w:r>
      <w:r>
        <w:t xml:space="preserve">, if the pressure is not controlled. Advantage: it is more successful than in primary open-angle glaucoma. Disadvantage: the effect does not last as long.</w:t>
      </w:r>
    </w:p>
    <w:p>
      <w:pPr>
        <w:pStyle w:val="ListParagraph"/>
        <w:keepLines/>
        <w:widowControl/>
        <w:numPr>
          <w:ilvl w:val="0"/>
          <w:numId w:val="9"/>
        </w:numPr>
        <w:spacing w:after="30"/>
      </w:pPr>
      <w:r>
        <w:rPr>
          <w:b/>
          <w:bCs/>
        </w:rPr>
        <w:t xml:space="preserve">Trabeculectomy</w:t>
      </w:r>
      <w:r>
        <w:t xml:space="preserve">, if the target pressure is not reached or the glaucoma progresses; combined with cataract surgery when both are needed. Advantage: the partial-thickness flap gives uniform pressure control with less hypotony. Disadvantage: bleb leak, bleb infection and cataract.</w:t>
      </w:r>
    </w:p>
    <w:p>
      <w:pPr>
        <w:pStyle w:val="ListParagraph"/>
        <w:keepLines/>
        <w:widowControl/>
        <w:numPr>
          <w:ilvl w:val="0"/>
          <w:numId w:val="9"/>
        </w:numPr>
        <w:spacing w:after="30"/>
      </w:pPr>
      <w:r>
        <w:rPr>
          <w:b/>
          <w:bCs/>
        </w:rPr>
        <w:t xml:space="preserve">Cataract surgery with precautions.</w:t>
      </w:r>
      <w:r>
        <w:t xml:space="preserve"> Iris hooks or a pupil expansion ring for the small pupil. A dispersive viscoelastic for the endothelium. A capsular tension ring for weak zonules.</w:t>
      </w:r>
    </w:p>
    <w:p>
      <w:pPr>
        <w:pStyle w:val="ListParagraph"/>
        <w:keepLines/>
        <w:widowControl/>
        <w:numPr>
          <w:ilvl w:val="0"/>
          <w:numId w:val="9"/>
        </w:numPr>
        <w:spacing w:after="60"/>
      </w:pPr>
      <w:r>
        <w:rPr>
          <w:b/>
          <w:bCs/>
        </w:rPr>
        <w:t xml:space="preserve">Follow-up.</w:t>
      </w:r>
      <w:r>
        <w:t xml:space="preserve"> Yearly without glaucoma; every 3 months with glaucoma.</w:t>
      </w:r>
    </w:p>
    <w:p>
      <w:pPr>
        <w:pStyle w:val="Heading2"/>
        <w:widowControl/>
      </w:pPr>
      <w:r>
        <w:t xml:space="preserve">Must know</w:t>
      </w:r>
    </w:p>
    <w:p>
      <w:pPr>
        <w:keepNext/>
        <w:widowControl/>
      </w:pPr>
      <w:r>
        <w:rPr>
          <w:b/>
          <w:bCs/>
        </w:rPr>
        <w:t xml:space="preserve">Method:</w:t>
      </w:r>
      <w:r>
        <w:t xml:space="preserve"> the book’s definition first, then related terms, the classification and the key numbers.</w:t>
      </w:r>
    </w:p>
    <w:p>
      <w:pPr>
        <w:pStyle w:val="ListParagraph"/>
        <w:keepLines/>
        <w:widowControl/>
        <w:numPr>
          <w:ilvl w:val="0"/>
          <w:numId w:val="2"/>
        </w:numPr>
        <w:spacing w:after="30"/>
      </w:pPr>
      <w:r>
        <w:rPr>
          <w:b/>
          <w:bCs/>
        </w:rPr>
        <w:t xml:space="preserve">Pseudoexfoliation syndrome</w:t>
      </w:r>
      <w:r>
        <w:t xml:space="preserve"> is “an age-related systemic syndrome where mainly ocular tissues are affected through the gradual deposition of fibrillary white flaky material from the lens, mainly on the lens capsule, ciliary body, zonules, corneal endothelium, iris and pupillary margin resulting in secondary glaucoma.” In plain words: white flakes from the lens settle all over the front of the eye and clog the drainage angle.</w:t>
      </w:r>
    </w:p>
    <w:p>
      <w:pPr>
        <w:pStyle w:val="ListParagraph"/>
        <w:keepLines/>
        <w:widowControl/>
        <w:numPr>
          <w:ilvl w:val="0"/>
          <w:numId w:val="2"/>
        </w:numPr>
        <w:spacing w:after="30"/>
      </w:pPr>
      <w:r>
        <w:rPr>
          <w:b/>
          <w:bCs/>
        </w:rPr>
        <w:t xml:space="preserve">Glaucoma capsulare:</w:t>
      </w:r>
      <w:r>
        <w:t xml:space="preserve"> glaucoma in an eye with pseudoexfoliation; usually unilateral.</w:t>
      </w:r>
    </w:p>
    <w:p>
      <w:pPr>
        <w:pStyle w:val="ListParagraph"/>
        <w:keepLines/>
        <w:widowControl/>
        <w:numPr>
          <w:ilvl w:val="0"/>
          <w:numId w:val="2"/>
        </w:numPr>
        <w:spacing w:after="30"/>
      </w:pPr>
      <w:r>
        <w:rPr>
          <w:b/>
          <w:bCs/>
        </w:rPr>
        <w:t xml:space="preserve">Who:</w:t>
      </w:r>
      <w:r>
        <w:t xml:space="preserve"> after 50, mostly in the seventh decade; men and women equally; commonest in Scandinavians.</w:t>
      </w:r>
    </w:p>
    <w:p>
      <w:pPr>
        <w:pStyle w:val="ListParagraph"/>
        <w:keepLines/>
        <w:widowControl/>
        <w:numPr>
          <w:ilvl w:val="0"/>
          <w:numId w:val="2"/>
        </w:numPr>
        <w:spacing w:after="30"/>
      </w:pPr>
      <w:r>
        <w:rPr>
          <w:b/>
          <w:bCs/>
        </w:rPr>
        <w:t xml:space="preserve">40%</w:t>
      </w:r>
      <w:r>
        <w:t xml:space="preserve"> develop glaucoma or ocular hypertension. The angle is occludable in </w:t>
      </w:r>
      <w:r>
        <w:rPr>
          <w:b/>
          <w:bCs/>
        </w:rPr>
        <w:t xml:space="preserve">9–18%</w:t>
      </w:r>
      <w:r>
        <w:t xml:space="preserve">.</w:t>
      </w:r>
    </w:p>
    <w:p>
      <w:pPr>
        <w:pStyle w:val="ListParagraph"/>
        <w:keepLines/>
        <w:widowControl/>
        <w:numPr>
          <w:ilvl w:val="0"/>
          <w:numId w:val="2"/>
        </w:numPr>
        <w:spacing w:after="30"/>
      </w:pPr>
      <w:r>
        <w:rPr>
          <w:b/>
          <w:bCs/>
        </w:rPr>
        <w:t xml:space="preserve">Hallmark:</w:t>
      </w:r>
      <w:r>
        <w:t xml:space="preserve"> flecks on the pupillary margin. </w:t>
      </w:r>
      <w:r>
        <w:rPr>
          <w:b/>
          <w:bCs/>
        </w:rPr>
        <w:t xml:space="preserve">Most consistent sign:</w:t>
      </w:r>
      <w:r>
        <w:t xml:space="preserve"> the whitish powdery ring on the anterior capsule.</w:t>
      </w:r>
    </w:p>
    <w:p>
      <w:pPr>
        <w:pStyle w:val="ListParagraph"/>
        <w:keepLines/>
        <w:widowControl/>
        <w:numPr>
          <w:ilvl w:val="0"/>
          <w:numId w:val="2"/>
        </w:numPr>
        <w:spacing w:after="60"/>
      </w:pPr>
      <w:r>
        <w:rPr>
          <w:b/>
          <w:bCs/>
        </w:rPr>
        <w:t xml:space="preserve">Pseudoexfoliation glaucoma versus primary open-angle glaucoma:</w:t>
      </w:r>
      <w:r>
        <w:t xml:space="preserve"> it starts later (over 60) and usually in one eye. The pressure is higher, often above 40 mm Hg, with wider swings. It responds less well to drugs.</w:t>
      </w:r>
    </w:p>
    <w:p>
      <w:pPr>
        <w:pStyle w:val="Heading2"/>
        <w:widowControl/>
      </w:pPr>
      <w:r>
        <w:t xml:space="preserve">Viva questions</w:t>
      </w:r>
    </w:p>
    <w:p>
      <w:pPr>
        <w:widowControl/>
      </w:pPr>
      <w:r>
        <w:rPr>
          <w:b/>
          <w:bCs/>
        </w:rPr>
        <w:t xml:space="preserve">Method:</w:t>
      </w:r>
      <w:r>
        <w:t xml:space="preserve"> a real short-case card has 12–18, basics first. Here are four that come up in every pseudoexfoliation case.</w:t>
      </w:r>
    </w:p>
    <w:p>
      <w:pPr>
        <w:keepNext/>
        <w:keepLines/>
        <w:widowControl/>
        <w:tabs>
          <w:tab w:val="left" w:pos="227"/>
        </w:tabs>
        <w:spacing w:after="0" w:before="50"/>
        <w:ind w:left="227" w:hanging="227"/>
      </w:pPr>
      <w:r>
        <w:rPr>
          <w:b/>
          <w:bCs/>
          <w:color w:val="1F3864"/>
        </w:rPr>
        <w:t xml:space="preserve">Q</w:t>
      </w:r>
      <w:r>
        <w:tab/>
      </w:r>
      <w:r>
        <w:rPr>
          <w:b/>
          <w:bCs/>
        </w:rPr>
        <w:t xml:space="preserve">What is true exfoliation?</w:t>
      </w:r>
    </w:p>
    <w:p>
      <w:pPr>
        <w:keepLines/>
        <w:widowControl/>
        <w:spacing w:after="40"/>
        <w:ind w:left="227"/>
      </w:pPr>
      <w:r>
        <w:rPr>
          <w:b/>
          <w:bCs/>
        </w:rPr>
        <w:t xml:space="preserve">True exfoliation</w:t>
      </w:r>
      <w:r>
        <w:t xml:space="preserve"> is a lamellar delamination of the anterior lens capsule into thin, clear scrolls. It follows heat or infrared exposure, as in glassblowers. Glaucoma is infrequent.</w:t>
      </w:r>
    </w:p>
    <w:p>
      <w:pPr>
        <w:keepNext/>
        <w:keepLines/>
        <w:widowControl/>
        <w:tabs>
          <w:tab w:val="left" w:pos="227"/>
        </w:tabs>
        <w:spacing w:after="0" w:before="50"/>
        <w:ind w:left="227" w:hanging="227"/>
      </w:pPr>
      <w:r>
        <w:rPr>
          <w:b/>
          <w:bCs/>
          <w:color w:val="1F3864"/>
        </w:rPr>
        <w:t xml:space="preserve">Q</w:t>
      </w:r>
      <w:r>
        <w:tab/>
      </w:r>
      <w:r>
        <w:rPr>
          <w:b/>
          <w:bCs/>
        </w:rPr>
        <w:t xml:space="preserve">Why are the zonules weak?</w:t>
      </w:r>
    </w:p>
    <w:p>
      <w:pPr>
        <w:keepLines/>
        <w:widowControl/>
        <w:spacing w:after="40"/>
        <w:ind w:left="227"/>
      </w:pPr>
      <w:r>
        <w:rPr>
          <w:b/>
          <w:bCs/>
        </w:rPr>
        <w:t xml:space="preserve">Zonular weakness</w:t>
      </w:r>
      <w:r>
        <w:t xml:space="preserve"> comes from the material invading the zonular attachments; its proteolytic enzymes break them.</w:t>
      </w:r>
    </w:p>
    <w:p>
      <w:pPr>
        <w:keepNext/>
        <w:keepLines/>
        <w:widowControl/>
        <w:tabs>
          <w:tab w:val="left" w:pos="227"/>
        </w:tabs>
        <w:spacing w:after="0" w:before="50"/>
        <w:ind w:left="227" w:hanging="227"/>
      </w:pPr>
      <w:r>
        <w:rPr>
          <w:b/>
          <w:bCs/>
          <w:color w:val="1F3864"/>
        </w:rPr>
        <w:t xml:space="preserve">Q</w:t>
      </w:r>
      <w:r>
        <w:tab/>
      </w:r>
      <w:r>
        <w:rPr>
          <w:b/>
          <w:bCs/>
        </w:rPr>
        <w:t xml:space="preserve">What precautions will you take at cataract surgery?</w:t>
      </w:r>
    </w:p>
    <w:p>
      <w:pPr>
        <w:keepLines/>
        <w:widowControl/>
        <w:spacing w:after="40"/>
        <w:ind w:left="227"/>
      </w:pPr>
      <w:r>
        <w:t xml:space="preserve">For the small pupil, iris hooks or an expansion ring. For the endothelium, a dispersive viscoelastic. For weak zonules, a chop technique and a </w:t>
      </w:r>
      <w:r>
        <w:rPr>
          <w:b/>
          <w:bCs/>
        </w:rPr>
        <w:t xml:space="preserve">capsular tension ring</w:t>
      </w:r>
      <w:r>
        <w:t xml:space="preserve">. After surgery, steroids given aggressively and for longer.</w:t>
      </w:r>
    </w:p>
    <w:p>
      <w:pPr>
        <w:keepNext/>
        <w:keepLines/>
        <w:widowControl/>
        <w:tabs>
          <w:tab w:val="left" w:pos="227"/>
        </w:tabs>
        <w:spacing w:after="0" w:before="50"/>
        <w:ind w:left="227" w:hanging="227"/>
      </w:pPr>
      <w:r>
        <w:rPr>
          <w:b/>
          <w:bCs/>
          <w:color w:val="1F3864"/>
        </w:rPr>
        <w:t xml:space="preserve">Q</w:t>
      </w:r>
      <w:r>
        <w:tab/>
      </w:r>
      <w:r>
        <w:rPr>
          <w:b/>
          <w:bCs/>
        </w:rPr>
        <w:t xml:space="preserve">How does pseudoexfoliation glaucoma differ from primary open-angle glaucoma?</w:t>
      </w:r>
    </w:p>
    <w:p>
      <w:pPr>
        <w:keepLines/>
        <w:widowControl/>
        <w:spacing w:after="40"/>
        <w:ind w:left="227"/>
      </w:pPr>
      <w:r>
        <w:rPr>
          <w:b/>
          <w:bCs/>
        </w:rPr>
        <w:t xml:space="preserve">Pseudoexfoliation glaucoma</w:t>
      </w:r>
      <w:r>
        <w:t xml:space="preserve"> starts later and is usually one-sided. The pressure is higher, with wider daily swings. It progresses faster and responds poorly to drugs.</w:t>
      </w:r>
    </w:p>
    <w:p>
      <w:pPr>
        <w:pStyle w:val="Heading2"/>
        <w:widowControl/>
      </w:pPr>
      <w:r>
        <w:t xml:space="preserve">Quick recall</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Lines/>
              <w:widowControl/>
              <w:numPr>
                <w:ilvl w:val="0"/>
                <w:numId w:val="2"/>
              </w:numPr>
              <w:spacing w:after="30"/>
            </w:pPr>
            <w:r>
              <w:rPr>
                <w:b/>
                <w:bCs/>
              </w:rPr>
              <w:t xml:space="preserve">Order:</w:t>
            </w:r>
            <w:r>
              <w:t xml:space="preserve"> pupils before drops → slit lamp undilated → tonometry → gonioscopy → dilate → lens and disc.</w:t>
            </w:r>
          </w:p>
          <w:p>
            <w:pPr>
              <w:pStyle w:val="ListParagraph"/>
              <w:keepLines/>
              <w:widowControl/>
              <w:numPr>
                <w:ilvl w:val="0"/>
                <w:numId w:val="2"/>
              </w:numPr>
              <w:spacing w:after="30"/>
            </w:pPr>
            <w:r>
              <w:rPr>
                <w:b/>
                <w:bCs/>
              </w:rPr>
              <w:t xml:space="preserve">Four points:</w:t>
            </w:r>
            <w:r>
              <w:t xml:space="preserve"> colour · nature · location · with or without iris atrophy.</w:t>
            </w:r>
          </w:p>
          <w:p>
            <w:pPr>
              <w:pStyle w:val="ListParagraph"/>
              <w:keepLines/>
              <w:widowControl/>
              <w:numPr>
                <w:ilvl w:val="0"/>
                <w:numId w:val="2"/>
              </w:numPr>
              <w:spacing w:after="30"/>
            </w:pPr>
            <w:r>
              <w:rPr>
                <w:b/>
                <w:bCs/>
              </w:rPr>
              <w:t xml:space="preserve">Three zones:</w:t>
            </w:r>
            <w:r>
              <w:t xml:space="preserve"> central disc (absent in 20%) · clear zone · peripheral granular zone (after dilatation).</w:t>
            </w:r>
          </w:p>
          <w:p>
            <w:pPr>
              <w:pStyle w:val="ListParagraph"/>
              <w:keepLines/>
              <w:widowControl/>
              <w:numPr>
                <w:ilvl w:val="0"/>
                <w:numId w:val="2"/>
              </w:numPr>
              <w:spacing w:after="30"/>
            </w:pPr>
            <w:r>
              <w:rPr>
                <w:b/>
                <w:bCs/>
              </w:rPr>
              <w:t xml:space="preserve">Sampaolesi’s line:</w:t>
            </w:r>
            <w:r>
              <w:t xml:space="preserve"> on or in front of Schwalbe’s line; not specific.</w:t>
            </w:r>
          </w:p>
          <w:p>
            <w:pPr>
              <w:pStyle w:val="ListParagraph"/>
              <w:keepLines/>
              <w:widowControl/>
              <w:numPr>
                <w:ilvl w:val="0"/>
                <w:numId w:val="2"/>
              </w:numPr>
              <w:spacing w:after="0"/>
            </w:pPr>
            <w:r>
              <w:rPr>
                <w:b/>
                <w:bCs/>
              </w:rPr>
              <w:t xml:space="preserve">40%</w:t>
            </w:r>
            <w:r>
              <w:t xml:space="preserve"> get glaucoma or ocular hypertension; occludable angle in 9–18%.</w:t>
            </w:r>
          </w:p>
        </w:tc>
      </w:tr>
    </w:tbl>
    <w:p>
      <w:pPr>
        <w:pStyle w:val="Heading2"/>
        <w:widowControl/>
      </w:pPr>
      <w:r>
        <w:t xml:space="preserve">Glaucoma short cases were do-and-show</w:t>
      </w:r>
    </w:p>
    <w:p>
      <w:pPr>
        <w:keepNext/>
        <w:widowControl/>
      </w:pPr>
      <w:r>
        <w:t xml:space="preserve">Last year most of the 12 glaucoma patients carried a task to perform in front of the examiner:</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523"/>
        <w:gridCol w:w="1716"/>
        <w:gridCol w:w="5853"/>
      </w:tblGrid>
      <w:tr>
        <w:trPr>
          <w:cantSplit/>
          <w:tblHeader/>
        </w:trPr>
        <w:tc>
          <w:tcPr>
            <w:tcW w:type="dxa" w:w="252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Task</w:t>
            </w:r>
          </w:p>
        </w:tc>
        <w:tc>
          <w:tcPr>
            <w:tcW w:type="dxa" w:w="171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Last year</w:t>
            </w:r>
          </w:p>
        </w:tc>
        <w:tc>
          <w:tcPr>
            <w:tcW w:type="dxa" w:w="585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Do it, then record</w:t>
            </w:r>
          </w:p>
        </w:tc>
      </w:tr>
      <w:tr>
        <w:trPr>
          <w:cantSplit/>
        </w:trPr>
        <w:tc>
          <w:tcPr>
            <w:tcW w:type="dxa" w:w="2523"/>
            <w:tcMar>
              <w:top w:type="dxa" w:w="60"/>
              <w:left w:type="dxa" w:w="80"/>
              <w:bottom w:type="dxa" w:w="60"/>
              <w:right w:type="dxa" w:w="80"/>
            </w:tcMar>
            <w:vAlign w:val="top"/>
          </w:tcPr>
          <w:p>
            <w:pPr>
              <w:widowControl/>
              <w:spacing w:after="0" w:before="0" w:line="245" w:lineRule="auto"/>
            </w:pPr>
            <w:r>
              <w:rPr>
                <w:sz w:val="17"/>
                <w:szCs w:val="17"/>
              </w:rPr>
              <w:t xml:space="preserve">Applanation tonometry (card G8)</w:t>
            </w:r>
          </w:p>
        </w:tc>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8 of 12</w:t>
            </w:r>
          </w:p>
        </w:tc>
        <w:tc>
          <w:tcPr>
            <w:tcW w:type="dxa" w:w="5853"/>
            <w:tcMar>
              <w:top w:type="dxa" w:w="60"/>
              <w:left w:type="dxa" w:w="80"/>
              <w:bottom w:type="dxa" w:w="60"/>
              <w:right w:type="dxa" w:w="80"/>
            </w:tcMar>
            <w:vAlign w:val="top"/>
          </w:tcPr>
          <w:p>
            <w:pPr>
              <w:widowControl/>
              <w:spacing w:after="0" w:before="0" w:line="245" w:lineRule="auto"/>
            </w:pPr>
            <w:r>
              <w:rPr>
                <w:sz w:val="17"/>
                <w:szCs w:val="17"/>
              </w:rPr>
              <w:t xml:space="preserve">Consent, instruction, topical anaesthetic, fluorescein, disinfected prism; both eyes; eye, method, value, time</w:t>
            </w:r>
          </w:p>
        </w:tc>
      </w:tr>
      <w:tr>
        <w:trPr>
          <w:cantSplit/>
        </w:trPr>
        <w:tc>
          <w:tcPr>
            <w:tcW w:type="dxa" w:w="252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Gonioscopy (card G9)</w:t>
            </w:r>
          </w:p>
        </w:tc>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8 of 12, every angle-closure glaucoma</w:t>
            </w:r>
          </w:p>
        </w:tc>
        <w:tc>
          <w:tcPr>
            <w:tcW w:type="dxa" w:w="585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After tonometry, before dilating; anaesthetic, disinfected lens; one cross per eye, deepest structure per quadrant; name the grading</w:t>
            </w:r>
          </w:p>
        </w:tc>
      </w:tr>
      <w:tr>
        <w:trPr>
          <w:cantSplit/>
        </w:trPr>
        <w:tc>
          <w:tcPr>
            <w:tcW w:type="dxa" w:w="2523"/>
            <w:tcMar>
              <w:top w:type="dxa" w:w="60"/>
              <w:left w:type="dxa" w:w="80"/>
              <w:bottom w:type="dxa" w:w="60"/>
              <w:right w:type="dxa" w:w="80"/>
            </w:tcMar>
            <w:vAlign w:val="top"/>
          </w:tcPr>
          <w:p>
            <w:pPr>
              <w:widowControl/>
              <w:spacing w:after="0" w:before="0" w:line="245" w:lineRule="auto"/>
            </w:pPr>
            <w:r>
              <w:rPr>
                <w:sz w:val="17"/>
                <w:szCs w:val="17"/>
              </w:rPr>
              <w:t xml:space="preserve">Humphrey field (card G10)</w:t>
            </w:r>
          </w:p>
        </w:tc>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3 of 12</w:t>
            </w:r>
          </w:p>
        </w:tc>
        <w:tc>
          <w:tcPr>
            <w:tcW w:type="dxa" w:w="5853"/>
            <w:tcMar>
              <w:top w:type="dxa" w:w="60"/>
              <w:left w:type="dxa" w:w="80"/>
              <w:bottom w:type="dxa" w:w="60"/>
              <w:right w:type="dxa" w:w="80"/>
            </w:tcMar>
            <w:vAlign w:val="top"/>
          </w:tcPr>
          <w:p>
            <w:pPr>
              <w:widowControl/>
              <w:spacing w:after="0" w:before="0" w:line="245" w:lineRule="auto"/>
            </w:pPr>
            <w:r>
              <w:rPr>
                <w:sz w:val="17"/>
                <w:szCs w:val="17"/>
              </w:rPr>
              <w:t xml:space="preserve">Reliability first; defect on the pattern deviation plot; stage; match it to the disc</w:t>
            </w:r>
          </w:p>
        </w:tc>
      </w:tr>
    </w:tbl>
    <w:p>
      <w:pPr>
        <w:widowControl/>
        <w:spacing w:before="110"/>
      </w:pPr>
      <w:r>
        <w:t xml:space="preserve">Treatment status was noted (“on anti-glaucoma medication” or not), so always state the current drops. Be ready for all three tasks on any glaucoma patient.</w:t>
      </w:r>
    </w:p>
    <w:p>
      <w:pPr>
        <w:pStyle w:val="Heading2"/>
        <w:widowControl/>
      </w:pPr>
      <w:r>
        <w:t xml:space="preserve">Timing — 10 + 5 minutes</w:t>
      </w:r>
    </w:p>
    <w:p>
      <w:pPr>
        <w:pStyle w:val="ListParagraph"/>
        <w:keepLines/>
        <w:widowControl/>
        <w:numPr>
          <w:ilvl w:val="0"/>
          <w:numId w:val="2"/>
        </w:numPr>
        <w:spacing w:after="30"/>
      </w:pPr>
      <w:r>
        <w:rPr>
          <w:b/>
          <w:bCs/>
        </w:rPr>
        <w:t xml:space="preserve">Minutes 0–1:</w:t>
      </w:r>
      <w:r>
        <w:t xml:space="preserve"> instruction, consent, inspection.</w:t>
      </w:r>
    </w:p>
    <w:p>
      <w:pPr>
        <w:pStyle w:val="ListParagraph"/>
        <w:keepLines/>
        <w:widowControl/>
        <w:numPr>
          <w:ilvl w:val="0"/>
          <w:numId w:val="2"/>
        </w:numPr>
        <w:spacing w:after="30"/>
      </w:pPr>
      <w:r>
        <w:rPr>
          <w:b/>
          <w:bCs/>
        </w:rPr>
        <w:t xml:space="preserve">Minutes 1–7:</w:t>
      </w:r>
      <w:r>
        <w:t xml:space="preserve"> examination.</w:t>
      </w:r>
    </w:p>
    <w:p>
      <w:pPr>
        <w:pStyle w:val="ListParagraph"/>
        <w:keepLines/>
        <w:widowControl/>
        <w:numPr>
          <w:ilvl w:val="0"/>
          <w:numId w:val="2"/>
        </w:numPr>
        <w:spacing w:after="30"/>
      </w:pPr>
      <w:r>
        <w:rPr>
          <w:b/>
          <w:bCs/>
        </w:rPr>
        <w:t xml:space="preserve">Minutes 7–10:</w:t>
      </w:r>
      <w:r>
        <w:t xml:space="preserve"> description, diagnosis, differentials, plan.</w:t>
      </w:r>
    </w:p>
    <w:p>
      <w:pPr>
        <w:pStyle w:val="ListParagraph"/>
        <w:keepLines/>
        <w:widowControl/>
        <w:numPr>
          <w:ilvl w:val="0"/>
          <w:numId w:val="2"/>
        </w:numPr>
        <w:spacing w:after="60"/>
      </w:pPr>
      <w:r>
        <w:rPr>
          <w:b/>
          <w:bCs/>
        </w:rPr>
        <w:t xml:space="preserve">Then 5 minutes of questions.</w:t>
      </w:r>
    </w:p>
    <w:p>
      <w:pPr>
        <w:keepNext/>
        <w:widowControl/>
      </w:pPr>
      <w:r>
        <w:t xml:space="preserve">The split is not official. If asked for the diagnosis early, give it at once.</w:t>
      </w:r>
    </w:p>
    <w:p>
      <w:pPr>
        <w:keepLines/>
        <w:widowControl/>
        <w:pBdr>
          <w:top w:val="single" w:color="BFBFBF" w:sz="4" w:space="4"/>
        </w:pBdr>
        <w:spacing w:after="0" w:before="160"/>
        <w:sectPr>
          <w:footerReference w:type="default" r:id="rId8"/>
          <w:type w:val="nextPage"/>
          <w:pgSz w:w="11906" w:h="16838" w:orient="portrait"/>
          <w:pgMar w:top="794" w:right="907" w:bottom="794" w:left="907" w:header="397" w:footer="397" w:gutter="0"/>
          <w:pgNumType/>
          <w:docGrid w:linePitch="360"/>
        </w:sectPr>
      </w:pPr>
      <w:r>
        <w:rPr>
          <w:i/>
          <w:iCs/>
          <w:color w:val="7F7F7F"/>
          <w:sz w:val="16"/>
          <w:szCs w:val="16"/>
        </w:rPr>
        <w:t xml:space="preserve">Read more: </w:t>
      </w:r>
      <w:r>
        <w:rPr>
          <w:i/>
          <w:iCs/>
          <w:color w:val="7F7F7F"/>
          <w:sz w:val="16"/>
          <w:szCs w:val="16"/>
        </w:rPr>
        <w:t xml:space="preserve">Last year’s glaucoma case list (tasks noted) · Department DigiNerve slides (pseudoexfoliation, Van Herick) · Cards G6, G8, G9, G10 · Baidya p.150, 155, 157, 167–169 · Namrata p.175–177, 203–207 · Aravind 4.11; 4.15; 4.18; “Case sheet writing” p.666</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D" w:id="4"/>
            <w:r>
              <w:rPr>
                <w:b/>
                <w:bCs/>
                <w:color w:val="FFFFFF"/>
                <w:sz w:val="28"/>
                <w:szCs w:val="28"/>
              </w:rPr>
              <w:t xml:space="preserve">D  Card index, checklist coverage map and toolkit list</w:t>
            </w:r>
            <w:bookmarkEnd w:id="4"/>
          </w:p>
          <w:p>
            <w:pPr>
              <w:spacing w:after="0" w:before="0"/>
            </w:pPr>
            <w:r>
              <w:rPr>
                <w:rFonts w:ascii="Segoe UI Symbol" w:cs="Segoe UI Symbol" w:eastAsia="Segoe UI Symbol" w:hAnsi="Segoe UI Symbol"/>
                <w:color w:val="FFC000"/>
                <w:sz w:val="18"/>
                <w:szCs w:val="18"/>
              </w:rPr>
              <w:t xml:space="preserve">★</w:t>
            </w:r>
            <w:r>
              <w:rPr>
                <w:color w:val="FFFFFF"/>
                <w:sz w:val="18"/>
                <w:szCs w:val="18"/>
              </w:rPr>
              <w:t xml:space="preserve"> = kept at JEH last year · 68 cards in 7 subject files, 6 of them toolkits · 21 cards marked </w:t>
            </w:r>
            <w:r>
              <w:rPr>
                <w:rFonts w:ascii="Segoe UI Symbol" w:cs="Segoe UI Symbol" w:eastAsia="Segoe UI Symbol" w:hAnsi="Segoe UI Symbol"/>
                <w:color w:val="FFC000"/>
                <w:sz w:val="18"/>
                <w:szCs w:val="18"/>
              </w:rPr>
              <w:t xml:space="preserve">★</w:t>
            </w:r>
          </w:p>
        </w:tc>
      </w:tr>
    </w:tbl>
    <w:p>
      <w:pPr>
        <w:pStyle w:val="Heading2"/>
        <w:widowControl/>
      </w:pPr>
      <w:r>
        <w:t xml:space="preserve">How to use this card</w:t>
      </w:r>
    </w:p>
    <w:p>
      <w:pPr>
        <w:pStyle w:val="ListParagraph"/>
        <w:keepLines/>
        <w:widowControl/>
        <w:numPr>
          <w:ilvl w:val="0"/>
          <w:numId w:val="2"/>
        </w:numPr>
        <w:spacing w:after="30"/>
      </w:pPr>
      <w:r>
        <w:rPr>
          <w:b/>
          <w:bCs/>
        </w:rPr>
        <w:t xml:space="preserve">To find a checklist line</w:t>
      </w:r>
      <w:r>
        <w:t xml:space="preserve">, look in the coverage map for its subject. The card and block named there answer it.</w:t>
      </w:r>
    </w:p>
    <w:p>
      <w:pPr>
        <w:pStyle w:val="ListParagraph"/>
        <w:keepLines/>
        <w:widowControl/>
        <w:numPr>
          <w:ilvl w:val="0"/>
          <w:numId w:val="2"/>
        </w:numPr>
        <w:spacing w:after="30"/>
      </w:pPr>
      <w:r>
        <w:rPr>
          <w:b/>
          <w:bCs/>
        </w:rPr>
        <w:t xml:space="preserve">Each case card holds only what is special to its case.</w:t>
      </w:r>
      <w:r>
        <w:t xml:space="preserve"> The generic proforma, fundus format and short-case method are on cards A, B and C.</w:t>
      </w:r>
    </w:p>
    <w:p>
      <w:pPr>
        <w:pStyle w:val="ListParagraph"/>
        <w:keepLines/>
        <w:widowControl/>
        <w:numPr>
          <w:ilvl w:val="0"/>
          <w:numId w:val="2"/>
        </w:numPr>
        <w:spacing w:after="30"/>
      </w:pPr>
      <w:r>
        <w:rPr>
          <w:b/>
          <w:bCs/>
        </w:rPr>
        <w:t xml:space="preserve">The full drug, laser and surgery profiles</w:t>
      </w:r>
      <w:r>
        <w:t xml:space="preserve"> are on each subject’s toolkit card, the first card in each file.</w:t>
      </w:r>
    </w:p>
    <w:p>
      <w:pPr>
        <w:pStyle w:val="ListParagraph"/>
        <w:keepLines/>
        <w:widowControl/>
        <w:numPr>
          <w:ilvl w:val="0"/>
          <w:numId w:val="2"/>
        </w:numPr>
        <w:spacing w:after="60"/>
      </w:pPr>
      <w:r>
        <w:rPr>
          <w:b/>
          <w:bCs/>
        </w:rPr>
        <w:t xml:space="preserve">Revise </w:t>
      </w:r>
      <w:r>
        <w:rPr>
          <w:rFonts w:ascii="Segoe UI Symbol" w:cs="Segoe UI Symbol" w:eastAsia="Segoe UI Symbol" w:hAnsi="Segoe UI Symbol"/>
          <w:b/>
          <w:bCs/>
          <w:color w:val="C99700"/>
        </w:rPr>
        <w:t xml:space="preserve">★</w:t>
      </w:r>
      <w:r>
        <w:rPr>
          <w:b/>
          <w:bCs/>
        </w:rPr>
        <w:t xml:space="preserve"> cards first.</w:t>
      </w:r>
      <w:r>
        <w:t xml:space="preserve"> Joseph Eye Hospital (JEH) draws its exam cases from its own patients, so expect last year’s pattern again.</w:t>
      </w:r>
    </w:p>
    <w:p>
      <w:pPr>
        <w:pStyle w:val="Heading2"/>
        <w:widowControl/>
      </w:pPr>
      <w:r>
        <w:t xml:space="preserve">Every card, by file</w:t>
      </w:r>
    </w:p>
    <w:p>
      <w:pPr>
        <w:pStyle w:val="Heading3"/>
        <w:widowControl/>
      </w:pPr>
      <w:r>
        <w:t xml:space="preserve">01_Glaucoma_Case_Cards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807"/>
        <w:gridCol w:w="6459"/>
        <w:gridCol w:w="1009"/>
        <w:gridCol w:w="1817"/>
      </w:tblGrid>
      <w:tr>
        <w:trPr>
          <w:cantSplit/>
          <w:tblHeader/>
        </w:trPr>
        <w:tc>
          <w:tcPr>
            <w:tcW w:type="dxa" w:w="80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ID</w:t>
            </w:r>
          </w:p>
        </w:tc>
        <w:tc>
          <w:tcPr>
            <w:tcW w:type="dxa" w:w="645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c>
          <w:tcPr>
            <w:tcW w:type="dxa" w:w="100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Type</w:t>
            </w:r>
          </w:p>
        </w:tc>
        <w:tc>
          <w:tcPr>
            <w:tcW w:type="dxa" w:w="1817"/>
            <w:shd w:fill="1F3864" w:color="auto" w:val="clear"/>
            <w:tcMar>
              <w:top w:type="dxa" w:w="60"/>
              <w:left w:type="dxa" w:w="80"/>
              <w:bottom w:type="dxa" w:w="60"/>
              <w:right w:type="dxa" w:w="80"/>
            </w:tcMar>
            <w:vAlign w:val="center"/>
          </w:tcPr>
          <w:p>
            <w:pPr>
              <w:widowControl/>
              <w:spacing w:after="0" w:before="0" w:line="245" w:lineRule="auto"/>
            </w:pPr>
            <w:r>
              <w:rPr>
                <w:rFonts w:ascii="Segoe UI Symbol" w:cs="Segoe UI Symbol" w:eastAsia="Segoe UI Symbol" w:hAnsi="Segoe UI Symbol"/>
                <w:b/>
                <w:bCs/>
                <w:color w:val="C99700"/>
                <w:sz w:val="17"/>
                <w:szCs w:val="17"/>
              </w:rPr>
              <w:t xml:space="preserve">★</w:t>
            </w:r>
            <w:r>
              <w:rPr>
                <w:b/>
                <w:bCs/>
                <w:color w:val="FFFFFF"/>
                <w:sz w:val="17"/>
                <w:szCs w:val="17"/>
              </w:rPr>
              <w:t xml:space="preserve"> last year</w:t>
            </w: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GX</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Glaucoma treatment toolkit: every drug, laser and operation the glaucoma cards use</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X</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G1</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Primary open-angle glaucoma (POAG), including the glaucomatous optic disc</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×6</w:t>
            </w: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G2</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POAG with trabeculectomy: bleb assessment, failed bleb</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L</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G3</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POAG with glaucoma drainage device (GDD)</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G4</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Primary angle-closure disease: primary angle-closure suspect (PACS), primary angle closure (PAC) and primary angle-closure glaucoma (PACG), including after laser iridotomy and the acute attack. The deepest card: your thesis topic</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L</w:t>
            </w:r>
          </w:p>
        </w:tc>
        <w:tc>
          <w:tcPr>
            <w:tcW w:type="dxa" w:w="1817"/>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×4 (1 long case)</w:t>
            </w: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G5</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Neovascular glaucoma (NVG), including rubeosis iridis</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×1</w:t>
            </w: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G6</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Pseudoexfoliation syndrome and glaucoma</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×1 (one of G1’s 6)</w:t>
            </w: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G7</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Central retinal vein occlusion (CRVO) with POAG; hemi-CRVO with POAG</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×2</w:t>
            </w: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G8</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Applanation tonometry: perform and record</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T</w:t>
            </w:r>
          </w:p>
        </w:tc>
        <w:tc>
          <w:tcPr>
            <w:tcW w:type="dxa" w:w="1817"/>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task in 8</w:t>
            </w: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G9</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Gonioscopy: perform, grade, draw</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task in 8</w:t>
            </w: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G10</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Humphrey field in glaucoma (last year’s task; not on the checklist)</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C</w:t>
            </w:r>
          </w:p>
        </w:tc>
        <w:tc>
          <w:tcPr>
            <w:tcW w:type="dxa" w:w="1817"/>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task in 3</w:t>
            </w: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G11</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Other glaucomas the examiner may ask: childhood and secondary glaucomas </w:t>
            </w:r>
            <w:r>
              <w:rPr>
                <w:i/>
                <w:iCs/>
                <w:sz w:val="17"/>
                <w:szCs w:val="17"/>
              </w:rPr>
              <w:t xml:space="preserve">(extra)</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bl>
    <w:p>
      <w:pPr>
        <w:pStyle w:val="Heading3"/>
        <w:widowControl/>
      </w:pPr>
      <w:r>
        <w:t xml:space="preserve">02_Retina_Fundus_Case_Cards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807"/>
        <w:gridCol w:w="6459"/>
        <w:gridCol w:w="1009"/>
        <w:gridCol w:w="1817"/>
      </w:tblGrid>
      <w:tr>
        <w:trPr>
          <w:cantSplit/>
          <w:tblHeader/>
        </w:trPr>
        <w:tc>
          <w:tcPr>
            <w:tcW w:type="dxa" w:w="80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ID</w:t>
            </w:r>
          </w:p>
        </w:tc>
        <w:tc>
          <w:tcPr>
            <w:tcW w:type="dxa" w:w="645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c>
          <w:tcPr>
            <w:tcW w:type="dxa" w:w="100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Type</w:t>
            </w:r>
          </w:p>
        </w:tc>
        <w:tc>
          <w:tcPr>
            <w:tcW w:type="dxa" w:w="1817"/>
            <w:shd w:fill="1F3864" w:color="auto" w:val="clear"/>
            <w:tcMar>
              <w:top w:type="dxa" w:w="60"/>
              <w:left w:type="dxa" w:w="80"/>
              <w:bottom w:type="dxa" w:w="60"/>
              <w:right w:type="dxa" w:w="80"/>
            </w:tcMar>
            <w:vAlign w:val="center"/>
          </w:tcPr>
          <w:p>
            <w:pPr>
              <w:widowControl/>
              <w:spacing w:after="0" w:before="0" w:line="245" w:lineRule="auto"/>
            </w:pPr>
            <w:r>
              <w:rPr>
                <w:rFonts w:ascii="Segoe UI Symbol" w:cs="Segoe UI Symbol" w:eastAsia="Segoe UI Symbol" w:hAnsi="Segoe UI Symbol"/>
                <w:b/>
                <w:bCs/>
                <w:color w:val="C99700"/>
                <w:sz w:val="17"/>
                <w:szCs w:val="17"/>
              </w:rPr>
              <w:t xml:space="preserve">★</w:t>
            </w:r>
            <w:r>
              <w:rPr>
                <w:b/>
                <w:bCs/>
                <w:color w:val="FFFFFF"/>
                <w:sz w:val="17"/>
                <w:szCs w:val="17"/>
              </w:rPr>
              <w:t xml:space="preserve"> last year</w:t>
            </w: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RX</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Retina treatment toolkit</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X</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R0</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 fundus: the perfect description</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R1</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Proliferative diabetic retinopathy (PDR), including panretinal photocoagulation (PRP) marks and laser scars</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×3</w:t>
            </w: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R2</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Non-proliferative diabetic retinopathy (NPDR) with diabetic macular oedema</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R3</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CRVO: ischaemic, non-ischaemic, hemi-CRVO</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×2 (as G7)</w:t>
            </w: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R4</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Branch retinal vein occlusion (BRVO); superotemporal BRVO (STBRVO)</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×2</w:t>
            </w: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R5</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Age-related macular degeneration (ARMD), wet and dry</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×2</w:t>
            </w: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R6</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Retinitis pigmentosa</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×4</w:t>
            </w: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R7</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Retinal detachment</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L</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R8</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Hypertensive retinopathy</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R9</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Stargardt disease</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F</w:t>
            </w:r>
          </w:p>
        </w:tc>
        <w:tc>
          <w:tcPr>
            <w:tcW w:type="dxa" w:w="1817"/>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×1</w:t>
            </w: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R10</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Macular hole</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R11</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Coloboma: iris, chorioretinal, disc</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F</w:t>
            </w:r>
          </w:p>
        </w:tc>
        <w:tc>
          <w:tcPr>
            <w:tcW w:type="dxa" w:w="1817"/>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×2</w:t>
            </w: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R12</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Silicone-oil-filled eye</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R13</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Fundus fluorescein angiography (FFA): NPDR, new vessels elsewhere (NVE), capillary non-perfusion (CNP)</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C</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R14</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Diabetic retinopathy chart: grading</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R15</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Retinopathy of prematurity (ROP) chart</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C</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R16</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 photographs: spotters</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bl>
    <w:p>
      <w:pPr>
        <w:pStyle w:val="Heading3"/>
        <w:widowControl/>
      </w:pPr>
      <w:r>
        <w:t xml:space="preserve">03_Cornea_Case_Cards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807"/>
        <w:gridCol w:w="6459"/>
        <w:gridCol w:w="1009"/>
        <w:gridCol w:w="1817"/>
      </w:tblGrid>
      <w:tr>
        <w:trPr>
          <w:cantSplit/>
          <w:tblHeader/>
        </w:trPr>
        <w:tc>
          <w:tcPr>
            <w:tcW w:type="dxa" w:w="80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ID</w:t>
            </w:r>
          </w:p>
        </w:tc>
        <w:tc>
          <w:tcPr>
            <w:tcW w:type="dxa" w:w="645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c>
          <w:tcPr>
            <w:tcW w:type="dxa" w:w="100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Type</w:t>
            </w:r>
          </w:p>
        </w:tc>
        <w:tc>
          <w:tcPr>
            <w:tcW w:type="dxa" w:w="1817"/>
            <w:shd w:fill="1F3864" w:color="auto" w:val="clear"/>
            <w:tcMar>
              <w:top w:type="dxa" w:w="60"/>
              <w:left w:type="dxa" w:w="80"/>
              <w:bottom w:type="dxa" w:w="60"/>
              <w:right w:type="dxa" w:w="80"/>
            </w:tcMar>
            <w:vAlign w:val="center"/>
          </w:tcPr>
          <w:p>
            <w:pPr>
              <w:widowControl/>
              <w:spacing w:after="0" w:before="0" w:line="245" w:lineRule="auto"/>
            </w:pPr>
            <w:r>
              <w:rPr>
                <w:rFonts w:ascii="Segoe UI Symbol" w:cs="Segoe UI Symbol" w:eastAsia="Segoe UI Symbol" w:hAnsi="Segoe UI Symbol"/>
                <w:b/>
                <w:bCs/>
                <w:color w:val="C99700"/>
                <w:sz w:val="17"/>
                <w:szCs w:val="17"/>
              </w:rPr>
              <w:t xml:space="preserve">★</w:t>
            </w:r>
            <w:r>
              <w:rPr>
                <w:b/>
                <w:bCs/>
                <w:color w:val="FFFFFF"/>
                <w:sz w:val="17"/>
                <w:szCs w:val="17"/>
              </w:rPr>
              <w:t xml:space="preserve"> last year</w:t>
            </w: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CX</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Cornea treatment toolkit</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X</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C1</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Fungal corneal ulcer</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×2 (1 long case)</w:t>
            </w: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C2</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Corneal ulcer: the approach to infective keratitis (bacterial, including hypopyon ulcer; Acanthamoeba and viral keratitis as differentials)</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L</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C3</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Failed graft and the post-keratoplasty eye</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×1</w:t>
            </w: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C4</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Keratoconus</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L</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C5</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Pseudophakic and aphakic bullous keratopathy</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C6</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Opaque cornea, including adherent leucoma</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C7</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Nummular keratitis</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C8</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Corneal dystrophy</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S</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C9</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Corneal degeneration</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C10</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Band-shaped keratopathy (BSK)</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S</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C11</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Atheromatous ulcer</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bl>
    <w:p>
      <w:pPr>
        <w:pStyle w:val="Heading3"/>
        <w:widowControl/>
      </w:pPr>
      <w:r>
        <w:t xml:space="preserve">04_Lens_Uvea_Misc_Case_Cards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807"/>
        <w:gridCol w:w="6459"/>
        <w:gridCol w:w="1009"/>
        <w:gridCol w:w="1817"/>
      </w:tblGrid>
      <w:tr>
        <w:trPr>
          <w:cantSplit/>
          <w:tblHeader/>
        </w:trPr>
        <w:tc>
          <w:tcPr>
            <w:tcW w:type="dxa" w:w="80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ID</w:t>
            </w:r>
          </w:p>
        </w:tc>
        <w:tc>
          <w:tcPr>
            <w:tcW w:type="dxa" w:w="645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c>
          <w:tcPr>
            <w:tcW w:type="dxa" w:w="100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Type</w:t>
            </w:r>
          </w:p>
        </w:tc>
        <w:tc>
          <w:tcPr>
            <w:tcW w:type="dxa" w:w="1817"/>
            <w:shd w:fill="1F3864" w:color="auto" w:val="clear"/>
            <w:tcMar>
              <w:top w:type="dxa" w:w="60"/>
              <w:left w:type="dxa" w:w="80"/>
              <w:bottom w:type="dxa" w:w="60"/>
              <w:right w:type="dxa" w:w="80"/>
            </w:tcMar>
            <w:vAlign w:val="center"/>
          </w:tcPr>
          <w:p>
            <w:pPr>
              <w:widowControl/>
              <w:spacing w:after="0" w:before="0" w:line="245" w:lineRule="auto"/>
            </w:pPr>
            <w:r>
              <w:rPr>
                <w:rFonts w:ascii="Segoe UI Symbol" w:cs="Segoe UI Symbol" w:eastAsia="Segoe UI Symbol" w:hAnsi="Segoe UI Symbol"/>
                <w:b/>
                <w:bCs/>
                <w:color w:val="C99700"/>
                <w:sz w:val="17"/>
                <w:szCs w:val="17"/>
              </w:rPr>
              <w:t xml:space="preserve">★</w:t>
            </w:r>
            <w:r>
              <w:rPr>
                <w:b/>
                <w:bCs/>
                <w:color w:val="FFFFFF"/>
                <w:sz w:val="17"/>
                <w:szCs w:val="17"/>
              </w:rPr>
              <w:t xml:space="preserve"> last year</w:t>
            </w: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MX</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Lens and uvea treatment toolkit</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X</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M1</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Ectopia lentis; Marfan syndrome with subluxated lens</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×1</w:t>
            </w: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M2</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Dislocated lens in the vitreous</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×1 (fundus list)</w:t>
            </w: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M3</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subluxation or dislocation of the lens</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M4</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Dislocated or subluxated intraocular lens (IOL)</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M5</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Developmental (zonular, lamellar) cataract and aphakia</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×1</w:t>
            </w: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M6</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Traumatic cataract</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S</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M7</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Uveitis, including festooned pupil, iris nodules, synechiae</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M8</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Hyphaema</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S</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M9</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Hypopyon and inverse hypopyon</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bl>
    <w:p>
      <w:pPr>
        <w:pStyle w:val="Heading3"/>
        <w:widowControl/>
      </w:pPr>
      <w:r>
        <w:t xml:space="preserve">05_Nerves_Case_Cards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807"/>
        <w:gridCol w:w="6459"/>
        <w:gridCol w:w="1009"/>
        <w:gridCol w:w="1817"/>
      </w:tblGrid>
      <w:tr>
        <w:trPr>
          <w:cantSplit/>
          <w:tblHeader/>
        </w:trPr>
        <w:tc>
          <w:tcPr>
            <w:tcW w:type="dxa" w:w="80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ID</w:t>
            </w:r>
          </w:p>
        </w:tc>
        <w:tc>
          <w:tcPr>
            <w:tcW w:type="dxa" w:w="645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c>
          <w:tcPr>
            <w:tcW w:type="dxa" w:w="100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Type</w:t>
            </w:r>
          </w:p>
        </w:tc>
        <w:tc>
          <w:tcPr>
            <w:tcW w:type="dxa" w:w="1817"/>
            <w:shd w:fill="1F3864" w:color="auto" w:val="clear"/>
            <w:tcMar>
              <w:top w:type="dxa" w:w="60"/>
              <w:left w:type="dxa" w:w="80"/>
              <w:bottom w:type="dxa" w:w="60"/>
              <w:right w:type="dxa" w:w="80"/>
            </w:tcMar>
            <w:vAlign w:val="center"/>
          </w:tcPr>
          <w:p>
            <w:pPr>
              <w:widowControl/>
              <w:spacing w:after="0" w:before="0" w:line="245" w:lineRule="auto"/>
            </w:pPr>
            <w:r>
              <w:rPr>
                <w:rFonts w:ascii="Segoe UI Symbol" w:cs="Segoe UI Symbol" w:eastAsia="Segoe UI Symbol" w:hAnsi="Segoe UI Symbol"/>
                <w:b/>
                <w:bCs/>
                <w:color w:val="C99700"/>
                <w:sz w:val="17"/>
                <w:szCs w:val="17"/>
              </w:rPr>
              <w:t xml:space="preserve">★</w:t>
            </w:r>
            <w:r>
              <w:rPr>
                <w:b/>
                <w:bCs/>
                <w:color w:val="FFFFFF"/>
                <w:sz w:val="17"/>
                <w:szCs w:val="17"/>
              </w:rPr>
              <w:t xml:space="preserve"> last year</w:t>
            </w: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NX</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Nerves treatment toolkit, including diplopia charting and the Hess chart</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X</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N1</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Third nerve palsy</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×1</w:t>
            </w: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N2</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Fourth nerve palsy</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N3</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Sixth nerve palsy</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N4</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Optic atrophy</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N5</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ischaemic optic neuropathy (AION): non-arteritic (NAION) and arteritic (AAION)</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N6</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Facial nerve palsy, including lagophthalmos</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tcMar>
              <w:top w:type="dxa" w:w="60"/>
              <w:left w:type="dxa" w:w="80"/>
              <w:bottom w:type="dxa" w:w="60"/>
              <w:right w:type="dxa" w:w="80"/>
            </w:tcMar>
            <w:vAlign w:val="top"/>
          </w:tcPr>
          <w:p>
            <w:pPr>
              <w:widowControl/>
              <w:spacing w:after="0" w:before="0" w:line="245" w:lineRule="auto"/>
            </w:pPr>
          </w:p>
        </w:tc>
      </w:tr>
    </w:tbl>
    <w:p>
      <w:pPr>
        <w:pStyle w:val="Heading3"/>
        <w:widowControl/>
      </w:pPr>
      <w:r>
        <w:t xml:space="preserve">06_Oculoplasty_Case_Cards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807"/>
        <w:gridCol w:w="6459"/>
        <w:gridCol w:w="1009"/>
        <w:gridCol w:w="1817"/>
      </w:tblGrid>
      <w:tr>
        <w:trPr>
          <w:cantSplit/>
          <w:tblHeader/>
        </w:trPr>
        <w:tc>
          <w:tcPr>
            <w:tcW w:type="dxa" w:w="80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ID</w:t>
            </w:r>
          </w:p>
        </w:tc>
        <w:tc>
          <w:tcPr>
            <w:tcW w:type="dxa" w:w="645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c>
          <w:tcPr>
            <w:tcW w:type="dxa" w:w="100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Type</w:t>
            </w:r>
          </w:p>
        </w:tc>
        <w:tc>
          <w:tcPr>
            <w:tcW w:type="dxa" w:w="1817"/>
            <w:shd w:fill="1F3864" w:color="auto" w:val="clear"/>
            <w:tcMar>
              <w:top w:type="dxa" w:w="60"/>
              <w:left w:type="dxa" w:w="80"/>
              <w:bottom w:type="dxa" w:w="60"/>
              <w:right w:type="dxa" w:w="80"/>
            </w:tcMar>
            <w:vAlign w:val="center"/>
          </w:tcPr>
          <w:p>
            <w:pPr>
              <w:widowControl/>
              <w:spacing w:after="0" w:before="0" w:line="245" w:lineRule="auto"/>
            </w:pPr>
            <w:r>
              <w:rPr>
                <w:rFonts w:ascii="Segoe UI Symbol" w:cs="Segoe UI Symbol" w:eastAsia="Segoe UI Symbol" w:hAnsi="Segoe UI Symbol"/>
                <w:b/>
                <w:bCs/>
                <w:color w:val="C99700"/>
                <w:sz w:val="17"/>
                <w:szCs w:val="17"/>
              </w:rPr>
              <w:t xml:space="preserve">★</w:t>
            </w:r>
            <w:r>
              <w:rPr>
                <w:b/>
                <w:bCs/>
                <w:color w:val="FFFFFF"/>
                <w:sz w:val="17"/>
                <w:szCs w:val="17"/>
              </w:rPr>
              <w:t xml:space="preserve"> last year</w:t>
            </w: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OX</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Oculoplasty treatment toolkit</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X</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O1</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Proptosis, including thyroid eye disease</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O2</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Ptosis</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O3</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Ocular myasthenia gravis</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O4</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Anophthalmic socket</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O5</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Contracted socket</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L+S</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bl>
    <w:p>
      <w:pPr>
        <w:pStyle w:val="Heading3"/>
        <w:widowControl/>
      </w:pPr>
      <w:r>
        <w:t xml:space="preserve">07_Viva_Charts_Instruments (built last)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807"/>
        <w:gridCol w:w="6459"/>
        <w:gridCol w:w="1009"/>
        <w:gridCol w:w="1817"/>
      </w:tblGrid>
      <w:tr>
        <w:trPr>
          <w:cantSplit/>
          <w:tblHeader/>
        </w:trPr>
        <w:tc>
          <w:tcPr>
            <w:tcW w:type="dxa" w:w="80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ID</w:t>
            </w:r>
          </w:p>
        </w:tc>
        <w:tc>
          <w:tcPr>
            <w:tcW w:type="dxa" w:w="645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c>
          <w:tcPr>
            <w:tcW w:type="dxa" w:w="100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Type</w:t>
            </w:r>
          </w:p>
        </w:tc>
        <w:tc>
          <w:tcPr>
            <w:tcW w:type="dxa" w:w="1817"/>
            <w:shd w:fill="1F3864" w:color="auto" w:val="clear"/>
            <w:tcMar>
              <w:top w:type="dxa" w:w="60"/>
              <w:left w:type="dxa" w:w="80"/>
              <w:bottom w:type="dxa" w:w="60"/>
              <w:right w:type="dxa" w:w="80"/>
            </w:tcMar>
            <w:vAlign w:val="center"/>
          </w:tcPr>
          <w:p>
            <w:pPr>
              <w:widowControl/>
              <w:spacing w:after="0" w:before="0" w:line="245" w:lineRule="auto"/>
            </w:pPr>
            <w:r>
              <w:rPr>
                <w:rFonts w:ascii="Segoe UI Symbol" w:cs="Segoe UI Symbol" w:eastAsia="Segoe UI Symbol" w:hAnsi="Segoe UI Symbol"/>
                <w:b/>
                <w:bCs/>
                <w:color w:val="C99700"/>
                <w:sz w:val="17"/>
                <w:szCs w:val="17"/>
              </w:rPr>
              <w:t xml:space="preserve">★</w:t>
            </w:r>
            <w:r>
              <w:rPr>
                <w:b/>
                <w:bCs/>
                <w:color w:val="FFFFFF"/>
                <w:sz w:val="17"/>
                <w:szCs w:val="17"/>
              </w:rPr>
              <w:t xml:space="preserve"> last year</w:t>
            </w: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V1</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Visual fields: glaucoma and neurological</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C</w:t>
            </w:r>
          </w:p>
        </w:tc>
        <w:tc>
          <w:tcPr>
            <w:tcW w:type="dxa" w:w="1817"/>
            <w:tcMar>
              <w:top w:type="dxa" w:w="60"/>
              <w:left w:type="dxa" w:w="80"/>
              <w:bottom w:type="dxa" w:w="60"/>
              <w:right w:type="dxa" w:w="80"/>
            </w:tcMar>
            <w:vAlign w:val="top"/>
          </w:tcPr>
          <w:p>
            <w:pPr>
              <w:widowControl/>
              <w:spacing w:after="0" w:before="0" w:line="245" w:lineRule="auto"/>
            </w:pPr>
          </w:p>
        </w:tc>
      </w:tr>
      <w:tr>
        <w:trPr>
          <w:cantSplit/>
        </w:trPr>
        <w:tc>
          <w:tcPr>
            <w:tcW w:type="dxa" w:w="80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V2</w:t>
            </w:r>
          </w:p>
        </w:tc>
        <w:tc>
          <w:tcPr>
            <w:tcW w:type="dxa" w:w="645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Imaging: optical coherence tomography, FFA and indocyanine green angiography, B-scan, Pentacam, specular microscopy, anterior-segment optical coherence tomography and ultrasound biomicroscopy, electroretinogram and visual evoked potential, computed tomography and magnetic resonance imaging</w:t>
            </w:r>
          </w:p>
        </w:tc>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w:t>
            </w:r>
          </w:p>
        </w:tc>
        <w:tc>
          <w:tcPr>
            <w:tcW w:type="dxa" w:w="1817"/>
            <w:shd w:fill="F3F6FA" w:color="auto" w:val="clear"/>
            <w:tcMar>
              <w:top w:type="dxa" w:w="60"/>
              <w:left w:type="dxa" w:w="80"/>
              <w:bottom w:type="dxa" w:w="60"/>
              <w:right w:type="dxa" w:w="80"/>
            </w:tcMar>
            <w:vAlign w:val="top"/>
          </w:tcPr>
          <w:p>
            <w:pPr>
              <w:widowControl/>
              <w:spacing w:after="0" w:before="0" w:line="245" w:lineRule="auto"/>
            </w:pPr>
          </w:p>
        </w:tc>
      </w:tr>
      <w:tr>
        <w:trPr>
          <w:cantSplit/>
        </w:trPr>
        <w:tc>
          <w:tcPr>
            <w:tcW w:type="dxa" w:w="807"/>
            <w:tcMar>
              <w:top w:type="dxa" w:w="60"/>
              <w:left w:type="dxa" w:w="80"/>
              <w:bottom w:type="dxa" w:w="60"/>
              <w:right w:type="dxa" w:w="80"/>
            </w:tcMar>
            <w:vAlign w:val="top"/>
          </w:tcPr>
          <w:p>
            <w:pPr>
              <w:widowControl/>
              <w:spacing w:after="0" w:before="0" w:line="245" w:lineRule="auto"/>
            </w:pPr>
            <w:r>
              <w:rPr>
                <w:sz w:val="17"/>
                <w:szCs w:val="17"/>
              </w:rPr>
              <w:t xml:space="preserve">V3</w:t>
            </w:r>
          </w:p>
        </w:tc>
        <w:tc>
          <w:tcPr>
            <w:tcW w:type="dxa" w:w="6459"/>
            <w:tcMar>
              <w:top w:type="dxa" w:w="60"/>
              <w:left w:type="dxa" w:w="80"/>
              <w:bottom w:type="dxa" w:w="60"/>
              <w:right w:type="dxa" w:w="80"/>
            </w:tcMar>
            <w:vAlign w:val="top"/>
          </w:tcPr>
          <w:p>
            <w:pPr>
              <w:widowControl/>
              <w:spacing w:after="0" w:before="0" w:line="245" w:lineRule="auto"/>
            </w:pPr>
            <w:r>
              <w:rPr>
                <w:sz w:val="17"/>
                <w:szCs w:val="17"/>
              </w:rPr>
              <w:t xml:space="preserve">Instruments, by surgery</w:t>
            </w:r>
          </w:p>
        </w:tc>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C</w:t>
            </w:r>
          </w:p>
        </w:tc>
        <w:tc>
          <w:tcPr>
            <w:tcW w:type="dxa" w:w="1817"/>
            <w:tcMar>
              <w:top w:type="dxa" w:w="60"/>
              <w:left w:type="dxa" w:w="80"/>
              <w:bottom w:type="dxa" w:w="60"/>
              <w:right w:type="dxa" w:w="80"/>
            </w:tcMar>
            <w:vAlign w:val="top"/>
          </w:tcPr>
          <w:p>
            <w:pPr>
              <w:widowControl/>
              <w:spacing w:after="0" w:before="0" w:line="245" w:lineRule="auto"/>
            </w:pPr>
          </w:p>
        </w:tc>
      </w:tr>
    </w:tbl>
    <w:p>
      <w:pPr>
        <w:keepNext/>
        <w:widowControl/>
        <w:spacing w:before="110"/>
      </w:pPr>
      <w:r>
        <w:rPr>
          <w:b/>
          <w:bCs/>
        </w:rPr>
        <w:t xml:space="preserve">Key:</w:t>
      </w:r>
    </w:p>
    <w:p>
      <w:pPr>
        <w:pStyle w:val="ListParagraph"/>
        <w:keepLines/>
        <w:widowControl/>
        <w:numPr>
          <w:ilvl w:val="0"/>
          <w:numId w:val="2"/>
        </w:numPr>
        <w:spacing w:after="30"/>
      </w:pPr>
      <w:r>
        <w:rPr>
          <w:rFonts w:ascii="Segoe UI Symbol" w:cs="Segoe UI Symbol" w:eastAsia="Segoe UI Symbol" w:hAnsi="Segoe UI Symbol"/>
          <w:color w:val="C99700"/>
        </w:rPr>
        <w:t xml:space="preserve">★</w:t>
      </w:r>
      <w:r>
        <w:t xml:space="preserve"> = kept at JEH last year.</w:t>
      </w:r>
    </w:p>
    <w:p>
      <w:pPr>
        <w:pStyle w:val="ListParagraph"/>
        <w:keepLines/>
        <w:widowControl/>
        <w:numPr>
          <w:ilvl w:val="0"/>
          <w:numId w:val="2"/>
        </w:numPr>
        <w:spacing w:after="30"/>
      </w:pPr>
      <w:r>
        <w:t xml:space="preserve">×n = how many of last year’s 34 patients had it.</w:t>
      </w:r>
    </w:p>
    <w:p>
      <w:pPr>
        <w:pStyle w:val="ListParagraph"/>
        <w:keepLines/>
        <w:widowControl/>
        <w:numPr>
          <w:ilvl w:val="0"/>
          <w:numId w:val="2"/>
        </w:numPr>
        <w:spacing w:after="30"/>
      </w:pPr>
      <w:r>
        <w:t xml:space="preserve">For a task, ×n is how many of the 12 glaucoma patients carried it.</w:t>
      </w:r>
    </w:p>
    <w:p>
      <w:pPr>
        <w:pStyle w:val="ListParagraph"/>
        <w:keepLines/>
        <w:widowControl/>
        <w:numPr>
          <w:ilvl w:val="0"/>
          <w:numId w:val="2"/>
        </w:numPr>
        <w:spacing w:after="30"/>
      </w:pPr>
      <w:r>
        <w:t xml:space="preserve">Counts overlap: G6’s patient is one of G1’s six, and R3 counts the same two patients as G7.</w:t>
      </w:r>
    </w:p>
    <w:p>
      <w:pPr>
        <w:pStyle w:val="ListParagraph"/>
        <w:keepLines/>
        <w:widowControl/>
        <w:numPr>
          <w:ilvl w:val="0"/>
          <w:numId w:val="2"/>
        </w:numPr>
        <w:spacing w:after="30"/>
      </w:pPr>
      <w:r>
        <w:rPr>
          <w:b/>
          <w:bCs/>
        </w:rPr>
        <w:t xml:space="preserve">Types:</w:t>
      </w:r>
    </w:p>
    <w:p>
      <w:pPr>
        <w:pStyle w:val="ListParagraph"/>
        <w:keepLines/>
        <w:widowControl/>
        <w:numPr>
          <w:ilvl w:val="1"/>
          <w:numId w:val="2"/>
        </w:numPr>
        <w:spacing w:after="30"/>
      </w:pPr>
      <w:r>
        <w:rPr>
          <w:b/>
          <w:bCs/>
        </w:rPr>
        <w:t xml:space="preserve">L</w:t>
      </w:r>
      <w:r>
        <w:t xml:space="preserve"> long case; </w:t>
      </w:r>
      <w:r>
        <w:rPr>
          <w:b/>
          <w:bCs/>
        </w:rPr>
        <w:t xml:space="preserve">S</w:t>
      </w:r>
      <w:r>
        <w:t xml:space="preserve"> short case; </w:t>
      </w:r>
      <w:r>
        <w:rPr>
          <w:b/>
          <w:bCs/>
        </w:rPr>
        <w:t xml:space="preserve">L+S</w:t>
      </w:r>
      <w:r>
        <w:t xml:space="preserve"> one card with both versions.</w:t>
      </w:r>
    </w:p>
    <w:p>
      <w:pPr>
        <w:pStyle w:val="ListParagraph"/>
        <w:keepLines/>
        <w:widowControl/>
        <w:numPr>
          <w:ilvl w:val="1"/>
          <w:numId w:val="2"/>
        </w:numPr>
        <w:spacing w:after="30"/>
      </w:pPr>
      <w:r>
        <w:rPr>
          <w:b/>
          <w:bCs/>
        </w:rPr>
        <w:t xml:space="preserve">F</w:t>
      </w:r>
      <w:r>
        <w:t xml:space="preserve"> fundus short case; </w:t>
      </w:r>
      <w:r>
        <w:rPr>
          <w:b/>
          <w:bCs/>
        </w:rPr>
        <w:t xml:space="preserve">T</w:t>
      </w:r>
      <w:r>
        <w:t xml:space="preserve"> task you perform; </w:t>
      </w:r>
      <w:r>
        <w:rPr>
          <w:b/>
          <w:bCs/>
        </w:rPr>
        <w:t xml:space="preserve">C</w:t>
      </w:r>
      <w:r>
        <w:t xml:space="preserve"> chart or picture.</w:t>
      </w:r>
    </w:p>
    <w:p>
      <w:pPr>
        <w:pStyle w:val="ListParagraph"/>
        <w:keepLines/>
        <w:widowControl/>
        <w:numPr>
          <w:ilvl w:val="1"/>
          <w:numId w:val="2"/>
        </w:numPr>
        <w:spacing w:after="60"/>
      </w:pPr>
      <w:r>
        <w:rPr>
          <w:b/>
          <w:bCs/>
        </w:rPr>
        <w:t xml:space="preserve">X</w:t>
      </w:r>
      <w:r>
        <w:t xml:space="preserve"> treatment toolkit; </w:t>
      </w:r>
      <w:r>
        <w:rPr>
          <w:b/>
          <w:bCs/>
        </w:rPr>
        <w:t xml:space="preserve">V</w:t>
      </w:r>
      <w:r>
        <w:t xml:space="preserve"> viva sheet of extra conditions.</w:t>
      </w:r>
    </w:p>
    <w:p>
      <w:pPr>
        <w:pStyle w:val="Heading2"/>
        <w:widowControl/>
      </w:pPr>
      <w:r>
        <w:t xml:space="preserve">Checklist coverage map</w:t>
      </w:r>
    </w:p>
    <w:p>
      <w:pPr>
        <w:pStyle w:val="ListParagraph"/>
        <w:keepLines/>
        <w:widowControl/>
        <w:numPr>
          <w:ilvl w:val="0"/>
          <w:numId w:val="2"/>
        </w:numPr>
        <w:spacing w:after="30"/>
      </w:pPr>
      <w:r>
        <w:t xml:space="preserve">Every line of the department’s checklist, copied exactly as printed: abbreviations and spelling included.</w:t>
      </w:r>
    </w:p>
    <w:p>
      <w:pPr>
        <w:pStyle w:val="ListParagraph"/>
        <w:keepLines/>
        <w:widowControl/>
        <w:numPr>
          <w:ilvl w:val="0"/>
          <w:numId w:val="2"/>
        </w:numPr>
        <w:spacing w:after="30"/>
      </w:pPr>
      <w:r>
        <w:rPr>
          <w:b/>
          <w:bCs/>
        </w:rPr>
        <w:t xml:space="preserve">Card</w:t>
      </w:r>
      <w:r>
        <w:t xml:space="preserve"> answers the line. </w:t>
      </w:r>
      <w:r>
        <w:rPr>
          <w:b/>
          <w:bCs/>
        </w:rPr>
        <w:t xml:space="preserve">Block</w:t>
      </w:r>
      <w:r>
        <w:t xml:space="preserve"> is the sub-heading in that card’s “Short-case version”, titled with the checklist wording.</w:t>
      </w:r>
    </w:p>
    <w:p>
      <w:pPr>
        <w:pStyle w:val="ListParagraph"/>
        <w:keepLines/>
        <w:widowControl/>
        <w:numPr>
          <w:ilvl w:val="0"/>
          <w:numId w:val="2"/>
        </w:numPr>
        <w:spacing w:after="30"/>
      </w:pPr>
      <w:r>
        <w:rPr>
          <w:b/>
          <w:bCs/>
        </w:rPr>
        <w:t xml:space="preserve">Whole card</w:t>
      </w:r>
      <w:r>
        <w:t xml:space="preserve"> means the card itself answers the line.</w:t>
      </w:r>
    </w:p>
    <w:p>
      <w:pPr>
        <w:pStyle w:val="ListParagraph"/>
        <w:keepLines/>
        <w:widowControl/>
        <w:numPr>
          <w:ilvl w:val="0"/>
          <w:numId w:val="2"/>
        </w:numPr>
        <w:spacing w:after="60"/>
      </w:pPr>
      <w:r>
        <w:t xml:space="preserve">A line that another subject’s card answers shows that file in brackets.</w:t>
      </w:r>
    </w:p>
    <w:p>
      <w:pPr>
        <w:pStyle w:val="Heading3"/>
        <w:widowControl/>
      </w:pPr>
      <w:r>
        <w:t xml:space="preserve">Glaucoma</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037"/>
        <w:gridCol w:w="1413"/>
        <w:gridCol w:w="1615"/>
        <w:gridCol w:w="3027"/>
      </w:tblGrid>
      <w:tr>
        <w:trPr>
          <w:cantSplit/>
          <w:tblHeader/>
        </w:trPr>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Checklist line</w:t>
            </w:r>
          </w:p>
        </w:tc>
        <w:tc>
          <w:tcPr>
            <w:tcW w:type="dxa" w:w="141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Long / short</w:t>
            </w:r>
          </w:p>
        </w:tc>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c>
          <w:tcPr>
            <w:tcW w:type="dxa" w:w="302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Block</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POAG</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G1</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PACG</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G4</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POAG with trabeculectomy</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G2</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POAG with GDD</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G3</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Neovascular glaucoma (NVG)</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G5</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Pseudoexfoliative glaucoma</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G6</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Applanation tonometry</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G8</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 (task)</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Gonioscopy</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G9</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 (task)</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POAG disc / glaucomatous optic disc</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G1</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Glaucomatous optic disc</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CRVO with POAG</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G7</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Pseudoexfoliation</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G6</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Pseudoexfoliation</w:t>
            </w:r>
          </w:p>
        </w:tc>
      </w:tr>
    </w:tbl>
    <w:p>
      <w:pPr>
        <w:pStyle w:val="Heading3"/>
        <w:widowControl/>
      </w:pPr>
      <w:r>
        <w:t xml:space="preserve">Cornea</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037"/>
        <w:gridCol w:w="1413"/>
        <w:gridCol w:w="1615"/>
        <w:gridCol w:w="3027"/>
      </w:tblGrid>
      <w:tr>
        <w:trPr>
          <w:cantSplit/>
          <w:tblHeader/>
        </w:trPr>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Checklist line</w:t>
            </w:r>
          </w:p>
        </w:tc>
        <w:tc>
          <w:tcPr>
            <w:tcW w:type="dxa" w:w="141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Long / short</w:t>
            </w:r>
          </w:p>
        </w:tc>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c>
          <w:tcPr>
            <w:tcW w:type="dxa" w:w="302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Block</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Corneal ulcer</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C2</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Fungal corneal ulcer</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C1</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Hypopyon ulcer</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C2</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Its own section “Hypopyon ulcer”</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Failed corneal graft</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C3</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Keratoconus</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C4</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Pseudophakic / aphakic bullous keratopathy</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C5</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Opaque cornea</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C6</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Nummular keratitis</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C7</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Corneal dystrophy</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C8</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Corneal degeneration</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C9</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Band-shaped keratopathy (BSK)</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C10</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Atheromatous ulcer</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C11</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Post-keratoplasty eye</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C3</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Post-keratoplasty eye</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Failed graft</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C3</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Failed graft</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Hypopyon</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M9 (misc file)</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Hypopyon</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Fungal corneal ulcer</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C1</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Fungal corneal ulcer</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Opaque cornea</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C6</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Opaque cornea</w:t>
            </w:r>
          </w:p>
        </w:tc>
      </w:tr>
    </w:tbl>
    <w:p>
      <w:pPr>
        <w:pStyle w:val="Heading3"/>
        <w:widowControl/>
      </w:pPr>
      <w:r>
        <w:t xml:space="preserve">Retina</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037"/>
        <w:gridCol w:w="1413"/>
        <w:gridCol w:w="1615"/>
        <w:gridCol w:w="3027"/>
      </w:tblGrid>
      <w:tr>
        <w:trPr>
          <w:cantSplit/>
          <w:tblHeader/>
        </w:trPr>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Checklist line</w:t>
            </w:r>
          </w:p>
        </w:tc>
        <w:tc>
          <w:tcPr>
            <w:tcW w:type="dxa" w:w="141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Long / short</w:t>
            </w:r>
          </w:p>
        </w:tc>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c>
          <w:tcPr>
            <w:tcW w:type="dxa" w:w="302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Block</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CRVO</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R3</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Ischaemic CRVO</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R3</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Its own section “Ischaemic CRVO”: how it is proved, its diagnosis line, its management</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BRVO / STBRVO</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R4</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NPDR with macular edema</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R2</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PDR</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R1</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Wet ARMD</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R5</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Retinal detachment</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R7</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Retinitis pigmentosa</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R6</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Dry ARMD</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R5</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Dry ARMD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Wet ARMD</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R5</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Wet ARMD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NPDR</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R2</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NPDR</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PDR</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R1</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PDR</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Hypertensive retinopathy</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R8</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 (fundus)</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BRVO / STBRVO</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R4</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BRVO / STBRVO</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CRVO</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R3</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CRVO</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Retinitis pigmentosa</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R6</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Retinitis pigmentosa</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Stargardt disease</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R9</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 (fundus)</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Macular hole</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R10</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 (fundus)</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Coloboma</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R11</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 (fundus)</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Silicone-filled eye</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R12</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PRP marks</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R1</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PRP marks</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FFA: NPDR, NVE, CNP areas</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R13</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 (chart)</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ROP chart</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R15</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 (chart)</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Diabetic retinopathy chart</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R14</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 (chart)</w:t>
            </w:r>
          </w:p>
        </w:tc>
      </w:tr>
    </w:tbl>
    <w:p>
      <w:pPr>
        <w:pStyle w:val="Heading3"/>
        <w:widowControl/>
      </w:pPr>
      <w:r>
        <w:t xml:space="preserve">Oculoplasty</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037"/>
        <w:gridCol w:w="1413"/>
        <w:gridCol w:w="1615"/>
        <w:gridCol w:w="3027"/>
      </w:tblGrid>
      <w:tr>
        <w:trPr>
          <w:cantSplit/>
          <w:tblHeader/>
        </w:trPr>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Checklist line</w:t>
            </w:r>
          </w:p>
        </w:tc>
        <w:tc>
          <w:tcPr>
            <w:tcW w:type="dxa" w:w="141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Long / short</w:t>
            </w:r>
          </w:p>
        </w:tc>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c>
          <w:tcPr>
            <w:tcW w:type="dxa" w:w="302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Block</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Proptosis</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O1</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Ptosis</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O2</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Ocular myasthenia gravis</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O3</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Anophthalmic socket</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O4</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Contracted socket</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O5</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Ptosis</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O2</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Ptosis</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Ocular myasthenia gravis</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O3</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Ocular myasthenia gravis</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Proptosis</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O1</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Proptosis</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Anophthalmic socket</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O4</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Anophthalmic socket</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Contracted socket</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O5</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Contracted socket</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Facial palsy</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N6 (nerves file)</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Facial palsy</w:t>
            </w:r>
          </w:p>
        </w:tc>
      </w:tr>
    </w:tbl>
    <w:p>
      <w:pPr>
        <w:pStyle w:val="Heading3"/>
        <w:widowControl/>
      </w:pPr>
      <w:r>
        <w:t xml:space="preserve">Nerves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037"/>
        <w:gridCol w:w="1413"/>
        <w:gridCol w:w="1615"/>
        <w:gridCol w:w="3027"/>
      </w:tblGrid>
      <w:tr>
        <w:trPr>
          <w:cantSplit/>
          <w:tblHeader/>
        </w:trPr>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Checklist line</w:t>
            </w:r>
          </w:p>
        </w:tc>
        <w:tc>
          <w:tcPr>
            <w:tcW w:type="dxa" w:w="141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Long / short</w:t>
            </w:r>
          </w:p>
        </w:tc>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c>
          <w:tcPr>
            <w:tcW w:type="dxa" w:w="302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Block</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Third nerve palsy</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N1</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Fourth nerve palsy</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N2</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Sixth nerve palsy</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N3</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Optic atrophy</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N4</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AION</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N5</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Facial nerve palsy</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N6</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Third nerve palsy</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N1</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Third nerve palsy</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Fourth nerve palsy</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N2</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Fourth nerve palsy</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Sixth nerve palsy</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N3</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Sixth nerve palsy</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Facial nerve palsy</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N6</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Facial nerve palsy</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Optic atrophy</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N4</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Optic atrophy</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AION</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N5</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AION</w:t>
            </w:r>
          </w:p>
        </w:tc>
      </w:tr>
    </w:tbl>
    <w:p>
      <w:pPr>
        <w:pStyle w:val="Heading3"/>
        <w:widowControl/>
      </w:pPr>
      <w:r>
        <w:t xml:space="preserve">Miscellaneous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037"/>
        <w:gridCol w:w="1413"/>
        <w:gridCol w:w="1615"/>
        <w:gridCol w:w="3027"/>
      </w:tblGrid>
      <w:tr>
        <w:trPr>
          <w:cantSplit/>
          <w:tblHeader/>
        </w:trPr>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Checklist line</w:t>
            </w:r>
          </w:p>
        </w:tc>
        <w:tc>
          <w:tcPr>
            <w:tcW w:type="dxa" w:w="141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Long / short</w:t>
            </w:r>
          </w:p>
        </w:tc>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c>
          <w:tcPr>
            <w:tcW w:type="dxa" w:w="302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Block</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Uveitis</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M7</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Ectopia lentis / Marfan syndrome with subluxated lens</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M1</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Anterior subluxation of lens</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M3</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Dislocated lens in vitreous</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M2</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Dislocated IOL</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Long</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M4</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Developmental / zonular cataract</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M5</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Developmental / zonular cataract</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Lamellar cataract</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M5</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Lamellar cataract</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Aphakia</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M5</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Aphakia</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Ectopia lentis</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M1</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Ectopia lentis</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Subluxated lens</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M1</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Subluxated lens</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Anterior subluxation of lens</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M3</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Anterior subluxation of lens</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Dislocated lens in vitreous</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M2</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Dislocated lens in vitreous</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Dislocated IOL</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M4</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Dislocated IOL</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Traumatic cataract</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M6</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Marfan syndrome with subluxated lens</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M1</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Marfan syndrome with subluxated lens</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Pseudoexfoliation</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G6 (glaucoma file)</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Pseudoexfoliation</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Festooned pupil</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M7</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Festooned pupil</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Uveitis</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M7</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Uveitis</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Rubeosis iridis</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G5 (glaucoma file)</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Rubeosis iridis</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Hyphema</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M8</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Hypopyon</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M9</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Hypopyon</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Inverse hypopyon</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M9</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Inverse hypopyon</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Subluxated IOL</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M4</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Subluxated IOL</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Coloboma</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R11 (retina file)</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iris-coloboma part</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Fundus photographs</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R16 (retina file)</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 (chart)</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FFA</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R13 (retina file)</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 (chart)</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ROP chart</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R15 (retina file)</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Whole card (chart)</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Diabetic retinopathy chart</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R14 (retina file)</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Whole card (chart)</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PRP marks</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Short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R1 (retina file)</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PRP marks</w:t>
            </w:r>
          </w:p>
        </w:tc>
      </w:tr>
    </w:tbl>
    <w:p>
      <w:pPr>
        <w:pStyle w:val="Heading2"/>
        <w:widowControl/>
      </w:pPr>
      <w:r>
        <w:t xml:space="preserve">Toolkit list — where the full profiles are</w:t>
      </w:r>
    </w:p>
    <w:p>
      <w:pPr>
        <w:pStyle w:val="ListParagraph"/>
        <w:keepLines/>
        <w:widowControl/>
        <w:numPr>
          <w:ilvl w:val="0"/>
          <w:numId w:val="2"/>
        </w:numPr>
        <w:spacing w:after="30"/>
      </w:pPr>
      <w:r>
        <w:t xml:space="preserve">Each subject file opens with its toolkit card. It holds the full profile of every drug: class, strength and frequency, mechanism, adverse effects and contraindications.</w:t>
      </w:r>
    </w:p>
    <w:p>
      <w:pPr>
        <w:pStyle w:val="ListParagraph"/>
        <w:keepLines/>
        <w:widowControl/>
        <w:numPr>
          <w:ilvl w:val="0"/>
          <w:numId w:val="2"/>
        </w:numPr>
        <w:spacing w:after="30"/>
      </w:pPr>
      <w:r>
        <w:t xml:space="preserve">It also holds every laser and operation, with indications, key steps, advantages and disadvantages.</w:t>
      </w:r>
    </w:p>
    <w:p>
      <w:pPr>
        <w:pStyle w:val="ListParagraph"/>
        <w:keepLines/>
        <w:widowControl/>
        <w:numPr>
          <w:ilvl w:val="0"/>
          <w:numId w:val="2"/>
        </w:numPr>
        <w:spacing w:after="30"/>
      </w:pPr>
      <w:r>
        <w:t xml:space="preserve">A case card keeps a short drug table. It ends with “Full profiles: card GX” (or RX, CX, MX, NX, OX).</w:t>
      </w:r>
    </w:p>
    <w:p>
      <w:pPr>
        <w:pStyle w:val="ListParagraph"/>
        <w:keepLines/>
        <w:widowControl/>
        <w:numPr>
          <w:ilvl w:val="0"/>
          <w:numId w:val="2"/>
        </w:numPr>
        <w:spacing w:after="60"/>
      </w:pPr>
      <w:r>
        <w:t xml:space="preserve">A topic your three books do not cover is left off the toolkit.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615"/>
        <w:gridCol w:w="2826"/>
        <w:gridCol w:w="2826"/>
        <w:gridCol w:w="2825"/>
      </w:tblGrid>
      <w:tr>
        <w:trPr>
          <w:cantSplit/>
          <w:tblHeader/>
        </w:trPr>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 and file</w:t>
            </w:r>
          </w:p>
        </w:tc>
        <w:tc>
          <w:tcPr>
            <w:tcW w:type="dxa" w:w="282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Drugs</w:t>
            </w:r>
          </w:p>
        </w:tc>
        <w:tc>
          <w:tcPr>
            <w:tcW w:type="dxa" w:w="282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Lasers and procedures</w:t>
            </w:r>
          </w:p>
        </w:tc>
        <w:tc>
          <w:tcPr>
            <w:tcW w:type="dxa" w:w="282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Surgery</w:t>
            </w:r>
          </w:p>
        </w:tc>
      </w:tr>
      <w:tr>
        <w:trPr>
          <w:cantSplit/>
        </w:trPr>
        <w:tc>
          <w:tcPr>
            <w:tcW w:type="dxa" w:w="1615"/>
            <w:tcMar>
              <w:top w:type="dxa" w:w="60"/>
              <w:left w:type="dxa" w:w="80"/>
              <w:bottom w:type="dxa" w:w="60"/>
              <w:right w:type="dxa" w:w="80"/>
            </w:tcMar>
            <w:vAlign w:val="top"/>
          </w:tcPr>
          <w:p>
            <w:pPr>
              <w:widowControl/>
              <w:spacing w:after="0" w:before="0" w:line="245" w:lineRule="auto"/>
            </w:pPr>
            <w:r>
              <w:rPr>
                <w:b/>
                <w:bCs/>
                <w:sz w:val="17"/>
                <w:szCs w:val="17"/>
              </w:rPr>
              <w:t xml:space="preserve">GX</w:t>
            </w:r>
            <w:r>
              <w:rPr>
                <w:sz w:val="17"/>
                <w:szCs w:val="17"/>
              </w:rPr>
              <w:t xml:space="preserve"> · 01 Glaucoma (used by G1–G11)</w:t>
            </w:r>
          </w:p>
        </w:tc>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Prostaglandin analogues, beta-blockers, alpha-2 agonists, carbonic anhydrase inhibitors (topical, oral), miotics, hyperosmotics; fixed combinations; drugs in the acute attack; newer drugs </w:t>
            </w:r>
            <w:r>
              <w:rPr>
                <w:i/>
                <w:iCs/>
                <w:sz w:val="17"/>
                <w:szCs w:val="17"/>
              </w:rPr>
              <w:t xml:space="preserve">(extra)</w:t>
            </w:r>
          </w:p>
        </w:tc>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Laser iridotomy, iridoplasty, laser trabeculoplasty (selective, argon), cyclophotocoagulation</w:t>
            </w:r>
          </w:p>
        </w:tc>
        <w:tc>
          <w:tcPr>
            <w:tcW w:type="dxa" w:w="2825"/>
            <w:tcMar>
              <w:top w:type="dxa" w:w="60"/>
              <w:left w:type="dxa" w:w="80"/>
              <w:bottom w:type="dxa" w:w="60"/>
              <w:right w:type="dxa" w:w="80"/>
            </w:tcMar>
            <w:vAlign w:val="top"/>
          </w:tcPr>
          <w:p>
            <w:pPr>
              <w:widowControl/>
              <w:spacing w:after="0" w:before="0" w:line="245" w:lineRule="auto"/>
            </w:pPr>
            <w:r>
              <w:rPr>
                <w:sz w:val="17"/>
                <w:szCs w:val="17"/>
              </w:rPr>
              <w:t xml:space="preserve">Trabeculectomy with antifibrotics, combined surgery, drainage devices (valved and non-valved), non-penetrating surgery, cyclodestruction, lens extraction in angle closure; minimally invasive glaucoma surgery </w:t>
            </w:r>
            <w:r>
              <w:rPr>
                <w:i/>
                <w:iCs/>
                <w:sz w:val="17"/>
                <w:szCs w:val="17"/>
              </w:rPr>
              <w:t xml:space="preserve">(extra)</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RX</w:t>
            </w:r>
            <w:r>
              <w:rPr>
                <w:sz w:val="17"/>
                <w:szCs w:val="17"/>
              </w:rPr>
              <w:t xml:space="preserve"> · 02 Retina (used by R0–R16)</w:t>
            </w:r>
          </w:p>
        </w:tc>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Anti-vascular endothelial growth factor (anti-VEGF) agents; intravitreal steroids and implants</w:t>
            </w:r>
          </w:p>
        </w:tc>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Panretinal photocoagulation, focal and grid laser, barrage laser, photodynamic therapy, cryotherapy</w:t>
            </w:r>
          </w:p>
        </w:tc>
        <w:tc>
          <w:tcPr>
            <w:tcW w:type="dxa" w:w="282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Vitrectomy, scleral buckling, pneumatic retinopexy, tamponades (gases, silicone oil) and their removal</w:t>
            </w:r>
          </w:p>
        </w:tc>
      </w:tr>
      <w:tr>
        <w:trPr>
          <w:cantSplit/>
        </w:trPr>
        <w:tc>
          <w:tcPr>
            <w:tcW w:type="dxa" w:w="1615"/>
            <w:tcMar>
              <w:top w:type="dxa" w:w="60"/>
              <w:left w:type="dxa" w:w="80"/>
              <w:bottom w:type="dxa" w:w="60"/>
              <w:right w:type="dxa" w:w="80"/>
            </w:tcMar>
            <w:vAlign w:val="top"/>
          </w:tcPr>
          <w:p>
            <w:pPr>
              <w:widowControl/>
              <w:spacing w:after="0" w:before="0" w:line="245" w:lineRule="auto"/>
            </w:pPr>
            <w:r>
              <w:rPr>
                <w:b/>
                <w:bCs/>
                <w:sz w:val="17"/>
                <w:szCs w:val="17"/>
              </w:rPr>
              <w:t xml:space="preserve">CX</w:t>
            </w:r>
            <w:r>
              <w:rPr>
                <w:sz w:val="17"/>
                <w:szCs w:val="17"/>
              </w:rPr>
              <w:t xml:space="preserve"> · 03 Cornea (used by C1–C11)</w:t>
            </w:r>
          </w:p>
        </w:tc>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Antibacterials (fortified and commercial), antifungals (topical, oral, intrastromal, intracameral), antivirals, anti-Acanthamoeba agents, cycloplegics, steroids in graft rejection</w:t>
            </w:r>
          </w:p>
        </w:tc>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Corneal scraping and culture, bandage contact lens, tissue adhesive, collagen cross-linking, ethylenediaminetetraacetic acid (EDTA) chelation, phototherapeutic keratectomy</w:t>
            </w:r>
          </w:p>
        </w:tc>
        <w:tc>
          <w:tcPr>
            <w:tcW w:type="dxa" w:w="2825"/>
            <w:tcMar>
              <w:top w:type="dxa" w:w="60"/>
              <w:left w:type="dxa" w:w="80"/>
              <w:bottom w:type="dxa" w:w="60"/>
              <w:right w:type="dxa" w:w="80"/>
            </w:tcMar>
            <w:vAlign w:val="top"/>
          </w:tcPr>
          <w:p>
            <w:pPr>
              <w:widowControl/>
              <w:spacing w:after="0" w:before="0" w:line="245" w:lineRule="auto"/>
            </w:pPr>
            <w:r>
              <w:rPr>
                <w:sz w:val="17"/>
                <w:szCs w:val="17"/>
              </w:rPr>
              <w:t xml:space="preserve">Therapeutic and penetrating keratoplasty, deep anterior lamellar keratoplasty, Descemet’s stripping endothelial keratoplasty (DSEK) and Descemet’s membrane endothelial keratoplasty (DMEK), conjunctival flap, tarsorrhaphy, intracorneal ring segments</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MX</w:t>
            </w:r>
            <w:r>
              <w:rPr>
                <w:sz w:val="17"/>
                <w:szCs w:val="17"/>
              </w:rPr>
              <w:t xml:space="preserve"> · 04 Lens, uvea, misc (used by M1–M9)</w:t>
            </w:r>
          </w:p>
        </w:tc>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Topical, periocular and systemic steroids; cycloplegics; non-steroidal anti-inflammatory drugs; immunosuppressants and biologicals </w:t>
            </w:r>
            <w:r>
              <w:rPr>
                <w:i/>
                <w:iCs/>
                <w:sz w:val="17"/>
                <w:szCs w:val="17"/>
              </w:rPr>
              <w:t xml:space="preserve">(extra)</w:t>
            </w:r>
          </w:p>
        </w:tc>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Optical correction of aphakia and subluxation; neodymium-doped yttrium aluminium garnet (Nd:YAG) laser capsulotomy</w:t>
            </w:r>
          </w:p>
        </w:tc>
        <w:tc>
          <w:tcPr>
            <w:tcW w:type="dxa" w:w="282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Lensectomy (anterior, pars plana), capsular tension ring or segment, anterior-chamber, iris-fixated and scleral-fixated IOLs, IOL repositioning or exchange, paediatric cataract surgery, hyphaema wash-out</w:t>
            </w:r>
          </w:p>
        </w:tc>
      </w:tr>
      <w:tr>
        <w:trPr>
          <w:cantSplit/>
        </w:trPr>
        <w:tc>
          <w:tcPr>
            <w:tcW w:type="dxa" w:w="1615"/>
            <w:tcMar>
              <w:top w:type="dxa" w:w="60"/>
              <w:left w:type="dxa" w:w="80"/>
              <w:bottom w:type="dxa" w:w="60"/>
              <w:right w:type="dxa" w:w="80"/>
            </w:tcMar>
            <w:vAlign w:val="top"/>
          </w:tcPr>
          <w:p>
            <w:pPr>
              <w:widowControl/>
              <w:spacing w:after="0" w:before="0" w:line="245" w:lineRule="auto"/>
            </w:pPr>
            <w:r>
              <w:rPr>
                <w:b/>
                <w:bCs/>
                <w:sz w:val="17"/>
                <w:szCs w:val="17"/>
              </w:rPr>
              <w:t xml:space="preserve">NX</w:t>
            </w:r>
            <w:r>
              <w:rPr>
                <w:sz w:val="17"/>
                <w:szCs w:val="17"/>
              </w:rPr>
              <w:t xml:space="preserve"> · 05 Nerves (used by N1–N6)</w:t>
            </w:r>
          </w:p>
        </w:tc>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Steroids in optic neuritis and arteritic ischaemic optic neuropathy; lubricants in lagophthalmos</w:t>
            </w:r>
          </w:p>
        </w:tc>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Occlusion, prisms, botulinum toxin; diplopia charting and the Hess chart (how to do, read and record them)</w:t>
            </w:r>
          </w:p>
        </w:tc>
        <w:tc>
          <w:tcPr>
            <w:tcW w:type="dxa" w:w="2825"/>
            <w:tcMar>
              <w:top w:type="dxa" w:w="60"/>
              <w:left w:type="dxa" w:w="80"/>
              <w:bottom w:type="dxa" w:w="60"/>
              <w:right w:type="dxa" w:w="80"/>
            </w:tcMar>
            <w:vAlign w:val="top"/>
          </w:tcPr>
          <w:p>
            <w:pPr>
              <w:widowControl/>
              <w:spacing w:after="0" w:before="0" w:line="245" w:lineRule="auto"/>
            </w:pPr>
            <w:r>
              <w:rPr>
                <w:sz w:val="17"/>
                <w:szCs w:val="17"/>
              </w:rPr>
              <w:t xml:space="preserve">Squint surgery for palsies (recession–resection, transposition); lid procedures for lagophthalmos (tarsorrhaphy, gold weight, lateral tarsal strip)</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OX</w:t>
            </w:r>
            <w:r>
              <w:rPr>
                <w:sz w:val="17"/>
                <w:szCs w:val="17"/>
              </w:rPr>
              <w:t xml:space="preserve"> · 06 Oculoplasty (used by O1–O5)</w:t>
            </w:r>
          </w:p>
        </w:tc>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Thyroid eye disease: steroid regimens, selenium, radiotherapy. Myasthenia gravis: pyridostigmine, steroids, immunosuppressants, thymectomy</w:t>
            </w:r>
          </w:p>
        </w:tc>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Ice-pack and neostigmine tests for myasthenia gravis</w:t>
            </w:r>
          </w:p>
        </w:tc>
        <w:tc>
          <w:tcPr>
            <w:tcW w:type="dxa" w:w="282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Ptosis surgery (Fasanella–Servat, Müller muscle–conjunctival resection, levator resection, frontalis sling and its materials); orbital decompression and the order of surgery in thyroid eye disease; orbital implants, dermis-fat and mucous-membrane grafts, prostheses</w:t>
            </w:r>
          </w:p>
        </w:tc>
      </w:tr>
    </w:tbl>
    <w:p>
      <w:pPr>
        <w:widowControl/>
        <w:spacing w:before="110"/>
      </w:pPr>
      <w:r>
        <w:t xml:space="preserve">The viva file (07) has no toolkit. Its imaging and field cards point back to the subject toolkits for treatment.</w:t>
      </w:r>
    </w:p>
    <w:p>
      <w:pPr>
        <w:pStyle w:val="Heading2"/>
        <w:widowControl/>
      </w:pPr>
      <w:r>
        <w:t xml:space="preserve">Marks and timings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431"/>
        <w:gridCol w:w="3330"/>
        <w:gridCol w:w="3331"/>
      </w:tblGrid>
      <w:tr>
        <w:trPr>
          <w:cantSplit/>
          <w:tblHeader/>
        </w:trPr>
        <w:tc>
          <w:tcPr>
            <w:tcW w:type="dxa" w:w="343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Head</w:t>
            </w:r>
          </w:p>
        </w:tc>
        <w:tc>
          <w:tcPr>
            <w:tcW w:type="dxa" w:w="333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Marks</w:t>
            </w:r>
          </w:p>
        </w:tc>
        <w:tc>
          <w:tcPr>
            <w:tcW w:type="dxa" w:w="333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 for drills</w:t>
            </w:r>
          </w:p>
        </w:tc>
      </w:tr>
      <w:tr>
        <w:trPr>
          <w:cantSplit/>
        </w:trPr>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Long case</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80 (1 × 80)</w:t>
            </w:r>
          </w:p>
        </w:tc>
        <w:tc>
          <w:tcPr>
            <w:tcW w:type="dxa" w:w="3331"/>
            <w:tcMar>
              <w:top w:type="dxa" w:w="60"/>
              <w:left w:type="dxa" w:w="80"/>
              <w:bottom w:type="dxa" w:w="60"/>
              <w:right w:type="dxa" w:w="80"/>
            </w:tcMar>
            <w:vAlign w:val="top"/>
          </w:tcPr>
          <w:p>
            <w:pPr>
              <w:widowControl/>
              <w:spacing w:after="0" w:before="0" w:line="245" w:lineRule="auto"/>
            </w:pPr>
            <w:r>
              <w:rPr>
                <w:sz w:val="17"/>
                <w:szCs w:val="17"/>
              </w:rPr>
              <w:t xml:space="preserve">20 + 10 min</w:t>
            </w:r>
          </w:p>
        </w:tc>
      </w:tr>
      <w:tr>
        <w:trPr>
          <w:cantSplit/>
        </w:trPr>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Short cases</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60 (2 × 30)</w:t>
            </w:r>
          </w:p>
        </w:tc>
        <w:tc>
          <w:tcPr>
            <w:tcW w:type="dxa" w:w="33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10 + 5 min each</w:t>
            </w:r>
          </w:p>
        </w:tc>
      </w:tr>
      <w:tr>
        <w:trPr>
          <w:cantSplit/>
        </w:trPr>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Fundus</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60 (2 × 30)</w:t>
            </w:r>
          </w:p>
        </w:tc>
        <w:tc>
          <w:tcPr>
            <w:tcW w:type="dxa" w:w="3331"/>
            <w:tcMar>
              <w:top w:type="dxa" w:w="60"/>
              <w:left w:type="dxa" w:w="80"/>
              <w:bottom w:type="dxa" w:w="60"/>
              <w:right w:type="dxa" w:w="80"/>
            </w:tcMar>
            <w:vAlign w:val="top"/>
          </w:tcPr>
          <w:p>
            <w:pPr>
              <w:widowControl/>
              <w:spacing w:after="0" w:before="0" w:line="245" w:lineRule="auto"/>
            </w:pPr>
            <w:r>
              <w:rPr>
                <w:sz w:val="17"/>
                <w:szCs w:val="17"/>
              </w:rPr>
              <w:t xml:space="preserve">10 + 5 min (one case in the older scheme)</w:t>
            </w:r>
          </w:p>
        </w:tc>
      </w:tr>
      <w:tr>
        <w:trPr>
          <w:cantSplit/>
        </w:trPr>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Refraction</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30 (1 × 30)</w:t>
            </w:r>
          </w:p>
        </w:tc>
        <w:tc>
          <w:tcPr>
            <w:tcW w:type="dxa" w:w="33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10 + 5 min</w:t>
            </w:r>
          </w:p>
        </w:tc>
      </w:tr>
      <w:tr>
        <w:trPr>
          <w:cantSplit/>
        </w:trPr>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Ward rounds</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30 (5 × 6)</w:t>
            </w:r>
          </w:p>
        </w:tc>
        <w:tc>
          <w:tcPr>
            <w:tcW w:type="dxa" w:w="3331"/>
            <w:tcMar>
              <w:top w:type="dxa" w:w="60"/>
              <w:left w:type="dxa" w:w="80"/>
              <w:bottom w:type="dxa" w:w="60"/>
              <w:right w:type="dxa" w:w="80"/>
            </w:tcMar>
            <w:vAlign w:val="top"/>
          </w:tcPr>
          <w:p>
            <w:pPr>
              <w:widowControl/>
              <w:spacing w:after="0" w:before="0" w:line="245" w:lineRule="auto"/>
            </w:pPr>
            <w:r>
              <w:rPr>
                <w:sz w:val="17"/>
                <w:szCs w:val="17"/>
              </w:rPr>
              <w:t xml:space="preserve">3 + 2 min per patient</w:t>
            </w:r>
          </w:p>
        </w:tc>
      </w:tr>
      <w:tr>
        <w:trPr>
          <w:cantSplit/>
        </w:trPr>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Objective structured clinical examination</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20 (5 × 4)</w:t>
            </w:r>
          </w:p>
        </w:tc>
        <w:tc>
          <w:tcPr>
            <w:tcW w:type="dxa" w:w="33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 min per station</w:t>
            </w:r>
          </w:p>
        </w:tc>
      </w:tr>
      <w:tr>
        <w:trPr>
          <w:cantSplit/>
        </w:trPr>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Dissertation</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20</w:t>
            </w:r>
          </w:p>
        </w:tc>
        <w:tc>
          <w:tcPr>
            <w:tcW w:type="dxa" w:w="3331"/>
            <w:tcMar>
              <w:top w:type="dxa" w:w="60"/>
              <w:left w:type="dxa" w:w="80"/>
              <w:bottom w:type="dxa" w:w="60"/>
              <w:right w:type="dxa" w:w="80"/>
            </w:tcMar>
            <w:vAlign w:val="top"/>
          </w:tcPr>
          <w:p>
            <w:pPr>
              <w:widowControl/>
              <w:spacing w:after="0" w:before="0" w:line="245" w:lineRule="auto"/>
            </w:pPr>
          </w:p>
        </w:tc>
      </w:tr>
      <w:tr>
        <w:trPr>
          <w:cantSplit/>
        </w:trPr>
        <w:tc>
          <w:tcPr>
            <w:tcW w:type="dxa" w:w="3431"/>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Clinical total</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300</w:t>
            </w:r>
          </w:p>
        </w:tc>
        <w:tc>
          <w:tcPr>
            <w:tcW w:type="dxa" w:w="3331"/>
            <w:shd w:fill="F3F6FA" w:color="auto" w:val="clear"/>
            <w:tcMar>
              <w:top w:type="dxa" w:w="60"/>
              <w:left w:type="dxa" w:w="80"/>
              <w:bottom w:type="dxa" w:w="60"/>
              <w:right w:type="dxa" w:w="80"/>
            </w:tcMar>
            <w:vAlign w:val="top"/>
          </w:tcPr>
          <w:p>
            <w:pPr>
              <w:widowControl/>
              <w:spacing w:after="0" w:before="0" w:line="245" w:lineRule="auto"/>
            </w:pPr>
          </w:p>
        </w:tc>
      </w:tr>
      <w:tr>
        <w:trPr>
          <w:cantSplit/>
        </w:trPr>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Viva, including competency</w:t>
            </w:r>
          </w:p>
        </w:tc>
        <w:tc>
          <w:tcPr>
            <w:tcW w:type="dxa" w:w="3330"/>
            <w:tcMar>
              <w:top w:type="dxa" w:w="60"/>
              <w:left w:type="dxa" w:w="80"/>
              <w:bottom w:type="dxa" w:w="60"/>
              <w:right w:type="dxa" w:w="80"/>
            </w:tcMar>
            <w:vAlign w:val="top"/>
          </w:tcPr>
          <w:p>
            <w:pPr>
              <w:widowControl/>
              <w:spacing w:after="0" w:before="0" w:line="245" w:lineRule="auto"/>
            </w:pPr>
            <w:r>
              <w:rPr>
                <w:sz w:val="17"/>
                <w:szCs w:val="17"/>
              </w:rPr>
              <w:t xml:space="preserve">80 (60 + 20)</w:t>
            </w:r>
          </w:p>
        </w:tc>
        <w:tc>
          <w:tcPr>
            <w:tcW w:type="dxa" w:w="3331"/>
            <w:tcMar>
              <w:top w:type="dxa" w:w="60"/>
              <w:left w:type="dxa" w:w="80"/>
              <w:bottom w:type="dxa" w:w="60"/>
              <w:right w:type="dxa" w:w="80"/>
            </w:tcMar>
            <w:vAlign w:val="top"/>
          </w:tcPr>
          <w:p>
            <w:pPr>
              <w:widowControl/>
              <w:spacing w:after="0" w:before="0" w:line="245" w:lineRule="auto"/>
            </w:pPr>
          </w:p>
        </w:tc>
      </w:tr>
      <w:tr>
        <w:trPr>
          <w:cantSplit/>
        </w:trPr>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Log book</w:t>
            </w:r>
          </w:p>
        </w:tc>
        <w:tc>
          <w:tcPr>
            <w:tcW w:type="dxa" w:w="333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20</w:t>
            </w:r>
          </w:p>
        </w:tc>
        <w:tc>
          <w:tcPr>
            <w:tcW w:type="dxa" w:w="3331"/>
            <w:shd w:fill="F3F6FA" w:color="auto" w:val="clear"/>
            <w:tcMar>
              <w:top w:type="dxa" w:w="60"/>
              <w:left w:type="dxa" w:w="80"/>
              <w:bottom w:type="dxa" w:w="60"/>
              <w:right w:type="dxa" w:w="80"/>
            </w:tcMar>
            <w:vAlign w:val="top"/>
          </w:tcPr>
          <w:p>
            <w:pPr>
              <w:widowControl/>
              <w:spacing w:after="0" w:before="0" w:line="245" w:lineRule="auto"/>
            </w:pPr>
          </w:p>
        </w:tc>
      </w:tr>
      <w:tr>
        <w:trPr>
          <w:cantSplit/>
        </w:trPr>
        <w:tc>
          <w:tcPr>
            <w:tcW w:type="dxa" w:w="3431"/>
            <w:tcMar>
              <w:top w:type="dxa" w:w="60"/>
              <w:left w:type="dxa" w:w="80"/>
              <w:bottom w:type="dxa" w:w="60"/>
              <w:right w:type="dxa" w:w="80"/>
            </w:tcMar>
            <w:vAlign w:val="top"/>
          </w:tcPr>
          <w:p>
            <w:pPr>
              <w:widowControl/>
              <w:spacing w:after="0" w:before="0" w:line="245" w:lineRule="auto"/>
            </w:pPr>
            <w:r>
              <w:rPr>
                <w:b/>
                <w:bCs/>
                <w:sz w:val="17"/>
                <w:szCs w:val="17"/>
              </w:rPr>
              <w:t xml:space="preserve">Aggregate</w:t>
            </w:r>
          </w:p>
        </w:tc>
        <w:tc>
          <w:tcPr>
            <w:tcW w:type="dxa" w:w="3330"/>
            <w:tcMar>
              <w:top w:type="dxa" w:w="60"/>
              <w:left w:type="dxa" w:w="80"/>
              <w:bottom w:type="dxa" w:w="60"/>
              <w:right w:type="dxa" w:w="80"/>
            </w:tcMar>
            <w:vAlign w:val="top"/>
          </w:tcPr>
          <w:p>
            <w:pPr>
              <w:widowControl/>
              <w:spacing w:after="0" w:before="0" w:line="245" w:lineRule="auto"/>
            </w:pPr>
            <w:r>
              <w:rPr>
                <w:b/>
                <w:bCs/>
                <w:sz w:val="17"/>
                <w:szCs w:val="17"/>
              </w:rPr>
              <w:t xml:space="preserve">400; pass 200</w:t>
            </w:r>
          </w:p>
        </w:tc>
        <w:tc>
          <w:tcPr>
            <w:tcW w:type="dxa" w:w="3331"/>
            <w:tcMar>
              <w:top w:type="dxa" w:w="60"/>
              <w:left w:type="dxa" w:w="80"/>
              <w:bottom w:type="dxa" w:w="60"/>
              <w:right w:type="dxa" w:w="80"/>
            </w:tcMar>
            <w:vAlign w:val="top"/>
          </w:tcPr>
          <w:p>
            <w:pPr>
              <w:widowControl/>
              <w:spacing w:after="0" w:before="0" w:line="245" w:lineRule="auto"/>
            </w:pPr>
          </w:p>
        </w:tc>
      </w:tr>
    </w:tbl>
    <w:p>
      <w:pPr>
        <w:pStyle w:val="ListParagraph"/>
        <w:keepLines/>
        <w:widowControl/>
        <w:numPr>
          <w:ilvl w:val="0"/>
          <w:numId w:val="2"/>
        </w:numPr>
        <w:spacing w:after="30" w:before="110"/>
      </w:pPr>
      <w:r>
        <w:rPr>
          <w:b/>
          <w:bCs/>
        </w:rPr>
        <w:t xml:space="preserve">Marks:</w:t>
      </w:r>
      <w:r>
        <w:t xml:space="preserve"> the university’s postgraduate practical scheme, as modified at the 64th Standing Academic Board on 25 November 2025.</w:t>
      </w:r>
    </w:p>
    <w:p>
      <w:pPr>
        <w:pStyle w:val="ListParagraph"/>
        <w:keepLines/>
        <w:widowControl/>
        <w:numPr>
          <w:ilvl w:val="0"/>
          <w:numId w:val="2"/>
        </w:numPr>
        <w:spacing w:after="60"/>
      </w:pPr>
      <w:r>
        <w:rPr>
          <w:b/>
          <w:bCs/>
        </w:rPr>
        <w:t xml:space="preserve">Times:</w:t>
      </w:r>
      <w:r>
        <w:t xml:space="preserve"> from the older 300-mark scheme (last year’s photo 1). Its marks no longer apply. Its timings are the only official ones found, so use them to time practice.</w:t>
      </w:r>
    </w:p>
    <w:p>
      <w:pPr>
        <w:pStyle w:val="Heading2"/>
        <w:widowControl/>
      </w:pPr>
      <w:r>
        <w:t xml:space="preserve">Last year’s 34 cases at JEH</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817"/>
        <w:gridCol w:w="5046"/>
        <w:gridCol w:w="3229"/>
      </w:tblGrid>
      <w:tr>
        <w:trPr>
          <w:cantSplit/>
          <w:tblHeader/>
        </w:trPr>
        <w:tc>
          <w:tcPr>
            <w:tcW w:type="dxa" w:w="181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Category</w:t>
            </w:r>
          </w:p>
        </w:tc>
        <w:tc>
          <w:tcPr>
            <w:tcW w:type="dxa" w:w="504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Diagnoses (count)</w:t>
            </w:r>
          </w:p>
        </w:tc>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Notes</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Glaucoma (12)</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POAG ×6 (one with pseudoexfoliation glaucoma; one both eyes) · PACG ×4 · neovascular glaucoma ×1 · CRVO with POAG ×1</w:t>
            </w:r>
          </w:p>
        </w:tc>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Tasks written: applanation tonometry 8, gonioscopy 8, Humphrey field 3. Gonioscopy drawn as a cross: scleral spur in all four quadrants, both eyes.</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 (16)</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Retinitis pigmentosa ×4 · proliferative diabetic retinopathy ×3 · age-related macular degeneration ×2 · superotemporal branch retinal vein occlusion ×2 · coloboma ×2 · hemi-CRVO with POAG ×1 · Stargardt disease (both eyes) ×1 · dislocated lens in the vitreous ×1</w:t>
            </w:r>
          </w:p>
        </w:tc>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hemi-CRVO patient was marked both fundus and glaucoma.</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Anterior segment (5)</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Fungal corneal ulcer ×2 · failed graft ×1 · subluxated lens (Marfan syndrome) ×1 · lamellar cataract / aphakia ×1</w:t>
            </w:r>
          </w:p>
        </w:tc>
        <w:tc>
          <w:tcPr>
            <w:tcW w:type="dxa" w:w="3229"/>
            <w:tcMar>
              <w:top w:type="dxa" w:w="60"/>
              <w:left w:type="dxa" w:w="80"/>
              <w:bottom w:type="dxa" w:w="60"/>
              <w:right w:type="dxa" w:w="80"/>
            </w:tcMar>
            <w:vAlign w:val="top"/>
          </w:tcPr>
          <w:p>
            <w:pPr>
              <w:widowControl/>
              <w:spacing w:after="0" w:before="0" w:line="245" w:lineRule="auto"/>
            </w:pP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Cranial nerve (1)</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Third nerve palsy</w:t>
            </w:r>
          </w:p>
        </w:tc>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On the main list only.</w:t>
            </w:r>
          </w:p>
        </w:tc>
      </w:tr>
      <w:tr>
        <w:trPr>
          <w:cantSplit/>
        </w:trPr>
        <w:tc>
          <w:tcPr>
            <w:tcW w:type="dxa" w:w="1817"/>
            <w:tcMar>
              <w:top w:type="dxa" w:w="60"/>
              <w:left w:type="dxa" w:w="80"/>
              <w:bottom w:type="dxa" w:w="60"/>
              <w:right w:type="dxa" w:w="80"/>
            </w:tcMar>
            <w:vAlign w:val="top"/>
          </w:tcPr>
          <w:p>
            <w:pPr>
              <w:widowControl/>
              <w:spacing w:after="0" w:before="0" w:line="245" w:lineRule="auto"/>
            </w:pPr>
            <w:r>
              <w:rPr>
                <w:b/>
                <w:bCs/>
                <w:sz w:val="17"/>
                <w:szCs w:val="17"/>
              </w:rPr>
              <w:t xml:space="preserve">Total</w:t>
            </w:r>
          </w:p>
        </w:tc>
        <w:tc>
          <w:tcPr>
            <w:tcW w:type="dxa" w:w="5046"/>
            <w:tcMar>
              <w:top w:type="dxa" w:w="60"/>
              <w:left w:type="dxa" w:w="80"/>
              <w:bottom w:type="dxa" w:w="60"/>
              <w:right w:type="dxa" w:w="80"/>
            </w:tcMar>
            <w:vAlign w:val="top"/>
          </w:tcPr>
          <w:p>
            <w:pPr>
              <w:widowControl/>
              <w:spacing w:after="0" w:before="0" w:line="245" w:lineRule="auto"/>
            </w:pPr>
            <w:r>
              <w:rPr>
                <w:b/>
                <w:bCs/>
                <w:sz w:val="17"/>
                <w:szCs w:val="17"/>
              </w:rPr>
              <w:t xml:space="preserve">34</w:t>
            </w:r>
          </w:p>
        </w:tc>
        <w:tc>
          <w:tcPr>
            <w:tcW w:type="dxa" w:w="3229"/>
            <w:tcMar>
              <w:top w:type="dxa" w:w="60"/>
              <w:left w:type="dxa" w:w="80"/>
              <w:bottom w:type="dxa" w:w="60"/>
              <w:right w:type="dxa" w:w="80"/>
            </w:tcMar>
            <w:vAlign w:val="top"/>
          </w:tcPr>
          <w:p>
            <w:pPr>
              <w:widowControl/>
              <w:spacing w:after="0" w:before="0" w:line="245" w:lineRule="auto"/>
            </w:pPr>
          </w:p>
        </w:tc>
      </w:tr>
    </w:tbl>
    <w:p>
      <w:pPr>
        <w:pStyle w:val="ListParagraph"/>
        <w:keepLines/>
        <w:widowControl/>
        <w:numPr>
          <w:ilvl w:val="0"/>
          <w:numId w:val="2"/>
        </w:numPr>
        <w:spacing w:after="30" w:before="110"/>
      </w:pPr>
      <w:r>
        <w:rPr>
          <w:b/>
          <w:bCs/>
        </w:rPr>
        <w:t xml:space="preserve">The iris coloboma:</w:t>
      </w:r>
      <w:r>
        <w:t xml:space="preserve"> the main list marks one coloboma patient as anterior segment (“iris coloboma”). The category sheets list her under fundus. By the main list, fundus is 15 and anterior segment 6.</w:t>
      </w:r>
    </w:p>
    <w:p>
      <w:pPr>
        <w:pStyle w:val="ListParagraph"/>
        <w:keepNext/>
        <w:keepLines/>
        <w:widowControl/>
        <w:numPr>
          <w:ilvl w:val="0"/>
          <w:numId w:val="2"/>
        </w:numPr>
        <w:spacing w:after="60"/>
      </w:pPr>
      <w:r>
        <w:rPr>
          <w:b/>
          <w:bCs/>
        </w:rPr>
        <w:t xml:space="preserve">Two case-sheet long cases:</w:t>
      </w:r>
      <w:r>
        <w:t xml:space="preserve"> one PACG and one fungal corneal ulcer were taken as full written case sheets. Practise writing a complete case sheet (card A) for both.</w:t>
      </w:r>
    </w:p>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Department long- and short-case checklist · Last year’s case lists (photos 2–7) · Older practical scheme (photo 1) · Tamil Nadu Dr M.G.R. Medical University postgraduate practical scheme, 64th Standing Academic Board, 25 November 2025 · Master prompt v4 §8</w:t>
      </w:r>
    </w:p>
    <w:sectPr>
      <w:footerReference w:type="default" r:id="rId9"/>
      <w:type w:val="nextPage"/>
      <w:pgSz w:w="11906" w:h="16838" w:orient="portrait"/>
      <w:pgMar w:top="794" w:right="907" w:bottom="794" w:left="907" w:header="397" w:footer="39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00 · Index and master case format</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00 · Index and master case format</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00 · Index and master case format</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00 · Index and master case format</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97" w:hanging="255"/>
      </w:pPr>
      <w:rPr>
        <w:rFonts w:ascii="Calibri" w:cs="Calibri" w:eastAsia="Calibri" w:hAnsi="Calibri"/>
        <w:color w:val="1F3864"/>
      </w:rPr>
    </w:lvl>
    <w:lvl w:ilvl="1" w:tentative="1">
      <w:start w:val="1"/>
      <w:numFmt w:val="bullet"/>
      <w:lvlText w:val="–"/>
      <w:lvlJc w:val="left"/>
      <w:pPr>
        <w:ind w:left="680" w:hanging="255"/>
      </w:pPr>
      <w:rPr>
        <w:rFonts w:ascii="Calibri" w:cs="Calibri" w:eastAsia="Calibri" w:hAnsi="Calibri"/>
        <w:color w:val="1F3864"/>
      </w:rPr>
    </w:lvl>
  </w:abstractNum>
  <w:abstractNum w:abstractNumId="3" w15:restartNumberingAfterBreak="0">
    <w:multiLevelType w:val="hybridMultilevel"/>
    <w:lvl w:ilvl="0" w:tentative="1">
      <w:start w:val="1"/>
      <w:numFmt w:val="decimal"/>
      <w:lvlText w:val="%1."/>
      <w:lvlJc w:val="left"/>
      <w:pPr>
        <w:ind w:left="397" w:hanging="340"/>
      </w:pPr>
      <w:rPr>
        <w:rFonts w:ascii="Calibri" w:cs="Calibri" w:eastAsia="Calibri" w:hAnsi="Calibri"/>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lang w:val="en-GB"/>
      </w:rPr>
    </w:rPrDefault>
    <w:pPrDefault>
      <w:pPr>
        <w:spacing w:after="50" w:before="0" w:line="25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pPr>
      <w:spacing w:after="120"/>
    </w:pPr>
    <w:rPr>
      <w:rFonts w:ascii="Calibri" w:cs="Calibri" w:eastAsia="Calibri" w:hAnsi="Calibri"/>
      <w:b/>
      <w:bCs/>
      <w:color w:val="1F3864"/>
      <w:sz w:val="48"/>
      <w:szCs w:val="48"/>
    </w:rPr>
  </w:style>
  <w:style w:type="paragraph" w:styleId="Heading1">
    <w:name w:val="Heading 1"/>
    <w:basedOn w:val="Normal"/>
    <w:next w:val="Normal"/>
    <w:qFormat/>
    <w:pPr>
      <w:keepNext/>
      <w:spacing w:after="40" w:before="0"/>
      <w:outlineLvl w:val="0"/>
    </w:pPr>
    <w:rPr>
      <w:rFonts w:ascii="Calibri" w:cs="Calibri" w:eastAsia="Calibri" w:hAnsi="Calibri"/>
      <w:b/>
      <w:bCs/>
      <w:color w:val="1F3864"/>
      <w:sz w:val="28"/>
      <w:szCs w:val="28"/>
    </w:rPr>
  </w:style>
  <w:style w:type="paragraph" w:styleId="Heading2">
    <w:name w:val="Heading 2"/>
    <w:basedOn w:val="Normal"/>
    <w:next w:val="Normal"/>
    <w:qFormat/>
    <w:pPr>
      <w:keepNext/>
      <w:keepLines/>
      <w:pBdr>
        <w:bottom w:val="single" w:color="9DC3E6" w:sz="6" w:space="1"/>
      </w:pBdr>
      <w:spacing w:after="50" w:before="140"/>
      <w:outlineLvl w:val="1"/>
    </w:pPr>
    <w:rPr>
      <w:rFonts w:ascii="Calibri" w:cs="Calibri" w:eastAsia="Calibri" w:hAnsi="Calibri"/>
      <w:b/>
      <w:bCs/>
      <w:color w:val="1F3864"/>
      <w:sz w:val="22"/>
      <w:szCs w:val="22"/>
    </w:rPr>
  </w:style>
  <w:style w:type="paragraph" w:styleId="Heading3">
    <w:name w:val="Heading 3"/>
    <w:basedOn w:val="Normal"/>
    <w:next w:val="Normal"/>
    <w:qFormat/>
    <w:pPr>
      <w:keepNext/>
      <w:keepLines/>
      <w:spacing w:after="40" w:before="100"/>
      <w:outlineLvl w:val="2"/>
    </w:pPr>
    <w:rPr>
      <w:rFonts w:ascii="Calibri" w:cs="Calibri" w:eastAsia="Calibri" w:hAnsi="Calibri"/>
      <w:b/>
      <w:bCs/>
      <w:color w:val="31849B"/>
      <w:sz w:val="19"/>
      <w:szCs w:val="19"/>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rdFooter">
    <w:name w:val="Card footer"/>
    <w:basedOn w:val="Normal"/>
    <w:pPr>
      <w:spacing w:after="0" w:before="0" w:line="240" w:lineRule="auto"/>
    </w:pPr>
    <w:rPr>
      <w:rFonts w:ascii="Calibri" w:cs="Calibri" w:eastAsia="Calibri" w:hAnsi="Calibri"/>
      <w:color w:val="7F7F7F"/>
      <w:sz w:val="15"/>
      <w:szCs w:val="1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theme" Target="theme/theme1.xml"/><Relationship Id="rId11" Type="http://schemas.openxmlformats.org/officeDocument/2006/relationships/image" Target="media/db3507e67b09210cfe563e117bd0c536dd1c832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 · Index and master case format</dc:title>
  <dc:subject>Index and master case format — case cards</dc:subject>
  <dc:creator>build_cards.js</dc:creator>
  <dc:description>M.S. Ophthalmology practical examination · Tamil Nadu Dr M.G.R. Medical University · 16 October 2026</dc:description>
  <cp:lastModifiedBy>Un-named</cp:lastModifiedBy>
  <cp:revision>1</cp:revision>
  <dcterms:created xsi:type="dcterms:W3CDTF">2026-10-08T07:35:47.799Z</dcterms:created>
  <dcterms:modified xsi:type="dcterms:W3CDTF">2026-10-08T07:35:47.799Z</dcterms:modified>
</cp:coreProperties>
</file>

<file path=docProps/custom.xml><?xml version="1.0" encoding="utf-8"?>
<Properties xmlns="http://schemas.openxmlformats.org/officeDocument/2006/custom-properties" xmlns:vt="http://schemas.openxmlformats.org/officeDocument/2006/docPropsVTypes"/>
</file>