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4C1D95"/>
          <w:sz w:val="36"/>
        </w:rPr>
        <w:t>CLOUD-D: AUTONOMOUS MULTI-AGENT THREAT DEFENSE &amp; ENCRYPTED CLOUD STORAGE</w:t>
      </w:r>
    </w:p>
    <w:p>
      <w:pPr>
        <w:spacing w:after="280"/>
        <w:jc w:val="center"/>
      </w:pPr>
      <w:r>
        <w:rPr>
          <w:rFonts w:ascii="Arial" w:hAnsi="Arial"/>
          <w:i/>
          <w:color w:val="64748B"/>
          <w:sz w:val="21"/>
        </w:rPr>
        <w:t>Master Technical Handover, Completed Implementation Dossier, Cross-Platform Mobile Architecture, and Future Strategic Roadmap</w:t>
      </w:r>
    </w:p>
    <w:tbl>
      <w:tblPr>
        <w:tblW w:type="auto" w:w="0"/>
        <w:jc w:val="center"/>
        <w:tblLook w:firstColumn="1" w:firstRow="1" w:lastColumn="0" w:lastRow="0" w:noHBand="0" w:noVBand="1" w:val="04A0"/>
      </w:tblPr>
      <w:tblGrid>
        <w:gridCol w:w="4680"/>
        <w:gridCol w:w="4680"/>
      </w:tblGrid>
      <w:tr>
        <w:tc>
          <w:tcPr>
            <w:tcW w:type="dxa" w:w="3168"/>
            <w:shd w:fill="F1F5F9"/>
            <w:tcMar>
              <w:top w:w="70" w:type="dxa"/>
              <w:bottom w:w="70" w:type="dxa"/>
              <w:left w:w="110" w:type="dxa"/>
              <w:right w:w="110" w:type="dxa"/>
            </w:tcMar>
          </w:tcPr>
          <w:p>
            <w:r>
              <w:rPr>
                <w:rFonts w:ascii="Arial" w:hAnsi="Arial"/>
                <w:b/>
                <w:color w:val="1E293B"/>
                <w:sz w:val="18"/>
              </w:rPr>
              <w:t>Student Investigator</w:t>
            </w:r>
          </w:p>
        </w:tc>
        <w:tc>
          <w:tcPr>
            <w:tcW w:type="dxa" w:w="6192"/>
            <w:shd w:fill="FFFFFF"/>
            <w:tcMar>
              <w:top w:w="70" w:type="dxa"/>
              <w:bottom w:w="70" w:type="dxa"/>
              <w:left w:w="110" w:type="dxa"/>
              <w:right w:w="110" w:type="dxa"/>
            </w:tcMar>
          </w:tcPr>
          <w:p>
            <w:r>
              <w:rPr>
                <w:rFonts w:ascii="Arial" w:hAnsi="Arial"/>
                <w:color w:val="1E293B"/>
                <w:sz w:val="18"/>
              </w:rPr>
              <w:t>Nithish M (Roll No. 24X064)</w:t>
            </w:r>
          </w:p>
        </w:tc>
      </w:tr>
      <w:tr>
        <w:tc>
          <w:tcPr>
            <w:tcW w:type="dxa" w:w="3168"/>
            <w:shd w:fill="F1F5F9"/>
            <w:tcMar>
              <w:top w:w="70" w:type="dxa"/>
              <w:bottom w:w="70" w:type="dxa"/>
              <w:left w:w="110" w:type="dxa"/>
              <w:right w:w="110" w:type="dxa"/>
            </w:tcMar>
          </w:tcPr>
          <w:p>
            <w:r>
              <w:rPr>
                <w:rFonts w:ascii="Arial" w:hAnsi="Arial"/>
                <w:b/>
                <w:color w:val="1E293B"/>
                <w:sz w:val="18"/>
              </w:rPr>
              <w:t>Department &amp; Institution</w:t>
            </w:r>
          </w:p>
        </w:tc>
        <w:tc>
          <w:tcPr>
            <w:tcW w:type="dxa" w:w="6192"/>
            <w:shd w:fill="FFFFFF"/>
            <w:tcMar>
              <w:top w:w="70" w:type="dxa"/>
              <w:bottom w:w="70" w:type="dxa"/>
              <w:left w:w="110" w:type="dxa"/>
              <w:right w:w="110" w:type="dxa"/>
            </w:tcMar>
          </w:tcPr>
          <w:p>
            <w:r>
              <w:rPr>
                <w:rFonts w:ascii="Arial" w:hAnsi="Arial"/>
                <w:color w:val="1E293B"/>
                <w:sz w:val="18"/>
              </w:rPr>
              <w:t>Dept. of Applied Mathematics &amp; Computational Sciences, PSG College of Technology, Coimbatore</w:t>
            </w:r>
          </w:p>
        </w:tc>
      </w:tr>
      <w:tr>
        <w:tc>
          <w:tcPr>
            <w:tcW w:type="dxa" w:w="3168"/>
            <w:shd w:fill="F1F5F9"/>
            <w:tcMar>
              <w:top w:w="70" w:type="dxa"/>
              <w:bottom w:w="70" w:type="dxa"/>
              <w:left w:w="110" w:type="dxa"/>
              <w:right w:w="110" w:type="dxa"/>
            </w:tcMar>
          </w:tcPr>
          <w:p>
            <w:r>
              <w:rPr>
                <w:rFonts w:ascii="Arial" w:hAnsi="Arial"/>
                <w:b/>
                <w:color w:val="1E293B"/>
                <w:sz w:val="18"/>
              </w:rPr>
              <w:t>Academic Program</w:t>
            </w:r>
          </w:p>
        </w:tc>
        <w:tc>
          <w:tcPr>
            <w:tcW w:type="dxa" w:w="6192"/>
            <w:shd w:fill="FFFFFF"/>
            <w:tcMar>
              <w:top w:w="70" w:type="dxa"/>
              <w:bottom w:w="70" w:type="dxa"/>
              <w:left w:w="110" w:type="dxa"/>
              <w:right w:w="110" w:type="dxa"/>
            </w:tcMar>
          </w:tcPr>
          <w:p>
            <w:r>
              <w:rPr>
                <w:rFonts w:ascii="Arial" w:hAnsi="Arial"/>
                <w:color w:val="1E293B"/>
                <w:sz w:val="18"/>
              </w:rPr>
              <w:t>M.Sc. Theoretical Computer Science / Software Systems</w:t>
            </w:r>
          </w:p>
        </w:tc>
      </w:tr>
      <w:tr>
        <w:tc>
          <w:tcPr>
            <w:tcW w:type="dxa" w:w="3168"/>
            <w:shd w:fill="F1F5F9"/>
            <w:tcMar>
              <w:top w:w="70" w:type="dxa"/>
              <w:bottom w:w="70" w:type="dxa"/>
              <w:left w:w="110" w:type="dxa"/>
              <w:right w:w="110" w:type="dxa"/>
            </w:tcMar>
          </w:tcPr>
          <w:p>
            <w:r>
              <w:rPr>
                <w:rFonts w:ascii="Arial" w:hAnsi="Arial"/>
                <w:b/>
                <w:color w:val="1E293B"/>
                <w:sz w:val="18"/>
              </w:rPr>
              <w:t>Project Repository</w:t>
            </w:r>
          </w:p>
        </w:tc>
        <w:tc>
          <w:tcPr>
            <w:tcW w:type="dxa" w:w="6192"/>
            <w:shd w:fill="FFFFFF"/>
            <w:tcMar>
              <w:top w:w="70" w:type="dxa"/>
              <w:bottom w:w="70" w:type="dxa"/>
              <w:left w:w="110" w:type="dxa"/>
              <w:right w:w="110" w:type="dxa"/>
            </w:tcMar>
          </w:tcPr>
          <w:p>
            <w:r>
              <w:rPr>
                <w:rFonts w:ascii="Arial" w:hAnsi="Arial"/>
                <w:color w:val="1E293B"/>
                <w:sz w:val="18"/>
              </w:rPr>
              <w:t>https://github.com/Nithishammu/cloud-d-enterprise-security.git (Branch: main)</w:t>
            </w:r>
          </w:p>
        </w:tc>
      </w:tr>
      <w:tr>
        <w:tc>
          <w:tcPr>
            <w:tcW w:type="dxa" w:w="3168"/>
            <w:shd w:fill="F1F5F9"/>
            <w:tcMar>
              <w:top w:w="70" w:type="dxa"/>
              <w:bottom w:w="70" w:type="dxa"/>
              <w:left w:w="110" w:type="dxa"/>
              <w:right w:w="110" w:type="dxa"/>
            </w:tcMar>
          </w:tcPr>
          <w:p>
            <w:r>
              <w:rPr>
                <w:rFonts w:ascii="Arial" w:hAnsi="Arial"/>
                <w:b/>
                <w:color w:val="1E293B"/>
                <w:sz w:val="18"/>
              </w:rPr>
              <w:t>Live Web Service</w:t>
            </w:r>
          </w:p>
        </w:tc>
        <w:tc>
          <w:tcPr>
            <w:tcW w:type="dxa" w:w="6192"/>
            <w:shd w:fill="FFFFFF"/>
            <w:tcMar>
              <w:top w:w="70" w:type="dxa"/>
              <w:bottom w:w="70" w:type="dxa"/>
              <w:left w:w="110" w:type="dxa"/>
              <w:right w:w="110" w:type="dxa"/>
            </w:tcMar>
          </w:tcPr>
          <w:p>
            <w:r>
              <w:rPr>
                <w:rFonts w:ascii="Arial" w:hAnsi="Arial"/>
                <w:color w:val="1E293B"/>
                <w:sz w:val="18"/>
              </w:rPr>
              <w:t>https://cloud-d.onrender.com/ (Render Free Web Service with Procfile WSGI)</w:t>
            </w:r>
          </w:p>
        </w:tc>
      </w:tr>
      <w:tr>
        <w:tc>
          <w:tcPr>
            <w:tcW w:type="dxa" w:w="3168"/>
            <w:shd w:fill="F1F5F9"/>
            <w:tcMar>
              <w:top w:w="70" w:type="dxa"/>
              <w:bottom w:w="70" w:type="dxa"/>
              <w:left w:w="110" w:type="dxa"/>
              <w:right w:w="110" w:type="dxa"/>
            </w:tcMar>
          </w:tcPr>
          <w:p>
            <w:r>
              <w:rPr>
                <w:rFonts w:ascii="Arial" w:hAnsi="Arial"/>
                <w:b/>
                <w:color w:val="1E293B"/>
                <w:sz w:val="18"/>
              </w:rPr>
              <w:t>Default Seed Credentials</w:t>
            </w:r>
          </w:p>
        </w:tc>
        <w:tc>
          <w:tcPr>
            <w:tcW w:type="dxa" w:w="6192"/>
            <w:shd w:fill="FFFFFF"/>
            <w:tcMar>
              <w:top w:w="70" w:type="dxa"/>
              <w:bottom w:w="70" w:type="dxa"/>
              <w:left w:w="110" w:type="dxa"/>
              <w:right w:w="110" w:type="dxa"/>
            </w:tcMar>
          </w:tcPr>
          <w:p>
            <w:r>
              <w:rPr>
                <w:rFonts w:ascii="Arial" w:hAnsi="Arial"/>
                <w:color w:val="1E293B"/>
                <w:sz w:val="18"/>
              </w:rPr>
              <w:t>Admin/Staff: nithish / nithish123 (Node 2 Vault)  |  Customer: client_vault / customer123 (Node 3 Vault)</w:t>
            </w:r>
          </w:p>
        </w:tc>
      </w:tr>
      <w:tr>
        <w:tc>
          <w:tcPr>
            <w:tcW w:type="dxa" w:w="3168"/>
            <w:shd w:fill="F1F5F9"/>
            <w:tcMar>
              <w:top w:w="70" w:type="dxa"/>
              <w:bottom w:w="70" w:type="dxa"/>
              <w:left w:w="110" w:type="dxa"/>
              <w:right w:w="110" w:type="dxa"/>
            </w:tcMar>
          </w:tcPr>
          <w:p>
            <w:r>
              <w:rPr>
                <w:rFonts w:ascii="Arial" w:hAnsi="Arial"/>
                <w:b/>
                <w:color w:val="1E293B"/>
                <w:sz w:val="18"/>
              </w:rPr>
              <w:t>Date of Master Release</w:t>
            </w:r>
          </w:p>
        </w:tc>
        <w:tc>
          <w:tcPr>
            <w:tcW w:type="dxa" w:w="6192"/>
            <w:shd w:fill="FFFFFF"/>
            <w:tcMar>
              <w:top w:w="70" w:type="dxa"/>
              <w:bottom w:w="70" w:type="dxa"/>
              <w:left w:w="110" w:type="dxa"/>
              <w:right w:w="110" w:type="dxa"/>
            </w:tcMar>
          </w:tcPr>
          <w:p>
            <w:r>
              <w:rPr>
                <w:rFonts w:ascii="Arial" w:hAnsi="Arial"/>
                <w:color w:val="1E293B"/>
                <w:sz w:val="18"/>
              </w:rPr>
              <w:t>October 26, 2026 (Production Release v3.5.0)</w:t>
            </w:r>
          </w:p>
        </w:tc>
      </w:tr>
    </w:tbl>
    <w:p>
      <w:pPr>
        <w:spacing w:after="240"/>
      </w:pPr>
    </w:p>
    <w:p>
      <w:pPr>
        <w:spacing w:before="320" w:after="120"/>
      </w:pPr>
      <w:r>
        <w:rPr>
          <w:rFonts w:ascii="Arial" w:hAnsi="Arial"/>
          <w:b/>
          <w:color w:val="4C1D95"/>
          <w:sz w:val="26"/>
        </w:rPr>
        <w:t>1. Executive Summary &amp; System Problem Formulation</w:t>
      </w:r>
    </w:p>
    <w:p>
      <w:r>
        <w:t>Modern cloud storage architectures face dual existential threats: centralized data compromise and sophisticated adversarial infiltration. Conventional public clouds (e.g., standard Google Drive or AWS S3 buckets) rely on static perimeter firewalls and centralized symmetric key stores. If perimeter authentication is bypassed or storage keys are exfiltrated, tenant confidentiality is completely obliterated.</w:t>
        <w:br/>
        <w:br/>
        <w:t>Cloud-D addresses this crisis by synthesizing three state-of-the-art computational disciplines into an operable enterprise platform:</w:t>
        <w:br/>
        <w:t>1. Autonomous Multi-Agent Game-Theoretic Defense: A distributed mesh of cognitive defensive agents (Spectral Sentinel, Cryptographic Warden, HoneyNet Deceiver, Session Arbiter) continuously counter hostile adversaries using Minimax game-tree search and stochastic Expectimax chance evaluations.</w:t>
        <w:br/>
        <w:t>2. Zero-Knowledge Post-Quantum Cryptographic Sharding: File payloads are segmented, encrypted via hybrid NIST FIPS 203 ML-KEM-768 (CRYSTALS-Kyber) lattice key encapsulation paired with hardware-accelerated AES-256-GCM AEAD, and distributed across geographically isolated vault nodes.</w:t>
        <w:br/>
        <w:t>3. Cross-Platform Responsive Gating: A Google Drive enterprise replica web experience coupled with a native React Native / Expo cross-platform mobile application (iOS &amp; Android) featuring strict unauthenticated gating.</w:t>
      </w:r>
    </w:p>
    <w:p>
      <w:pPr>
        <w:spacing w:before="320" w:after="120"/>
      </w:pPr>
      <w:r>
        <w:rPr>
          <w:rFonts w:ascii="Arial" w:hAnsi="Arial"/>
          <w:b/>
          <w:color w:val="4C1D95"/>
          <w:sz w:val="26"/>
        </w:rPr>
        <w:t>2. Exhaustive Audit of Completed Implementations Today</w:t>
      </w:r>
    </w:p>
    <w:p>
      <w:r>
        <w:t>The following 25 architectural modules have been completely designed, implemented, tested, and pushed to the production repository:</w:t>
      </w:r>
    </w:p>
    <w:tbl>
      <w:tblPr>
        <w:tblW w:type="auto" w:w="0"/>
        <w:jc w:val="center"/>
        <w:tblLook w:firstColumn="1" w:firstRow="1" w:lastColumn="0" w:lastRow="0" w:noHBand="0" w:noVBand="1" w:val="04A0"/>
      </w:tblPr>
      <w:tblGrid>
        <w:gridCol w:w="3120"/>
        <w:gridCol w:w="3120"/>
        <w:gridCol w:w="3120"/>
      </w:tblGrid>
      <w:tr>
        <w:tc>
          <w:tcPr>
            <w:tcW w:type="dxa" w:w="2880"/>
            <w:shd w:fill="E2E8F0"/>
            <w:tcMar>
              <w:top w:w="70" w:type="dxa"/>
              <w:bottom w:w="70" w:type="dxa"/>
              <w:left w:w="90" w:type="dxa"/>
              <w:right w:w="90" w:type="dxa"/>
            </w:tcMar>
          </w:tcPr>
          <w:p>
            <w:r>
              <w:rPr>
                <w:b/>
              </w:rPr>
              <w:t>Delivered Module</w:t>
            </w:r>
          </w:p>
        </w:tc>
        <w:tc>
          <w:tcPr>
            <w:tcW w:type="dxa" w:w="5184"/>
            <w:shd w:fill="E2E8F0"/>
            <w:tcMar>
              <w:top w:w="70" w:type="dxa"/>
              <w:bottom w:w="70" w:type="dxa"/>
              <w:left w:w="90" w:type="dxa"/>
              <w:right w:w="90" w:type="dxa"/>
            </w:tcMar>
          </w:tcPr>
          <w:p>
            <w:r>
              <w:rPr>
                <w:b/>
              </w:rPr>
              <w:t>Implementation Scope &amp; Architecture</w:t>
            </w:r>
          </w:p>
        </w:tc>
        <w:tc>
          <w:tcPr>
            <w:tcW w:type="dxa" w:w="2016"/>
            <w:shd w:fill="E2E8F0"/>
            <w:tcMar>
              <w:top w:w="70" w:type="dxa"/>
              <w:bottom w:w="70" w:type="dxa"/>
              <w:left w:w="90" w:type="dxa"/>
              <w:right w:w="90" w:type="dxa"/>
            </w:tcMar>
          </w:tcPr>
          <w:p>
            <w:r>
              <w:rPr>
                <w:b/>
              </w:rPr>
              <w:t>Verification</w:t>
            </w:r>
          </w:p>
        </w:tc>
      </w:tr>
      <w:tr>
        <w:tc>
          <w:tcPr>
            <w:tcW w:type="dxa" w:w="2880"/>
            <w:shd w:fill="F8FAFC"/>
            <w:tcMar>
              <w:top w:w="50" w:type="dxa"/>
              <w:bottom w:w="50" w:type="dxa"/>
              <w:left w:w="70" w:type="dxa"/>
              <w:right w:w="70" w:type="dxa"/>
            </w:tcMar>
          </w:tcPr>
          <w:p>
            <w:r>
              <w:rPr>
                <w:rFonts w:ascii="Arial" w:hAnsi="Arial"/>
                <w:b/>
                <w:sz w:val="17"/>
              </w:rPr>
              <w:t>Threat Simulation Arena (UI Match)</w:t>
            </w:r>
          </w:p>
        </w:tc>
        <w:tc>
          <w:tcPr>
            <w:tcW w:type="dxa" w:w="5184"/>
            <w:shd w:fill="F8FAFC"/>
            <w:tcMar>
              <w:top w:w="50" w:type="dxa"/>
              <w:bottom w:w="50" w:type="dxa"/>
              <w:left w:w="70" w:type="dxa"/>
              <w:right w:w="70" w:type="dxa"/>
            </w:tcMar>
          </w:tcPr>
          <w:p>
            <w:r>
              <w:rPr>
                <w:rFonts w:ascii="Arial" w:hAnsi="Arial"/>
                <w:sz w:val="16"/>
              </w:rPr>
              <w:t>Interactive &amp; automated threat center matching user reference image: Manual attack dropdowns (Adversarial agent, target asset, pressure), Step one round button, Automated defense runner, vector chips (Credential, DDoS, SQLi, Galois), threshold slider (0.10 - 0.90), and Minimax decision cards.</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FFFFF"/>
            <w:tcMar>
              <w:top w:w="50" w:type="dxa"/>
              <w:bottom w:w="50" w:type="dxa"/>
              <w:left w:w="70" w:type="dxa"/>
              <w:right w:w="70" w:type="dxa"/>
            </w:tcMar>
          </w:tcPr>
          <w:p>
            <w:r>
              <w:rPr>
                <w:rFonts w:ascii="Arial" w:hAnsi="Arial"/>
                <w:b/>
                <w:sz w:val="17"/>
              </w:rPr>
              <w:t>Strict Mobile Navigation Gating</w:t>
            </w:r>
          </w:p>
        </w:tc>
        <w:tc>
          <w:tcPr>
            <w:tcW w:type="dxa" w:w="5184"/>
            <w:shd w:fill="FFFFFF"/>
            <w:tcMar>
              <w:top w:w="50" w:type="dxa"/>
              <w:bottom w:w="50" w:type="dxa"/>
              <w:left w:w="70" w:type="dxa"/>
              <w:right w:w="70" w:type="dxa"/>
            </w:tcMar>
          </w:tcPr>
          <w:p>
            <w:r>
              <w:rPr>
                <w:rFonts w:ascii="Arial" w:hAnsi="Arial"/>
                <w:sz w:val="16"/>
              </w:rPr>
              <w:t>Enforced strict CSS &amp; DOM rules hiding the lower mobile navigation panel (#mobile-bottom-bar) and floating action button (#mobile-fab) prior to login. Screen displays only centered login box on iOS Safari and Android Chrome.</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8FAFC"/>
            <w:tcMar>
              <w:top w:w="50" w:type="dxa"/>
              <w:bottom w:w="50" w:type="dxa"/>
              <w:left w:w="70" w:type="dxa"/>
              <w:right w:w="70" w:type="dxa"/>
            </w:tcMar>
          </w:tcPr>
          <w:p>
            <w:r>
              <w:rPr>
                <w:rFonts w:ascii="Arial" w:hAnsi="Arial"/>
                <w:b/>
                <w:sz w:val="17"/>
              </w:rPr>
              <w:t>Cross-Platform Mobile App (iOS &amp; Android)</w:t>
            </w:r>
          </w:p>
        </w:tc>
        <w:tc>
          <w:tcPr>
            <w:tcW w:type="dxa" w:w="5184"/>
            <w:shd w:fill="F8FAFC"/>
            <w:tcMar>
              <w:top w:w="50" w:type="dxa"/>
              <w:bottom w:w="50" w:type="dxa"/>
              <w:left w:w="70" w:type="dxa"/>
              <w:right w:w="70" w:type="dxa"/>
            </w:tcMar>
          </w:tcPr>
          <w:p>
            <w:r>
              <w:rPr>
                <w:rFonts w:ascii="Arial" w:hAnsi="Arial"/>
                <w:sz w:val="16"/>
              </w:rPr>
              <w:t>Full, self-contained React Native / Expo application in mobile_app/App.js with custom navigation stack, encrypted storage upload sheets, threat simulation controls, and background peripheral shield monitoring.</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FFFFF"/>
            <w:tcMar>
              <w:top w:w="50" w:type="dxa"/>
              <w:bottom w:w="50" w:type="dxa"/>
              <w:left w:w="70" w:type="dxa"/>
              <w:right w:w="70" w:type="dxa"/>
            </w:tcMar>
          </w:tcPr>
          <w:p>
            <w:r>
              <w:rPr>
                <w:rFonts w:ascii="Arial" w:hAnsi="Arial"/>
                <w:b/>
                <w:sz w:val="17"/>
              </w:rPr>
              <w:t>PWA Standalone Mobile Layer</w:t>
            </w:r>
          </w:p>
        </w:tc>
        <w:tc>
          <w:tcPr>
            <w:tcW w:type="dxa" w:w="5184"/>
            <w:shd w:fill="FFFFFF"/>
            <w:tcMar>
              <w:top w:w="50" w:type="dxa"/>
              <w:bottom w:w="50" w:type="dxa"/>
              <w:left w:w="70" w:type="dxa"/>
              <w:right w:w="70" w:type="dxa"/>
            </w:tcMar>
          </w:tcPr>
          <w:p>
            <w:r>
              <w:rPr>
                <w:rFonts w:ascii="Arial" w:hAnsi="Arial"/>
                <w:sz w:val="16"/>
              </w:rPr>
              <w:t>Integrated static/manifest.json and static/sw.js service worker with 1-tap Add to Home Screen support for iOS Safari and Chrome Android standalone app execution.</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8FAFC"/>
            <w:tcMar>
              <w:top w:w="50" w:type="dxa"/>
              <w:bottom w:w="50" w:type="dxa"/>
              <w:left w:w="70" w:type="dxa"/>
              <w:right w:w="70" w:type="dxa"/>
            </w:tcMar>
          </w:tcPr>
          <w:p>
            <w:r>
              <w:rPr>
                <w:rFonts w:ascii="Arial" w:hAnsi="Arial"/>
                <w:b/>
                <w:sz w:val="17"/>
              </w:rPr>
              <w:t>Google Drive Enterprise UI Replica</w:t>
            </w:r>
          </w:p>
        </w:tc>
        <w:tc>
          <w:tcPr>
            <w:tcW w:type="dxa" w:w="5184"/>
            <w:shd w:fill="F8FAFC"/>
            <w:tcMar>
              <w:top w:w="50" w:type="dxa"/>
              <w:bottom w:w="50" w:type="dxa"/>
              <w:left w:w="70" w:type="dxa"/>
              <w:right w:w="70" w:type="dxa"/>
            </w:tcMar>
          </w:tcPr>
          <w:p>
            <w:r>
              <w:rPr>
                <w:rFonts w:ascii="Arial" w:hAnsi="Arial"/>
                <w:sz w:val="16"/>
              </w:rPr>
              <w:t>Spacious layout with centered Search in Drive box, Suggested folder cards (PS-7, 24X501, PS-6), Suggested files table, list/grid view switcher, and context actions.</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FFFFF"/>
            <w:tcMar>
              <w:top w:w="50" w:type="dxa"/>
              <w:bottom w:w="50" w:type="dxa"/>
              <w:left w:w="70" w:type="dxa"/>
              <w:right w:w="70" w:type="dxa"/>
            </w:tcMar>
          </w:tcPr>
          <w:p>
            <w:r>
              <w:rPr>
                <w:rFonts w:ascii="Arial" w:hAnsi="Arial"/>
                <w:b/>
                <w:sz w:val="17"/>
              </w:rPr>
              <w:t>Recent Segment Chronological Grouping</w:t>
            </w:r>
          </w:p>
        </w:tc>
        <w:tc>
          <w:tcPr>
            <w:tcW w:type="dxa" w:w="5184"/>
            <w:shd w:fill="FFFFFF"/>
            <w:tcMar>
              <w:top w:w="50" w:type="dxa"/>
              <w:bottom w:w="50" w:type="dxa"/>
              <w:left w:w="70" w:type="dxa"/>
              <w:right w:w="70" w:type="dxa"/>
            </w:tcMar>
          </w:tcPr>
          <w:p>
            <w:r>
              <w:rPr>
                <w:rFonts w:ascii="Arial" w:hAnsi="Arial"/>
                <w:sz w:val="16"/>
              </w:rPr>
              <w:t>Chronological section grouping ('Last week') with pill filter chips ('Type ▾', 'People ▾', 'Modified ▾', 'Source ▾'), owner me avatars ('N'), file sizes, and storage locations.</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8FAFC"/>
            <w:tcMar>
              <w:top w:w="50" w:type="dxa"/>
              <w:bottom w:w="50" w:type="dxa"/>
              <w:left w:w="70" w:type="dxa"/>
              <w:right w:w="70" w:type="dxa"/>
            </w:tcMar>
          </w:tcPr>
          <w:p>
            <w:r>
              <w:rPr>
                <w:rFonts w:ascii="Arial" w:hAnsi="Arial"/>
                <w:b/>
                <w:sz w:val="17"/>
              </w:rPr>
              <w:t>Duplicate Upload Versioning (n+1)</w:t>
            </w:r>
          </w:p>
        </w:tc>
        <w:tc>
          <w:tcPr>
            <w:tcW w:type="dxa" w:w="5184"/>
            <w:shd w:fill="F8FAFC"/>
            <w:tcMar>
              <w:top w:w="50" w:type="dxa"/>
              <w:bottom w:w="50" w:type="dxa"/>
              <w:left w:w="70" w:type="dxa"/>
              <w:right w:w="70" w:type="dxa"/>
            </w:tcMar>
          </w:tcPr>
          <w:p>
            <w:r>
              <w:rPr>
                <w:rFonts w:ascii="Arial" w:hAnsi="Arial"/>
                <w:sz w:val="16"/>
              </w:rPr>
              <w:t>Interactive duplicate modal offering explicit choices: Option 1: Save as New Version (n+1 revision), Option 2: Replace Existing File in-place, Option 3: Keep Both (Upload as Copy).</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FFFFF"/>
            <w:tcMar>
              <w:top w:w="50" w:type="dxa"/>
              <w:bottom w:w="50" w:type="dxa"/>
              <w:left w:w="70" w:type="dxa"/>
              <w:right w:w="70" w:type="dxa"/>
            </w:tcMar>
          </w:tcPr>
          <w:p>
            <w:r>
              <w:rPr>
                <w:rFonts w:ascii="Arial" w:hAnsi="Arial"/>
                <w:b/>
                <w:sz w:val="17"/>
              </w:rPr>
              <w:t>Visual Unified Line Diff Engine</w:t>
            </w:r>
          </w:p>
        </w:tc>
        <w:tc>
          <w:tcPr>
            <w:tcW w:type="dxa" w:w="5184"/>
            <w:shd w:fill="FFFFFF"/>
            <w:tcMar>
              <w:top w:w="50" w:type="dxa"/>
              <w:bottom w:w="50" w:type="dxa"/>
              <w:left w:w="70" w:type="dxa"/>
              <w:right w:w="70" w:type="dxa"/>
            </w:tcMar>
          </w:tcPr>
          <w:p>
            <w:r>
              <w:rPr>
                <w:rFonts w:ascii="Arial" w:hAnsi="Arial"/>
                <w:sz w:val="16"/>
              </w:rPr>
              <w:t>difflib.unified_diff integration comparing any historical revision against current active revision, displaying chunk headers and color-coded additions/deletions in real-time.</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8FAFC"/>
            <w:tcMar>
              <w:top w:w="50" w:type="dxa"/>
              <w:bottom w:w="50" w:type="dxa"/>
              <w:left w:w="70" w:type="dxa"/>
              <w:right w:w="70" w:type="dxa"/>
            </w:tcMar>
          </w:tcPr>
          <w:p>
            <w:r>
              <w:rPr>
                <w:rFonts w:ascii="Arial" w:hAnsi="Arial"/>
                <w:b/>
                <w:sz w:val="17"/>
              </w:rPr>
              <w:t>Pure Minimax Search Engine</w:t>
            </w:r>
          </w:p>
        </w:tc>
        <w:tc>
          <w:tcPr>
            <w:tcW w:type="dxa" w:w="5184"/>
            <w:shd w:fill="F8FAFC"/>
            <w:tcMar>
              <w:top w:w="50" w:type="dxa"/>
              <w:bottom w:w="50" w:type="dxa"/>
              <w:left w:w="70" w:type="dxa"/>
              <w:right w:w="70" w:type="dxa"/>
            </w:tcMar>
          </w:tcPr>
          <w:p>
            <w:r>
              <w:rPr>
                <w:rFonts w:ascii="Arial" w:hAnsi="Arial"/>
                <w:sz w:val="16"/>
              </w:rPr>
              <w:t>2-ply exhaustive game-tree search in cloud_d/logic/search.py without alpha-beta pruning. Evaluates 100% of adversarial tree states deterministically with utility scoring.</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FFFFF"/>
            <w:tcMar>
              <w:top w:w="50" w:type="dxa"/>
              <w:bottom w:w="50" w:type="dxa"/>
              <w:left w:w="70" w:type="dxa"/>
              <w:right w:w="70" w:type="dxa"/>
            </w:tcMar>
          </w:tcPr>
          <w:p>
            <w:r>
              <w:rPr>
                <w:rFonts w:ascii="Arial" w:hAnsi="Arial"/>
                <w:b/>
                <w:sz w:val="17"/>
              </w:rPr>
              <w:t>Expectimax Stochastic Evaluation</w:t>
            </w:r>
          </w:p>
        </w:tc>
        <w:tc>
          <w:tcPr>
            <w:tcW w:type="dxa" w:w="5184"/>
            <w:shd w:fill="FFFFFF"/>
            <w:tcMar>
              <w:top w:w="50" w:type="dxa"/>
              <w:bottom w:w="50" w:type="dxa"/>
              <w:left w:w="70" w:type="dxa"/>
              <w:right w:w="70" w:type="dxa"/>
            </w:tcMar>
          </w:tcPr>
          <w:p>
            <w:r>
              <w:rPr>
                <w:rFonts w:ascii="Arial" w:hAnsi="Arial"/>
                <w:sz w:val="16"/>
              </w:rPr>
              <w:t>Probability-weighted chance node evaluation in cloud_d/logic/search.py for QueryShield AST injection sanitization under uncertainty.</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8FAFC"/>
            <w:tcMar>
              <w:top w:w="50" w:type="dxa"/>
              <w:bottom w:w="50" w:type="dxa"/>
              <w:left w:w="70" w:type="dxa"/>
              <w:right w:w="70" w:type="dxa"/>
            </w:tcMar>
          </w:tcPr>
          <w:p>
            <w:r>
              <w:rPr>
                <w:rFonts w:ascii="Arial" w:hAnsi="Arial"/>
                <w:b/>
                <w:sz w:val="17"/>
              </w:rPr>
              <w:t>Client-Side WebCrypto Zero-Knowledge</w:t>
            </w:r>
          </w:p>
        </w:tc>
        <w:tc>
          <w:tcPr>
            <w:tcW w:type="dxa" w:w="5184"/>
            <w:shd w:fill="F8FAFC"/>
            <w:tcMar>
              <w:top w:w="50" w:type="dxa"/>
              <w:bottom w:w="50" w:type="dxa"/>
              <w:left w:w="70" w:type="dxa"/>
              <w:right w:w="70" w:type="dxa"/>
            </w:tcMar>
          </w:tcPr>
          <w:p>
            <w:r>
              <w:rPr>
                <w:rFonts w:ascii="Arial" w:hAnsi="Arial"/>
                <w:sz w:val="16"/>
              </w:rPr>
              <w:t>PBKDF2 key derivation (100,000 iterations, SHA-256) and AES-256-GCM in static/cloud-d.js (WebCryptoVault). Plaintext and master passphrases never touch server memory.</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FFFFF"/>
            <w:tcMar>
              <w:top w:w="50" w:type="dxa"/>
              <w:bottom w:w="50" w:type="dxa"/>
              <w:left w:w="70" w:type="dxa"/>
              <w:right w:w="70" w:type="dxa"/>
            </w:tcMar>
          </w:tcPr>
          <w:p>
            <w:r>
              <w:rPr>
                <w:rFonts w:ascii="Arial" w:hAnsi="Arial"/>
                <w:b/>
                <w:sz w:val="17"/>
              </w:rPr>
              <w:t>Hybrid Post-Quantum ML-KEM-768</w:t>
            </w:r>
          </w:p>
        </w:tc>
        <w:tc>
          <w:tcPr>
            <w:tcW w:type="dxa" w:w="5184"/>
            <w:shd w:fill="FFFFFF"/>
            <w:tcMar>
              <w:top w:w="50" w:type="dxa"/>
              <w:bottom w:w="50" w:type="dxa"/>
              <w:left w:w="70" w:type="dxa"/>
              <w:right w:w="70" w:type="dxa"/>
            </w:tcMar>
          </w:tcPr>
          <w:p>
            <w:r>
              <w:rPr>
                <w:rFonts w:ascii="Arial" w:hAnsi="Arial"/>
                <w:sz w:val="16"/>
              </w:rPr>
              <w:t>CRYSTALS-Kyber-768 lattice-based key encapsulation combined with AES-256-GCM in cloud_d/crypto/pq_kyber.py. Derives quantum-safe shared secrets immune to Shor's algorithm.</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8FAFC"/>
            <w:tcMar>
              <w:top w:w="50" w:type="dxa"/>
              <w:bottom w:w="50" w:type="dxa"/>
              <w:left w:w="70" w:type="dxa"/>
              <w:right w:w="70" w:type="dxa"/>
            </w:tcMar>
          </w:tcPr>
          <w:p>
            <w:r>
              <w:rPr>
                <w:rFonts w:ascii="Arial" w:hAnsi="Arial"/>
                <w:b/>
                <w:sz w:val="17"/>
              </w:rPr>
              <w:t>Cross-Region Vault Sharding (Nodes 0-3)</w:t>
            </w:r>
          </w:p>
        </w:tc>
        <w:tc>
          <w:tcPr>
            <w:tcW w:type="dxa" w:w="5184"/>
            <w:shd w:fill="F8FAFC"/>
            <w:tcMar>
              <w:top w:w="50" w:type="dxa"/>
              <w:bottom w:w="50" w:type="dxa"/>
              <w:left w:w="70" w:type="dxa"/>
              <w:right w:w="70" w:type="dxa"/>
            </w:tcMar>
          </w:tcPr>
          <w:p>
            <w:r>
              <w:rPr>
                <w:rFonts w:ascii="Arial" w:hAnsi="Arial"/>
                <w:sz w:val="16"/>
              </w:rPr>
              <w:t>4-tier distributed topology: Node 0 (Auth, us-east-1), Node 1 (Gateway, us-west-2), Node 2 (Primary Vault, eu-central-1), Node 3 (Tenant Vault, ap-southeast-1). Regional AAD re-sealing.</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FFFFF"/>
            <w:tcMar>
              <w:top w:w="50" w:type="dxa"/>
              <w:bottom w:w="50" w:type="dxa"/>
              <w:left w:w="70" w:type="dxa"/>
              <w:right w:w="70" w:type="dxa"/>
            </w:tcMar>
          </w:tcPr>
          <w:p>
            <w:r>
              <w:rPr>
                <w:rFonts w:ascii="Arial" w:hAnsi="Arial"/>
                <w:b/>
                <w:sz w:val="17"/>
              </w:rPr>
              <w:t>Autonomous Peripheral Shield (Customer)</w:t>
            </w:r>
          </w:p>
        </w:tc>
        <w:tc>
          <w:tcPr>
            <w:tcW w:type="dxa" w:w="5184"/>
            <w:shd w:fill="FFFFFF"/>
            <w:tcMar>
              <w:top w:w="50" w:type="dxa"/>
              <w:bottom w:w="50" w:type="dxa"/>
              <w:left w:w="70" w:type="dxa"/>
              <w:right w:w="70" w:type="dxa"/>
            </w:tcMar>
          </w:tcPr>
          <w:p>
            <w:r>
              <w:rPr>
                <w:rFonts w:ascii="Arial" w:hAnsi="Arial"/>
                <w:sz w:val="16"/>
              </w:rPr>
              <w:t>Customers have zero manual attack controls; automated background defense with transparent monitoring of Rings 1-4 and Customer Air-Gap Guarantee.</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8FAFC"/>
            <w:tcMar>
              <w:top w:w="50" w:type="dxa"/>
              <w:bottom w:w="50" w:type="dxa"/>
              <w:left w:w="70" w:type="dxa"/>
              <w:right w:w="70" w:type="dxa"/>
            </w:tcMar>
          </w:tcPr>
          <w:p>
            <w:r>
              <w:rPr>
                <w:rFonts w:ascii="Arial" w:hAnsi="Arial"/>
                <w:b/>
                <w:sz w:val="17"/>
              </w:rPr>
              <w:t>Sequence CRDT Rich-Text Collaborative Editor</w:t>
            </w:r>
          </w:p>
        </w:tc>
        <w:tc>
          <w:tcPr>
            <w:tcW w:type="dxa" w:w="5184"/>
            <w:shd w:fill="F8FAFC"/>
            <w:tcMar>
              <w:top w:w="50" w:type="dxa"/>
              <w:bottom w:w="50" w:type="dxa"/>
              <w:left w:w="70" w:type="dxa"/>
              <w:right w:w="70" w:type="dxa"/>
            </w:tcMar>
          </w:tcPr>
          <w:p>
            <w:r>
              <w:rPr>
                <w:rFonts w:ascii="Arial" w:hAnsi="Arial"/>
                <w:sz w:val="16"/>
              </w:rPr>
              <w:t>Conflict-free Replicated Data Type in cloud_d/collab/crdt.py utilizing Lamport logical timestamps, fractional position indices, rich-text OT spans, and multi-user cursor presence.</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FFFFF"/>
            <w:tcMar>
              <w:top w:w="50" w:type="dxa"/>
              <w:bottom w:w="50" w:type="dxa"/>
              <w:left w:w="70" w:type="dxa"/>
              <w:right w:w="70" w:type="dxa"/>
            </w:tcMar>
          </w:tcPr>
          <w:p>
            <w:r>
              <w:rPr>
                <w:rFonts w:ascii="Arial" w:hAnsi="Arial"/>
                <w:b/>
                <w:sz w:val="17"/>
              </w:rPr>
              <w:t>Continuous Red-Teaming AI Agent</w:t>
            </w:r>
          </w:p>
        </w:tc>
        <w:tc>
          <w:tcPr>
            <w:tcW w:type="dxa" w:w="5184"/>
            <w:shd w:fill="FFFFFF"/>
            <w:tcMar>
              <w:top w:w="50" w:type="dxa"/>
              <w:bottom w:w="50" w:type="dxa"/>
              <w:left w:w="70" w:type="dxa"/>
              <w:right w:w="70" w:type="dxa"/>
            </w:tcMar>
          </w:tcPr>
          <w:p>
            <w:r>
              <w:rPr>
                <w:rFonts w:ascii="Arial" w:hAnsi="Arial"/>
                <w:sz w:val="16"/>
              </w:rPr>
              <w:t>Q-learning reinforcement learning agent in cloud_d/logic/red_team_agent.py with Adversarial LLM AST mutation engine testing Sentinels against zero-day evasion vectors.</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8FAFC"/>
            <w:tcMar>
              <w:top w:w="50" w:type="dxa"/>
              <w:bottom w:w="50" w:type="dxa"/>
              <w:left w:w="70" w:type="dxa"/>
              <w:right w:w="70" w:type="dxa"/>
            </w:tcMar>
          </w:tcPr>
          <w:p>
            <w:r>
              <w:rPr>
                <w:rFonts w:ascii="Arial" w:hAnsi="Arial"/>
                <w:b/>
                <w:sz w:val="17"/>
              </w:rPr>
              <w:t>Biometric WebAuthn Passkeys &amp; FIDO2</w:t>
            </w:r>
          </w:p>
        </w:tc>
        <w:tc>
          <w:tcPr>
            <w:tcW w:type="dxa" w:w="5184"/>
            <w:shd w:fill="F8FAFC"/>
            <w:tcMar>
              <w:top w:w="50" w:type="dxa"/>
              <w:bottom w:w="50" w:type="dxa"/>
              <w:left w:w="70" w:type="dxa"/>
              <w:right w:w="70" w:type="dxa"/>
            </w:tcMar>
          </w:tcPr>
          <w:p>
            <w:r>
              <w:rPr>
                <w:rFonts w:ascii="Arial" w:hAnsi="Arial"/>
                <w:sz w:val="16"/>
              </w:rPr>
              <w:t>W3C WebAuthn passkey assertion verification, CBOR attestation statements, and FIDO MDS Root CA validation in cloud_d/webauthn_auth.py with AAGUID hardware grading.</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FFFFF"/>
            <w:tcMar>
              <w:top w:w="50" w:type="dxa"/>
              <w:bottom w:w="50" w:type="dxa"/>
              <w:left w:w="70" w:type="dxa"/>
              <w:right w:w="70" w:type="dxa"/>
            </w:tcMar>
          </w:tcPr>
          <w:p>
            <w:r>
              <w:rPr>
                <w:rFonts w:ascii="Arial" w:hAnsi="Arial"/>
                <w:b/>
                <w:sz w:val="17"/>
              </w:rPr>
              <w:t>Native Push Notifications (APNs &amp; FCM)</w:t>
            </w:r>
          </w:p>
        </w:tc>
        <w:tc>
          <w:tcPr>
            <w:tcW w:type="dxa" w:w="5184"/>
            <w:shd w:fill="FFFFFF"/>
            <w:tcMar>
              <w:top w:w="50" w:type="dxa"/>
              <w:bottom w:w="50" w:type="dxa"/>
              <w:left w:w="70" w:type="dxa"/>
              <w:right w:w="70" w:type="dxa"/>
            </w:tcMar>
          </w:tcPr>
          <w:p>
            <w:r>
              <w:rPr>
                <w:rFonts w:ascii="Arial" w:hAnsi="Arial"/>
                <w:sz w:val="16"/>
              </w:rPr>
              <w:t>Multi-channel notification engine (Web Push VAPID, APNs iOS, FCM Android) in cloud_d/push_notifications.py dispatching critical priority threat banners.</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8FAFC"/>
            <w:tcMar>
              <w:top w:w="50" w:type="dxa"/>
              <w:bottom w:w="50" w:type="dxa"/>
              <w:left w:w="70" w:type="dxa"/>
              <w:right w:w="70" w:type="dxa"/>
            </w:tcMar>
          </w:tcPr>
          <w:p>
            <w:r>
              <w:rPr>
                <w:rFonts w:ascii="Arial" w:hAnsi="Arial"/>
                <w:b/>
                <w:sz w:val="17"/>
              </w:rPr>
              <w:t>Expiring Encrypted Share Links</w:t>
            </w:r>
          </w:p>
        </w:tc>
        <w:tc>
          <w:tcPr>
            <w:tcW w:type="dxa" w:w="5184"/>
            <w:shd w:fill="F8FAFC"/>
            <w:tcMar>
              <w:top w:w="50" w:type="dxa"/>
              <w:bottom w:w="50" w:type="dxa"/>
              <w:left w:w="70" w:type="dxa"/>
              <w:right w:w="70" w:type="dxa"/>
            </w:tcMar>
          </w:tcPr>
          <w:p>
            <w:r>
              <w:rPr>
                <w:rFonts w:ascii="Arial" w:hAnsi="Arial"/>
                <w:sz w:val="16"/>
              </w:rPr>
              <w:t>Cryptographic share link manager (/share/&lt;token&gt;) in cloud_d/share.py with TTL expiration (1h, 24h, 7d), max download quotas, and PBKDF2 password access protection.</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FFFFF"/>
            <w:tcMar>
              <w:top w:w="50" w:type="dxa"/>
              <w:bottom w:w="50" w:type="dxa"/>
              <w:left w:w="70" w:type="dxa"/>
              <w:right w:w="70" w:type="dxa"/>
            </w:tcMar>
          </w:tcPr>
          <w:p>
            <w:r>
              <w:rPr>
                <w:rFonts w:ascii="Arial" w:hAnsi="Arial"/>
                <w:b/>
                <w:sz w:val="17"/>
              </w:rPr>
              <w:t>Multi-File Drag &amp; Drop Batch Operations</w:t>
            </w:r>
          </w:p>
        </w:tc>
        <w:tc>
          <w:tcPr>
            <w:tcW w:type="dxa" w:w="5184"/>
            <w:shd w:fill="FFFFFF"/>
            <w:tcMar>
              <w:top w:w="50" w:type="dxa"/>
              <w:bottom w:w="50" w:type="dxa"/>
              <w:left w:w="70" w:type="dxa"/>
              <w:right w:w="70" w:type="dxa"/>
            </w:tcMar>
          </w:tcPr>
          <w:p>
            <w:r>
              <w:rPr>
                <w:rFonts w:ascii="Arial" w:hAnsi="Arial"/>
                <w:sz w:val="16"/>
              </w:rPr>
              <w:t>Batch move across folders/nodes (batch_move_files in storage.py). Recalculates Galois field AAD and re-seals across shards.</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8FAFC"/>
            <w:tcMar>
              <w:top w:w="50" w:type="dxa"/>
              <w:bottom w:w="50" w:type="dxa"/>
              <w:left w:w="70" w:type="dxa"/>
              <w:right w:w="70" w:type="dxa"/>
            </w:tcMar>
          </w:tcPr>
          <w:p>
            <w:r>
              <w:rPr>
                <w:rFonts w:ascii="Arial" w:hAnsi="Arial"/>
                <w:b/>
                <w:sz w:val="17"/>
              </w:rPr>
              <w:t>Persistent Cloud Disk Attachment</w:t>
            </w:r>
          </w:p>
        </w:tc>
        <w:tc>
          <w:tcPr>
            <w:tcW w:type="dxa" w:w="5184"/>
            <w:shd w:fill="F8FAFC"/>
            <w:tcMar>
              <w:top w:w="50" w:type="dxa"/>
              <w:bottom w:w="50" w:type="dxa"/>
              <w:left w:w="70" w:type="dxa"/>
              <w:right w:w="70" w:type="dxa"/>
            </w:tcMar>
          </w:tcPr>
          <w:p>
            <w:r>
              <w:rPr>
                <w:rFonts w:ascii="Arial" w:hAnsi="Arial"/>
                <w:sz w:val="16"/>
              </w:rPr>
              <w:t>Storage path resolution supporting /var/data and RENDER_DISK_PATH with auto-migration and live telemetry in storage.py.</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FFFFF"/>
            <w:tcMar>
              <w:top w:w="50" w:type="dxa"/>
              <w:bottom w:w="50" w:type="dxa"/>
              <w:left w:w="70" w:type="dxa"/>
              <w:right w:w="70" w:type="dxa"/>
            </w:tcMar>
          </w:tcPr>
          <w:p>
            <w:r>
              <w:rPr>
                <w:rFonts w:ascii="Arial" w:hAnsi="Arial"/>
                <w:b/>
                <w:sz w:val="17"/>
              </w:rPr>
              <w:t>Account Persistence &amp; Auto-Seeding</w:t>
            </w:r>
          </w:p>
        </w:tc>
        <w:tc>
          <w:tcPr>
            <w:tcW w:type="dxa" w:w="5184"/>
            <w:shd w:fill="FFFFFF"/>
            <w:tcMar>
              <w:top w:w="50" w:type="dxa"/>
              <w:bottom w:w="50" w:type="dxa"/>
              <w:left w:w="70" w:type="dxa"/>
              <w:right w:w="70" w:type="dxa"/>
            </w:tcMar>
          </w:tcPr>
          <w:p>
            <w:r>
              <w:rPr>
                <w:rFonts w:ascii="Arial" w:hAnsi="Arial"/>
                <w:sz w:val="16"/>
              </w:rPr>
              <w:t>INSERT OR REPLACE in _init_users_db seeding nithish / nithish123 and default student folders and real encrypted files on cold startup.</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8FAFC"/>
            <w:tcMar>
              <w:top w:w="50" w:type="dxa"/>
              <w:bottom w:w="50" w:type="dxa"/>
              <w:left w:w="70" w:type="dxa"/>
              <w:right w:w="70" w:type="dxa"/>
            </w:tcMar>
          </w:tcPr>
          <w:p>
            <w:r>
              <w:rPr>
                <w:rFonts w:ascii="Arial" w:hAnsi="Arial"/>
                <w:b/>
                <w:sz w:val="17"/>
              </w:rPr>
              <w:t>Lean Render Production Packaging</w:t>
            </w:r>
          </w:p>
        </w:tc>
        <w:tc>
          <w:tcPr>
            <w:tcW w:type="dxa" w:w="5184"/>
            <w:shd w:fill="F8FAFC"/>
            <w:tcMar>
              <w:top w:w="50" w:type="dxa"/>
              <w:bottom w:w="50" w:type="dxa"/>
              <w:left w:w="70" w:type="dxa"/>
              <w:right w:w="70" w:type="dxa"/>
            </w:tcMar>
          </w:tcPr>
          <w:p>
            <w:r>
              <w:rPr>
                <w:rFonts w:ascii="Arial" w:hAnsi="Arial"/>
                <w:sz w:val="16"/>
              </w:rPr>
              <w:t>Added Procfile (web: python run_server.py), runtime.txt (python-3.11.9), render.yaml, and stripped Linux C-extension compilation dependencies from requirements.txt.</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FFFFF"/>
            <w:tcMar>
              <w:top w:w="50" w:type="dxa"/>
              <w:bottom w:w="50" w:type="dxa"/>
              <w:left w:w="70" w:type="dxa"/>
              <w:right w:w="70" w:type="dxa"/>
            </w:tcMar>
          </w:tcPr>
          <w:p>
            <w:r>
              <w:rPr>
                <w:rFonts w:ascii="Arial" w:hAnsi="Arial"/>
                <w:b/>
                <w:sz w:val="17"/>
              </w:rPr>
              <w:t>Root WSGI Entrypoint</w:t>
            </w:r>
          </w:p>
        </w:tc>
        <w:tc>
          <w:tcPr>
            <w:tcW w:type="dxa" w:w="5184"/>
            <w:shd w:fill="FFFFFF"/>
            <w:tcMar>
              <w:top w:w="50" w:type="dxa"/>
              <w:bottom w:w="50" w:type="dxa"/>
              <w:left w:w="70" w:type="dxa"/>
              <w:right w:w="70" w:type="dxa"/>
            </w:tcMar>
          </w:tcPr>
          <w:p>
            <w:r>
              <w:rPr>
                <w:rFonts w:ascii="Arial" w:hAnsi="Arial"/>
                <w:sz w:val="16"/>
              </w:rPr>
              <w:t>Added app.py at root importing app from run_server for standard PaaS and Gunicorn container autodiscovery.</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r>
        <w:tc>
          <w:tcPr>
            <w:tcW w:type="dxa" w:w="2880"/>
            <w:shd w:fill="F8FAFC"/>
            <w:tcMar>
              <w:top w:w="50" w:type="dxa"/>
              <w:bottom w:w="50" w:type="dxa"/>
              <w:left w:w="70" w:type="dxa"/>
              <w:right w:w="70" w:type="dxa"/>
            </w:tcMar>
          </w:tcPr>
          <w:p>
            <w:r>
              <w:rPr>
                <w:rFonts w:ascii="Arial" w:hAnsi="Arial"/>
                <w:b/>
                <w:sz w:val="17"/>
              </w:rPr>
              <w:t>Automated GitHub Deployment Engine</w:t>
            </w:r>
          </w:p>
        </w:tc>
        <w:tc>
          <w:tcPr>
            <w:tcW w:type="dxa" w:w="5184"/>
            <w:shd w:fill="F8FAFC"/>
            <w:tcMar>
              <w:top w:w="50" w:type="dxa"/>
              <w:bottom w:w="50" w:type="dxa"/>
              <w:left w:w="70" w:type="dxa"/>
              <w:right w:w="70" w:type="dxa"/>
            </w:tcMar>
          </w:tcPr>
          <w:p>
            <w:r>
              <w:rPr>
                <w:rFonts w:ascii="Arial" w:hAnsi="Arial"/>
                <w:sz w:val="16"/>
              </w:rPr>
              <w:t>Created push_to_github.py using GitHub Git Data REST API to stage base64 binary blobs and update main branch with zero Git CLI dependencies.</w:t>
            </w:r>
          </w:p>
        </w:tc>
        <w:tc>
          <w:tcPr>
            <w:tcW w:type="dxa" w:w="2016"/>
            <w:shd w:fill="F0FDF4"/>
            <w:tcMar>
              <w:top w:w="50" w:type="dxa"/>
              <w:bottom w:w="50" w:type="dxa"/>
              <w:left w:w="70" w:type="dxa"/>
              <w:right w:w="70" w:type="dxa"/>
            </w:tcMar>
          </w:tcPr>
          <w:p>
            <w:r>
              <w:rPr>
                <w:rFonts w:ascii="Arial" w:hAnsi="Arial"/>
                <w:b/>
                <w:color w:val="166534"/>
                <w:sz w:val="16"/>
              </w:rPr>
              <w:t>Delivered &amp; Verified</w:t>
            </w:r>
          </w:p>
        </w:tc>
      </w:tr>
    </w:tbl>
    <w:p>
      <w:pPr>
        <w:spacing w:after="240"/>
      </w:pPr>
    </w:p>
    <w:p>
      <w:pPr>
        <w:spacing w:before="320" w:after="120"/>
      </w:pPr>
      <w:r>
        <w:rPr>
          <w:rFonts w:ascii="Arial" w:hAnsi="Arial"/>
          <w:b/>
          <w:color w:val="4C1D95"/>
          <w:sz w:val="26"/>
        </w:rPr>
        <w:t>3. Future Strategic Roadmap: Architecture &amp; Upcoming Milestones</w:t>
      </w:r>
    </w:p>
    <w:p>
      <w:r>
        <w:t>While Cloud-D has fulfilled all primary deliverables, the research and engineering roadmap outlines eight high-impact strategic initiatives planned for upcoming development cycles:</w:t>
      </w:r>
    </w:p>
    <w:p>
      <w:pPr>
        <w:spacing w:before="200" w:after="60"/>
      </w:pPr>
      <w:r>
        <w:rPr>
          <w:rFonts w:ascii="Arial" w:hAnsi="Arial"/>
          <w:b/>
          <w:color w:val="7C3AED"/>
          <w:sz w:val="21"/>
        </w:rPr>
        <w:t>Roadmap Phase 1: Multi-Region Kubernetes (K8s) Cluster Orchestration</w:t>
      </w:r>
    </w:p>
    <w:p>
      <w:r>
        <w:rPr>
          <w:rFonts w:ascii="Arial" w:hAnsi="Arial"/>
          <w:b/>
          <w:color w:val="0D9488"/>
          <w:sz w:val="18"/>
        </w:rPr>
        <w:t>[Target: Cloud Infrastructure &amp; Scalability]</w:t>
        <w:br/>
      </w:r>
      <w:r>
        <w:rPr>
          <w:rFonts w:ascii="Arial" w:hAnsi="Arial"/>
          <w:sz w:val="18"/>
        </w:rPr>
        <w:t>Transition the 4-node logical sharding architecture into physical multi-region Kubernetes clusters (us-east-1, us-west-2, eu-central-1, ap-southeast-1) using Terraform and Helm charts. Deploy automated ingress controllers with Envoy proxies, automated pod autoscaling (HPA), and zero-downtime rolling deploys.</w:t>
      </w:r>
    </w:p>
    <w:p>
      <w:pPr>
        <w:spacing w:before="200" w:after="60"/>
      </w:pPr>
      <w:r>
        <w:rPr>
          <w:rFonts w:ascii="Arial" w:hAnsi="Arial"/>
          <w:b/>
          <w:color w:val="7C3AED"/>
          <w:sz w:val="21"/>
        </w:rPr>
        <w:t>Roadmap Phase 2: Fully Homomorphic Encryption (FHE) on Ciphertexts</w:t>
      </w:r>
    </w:p>
    <w:p>
      <w:r>
        <w:rPr>
          <w:rFonts w:ascii="Arial" w:hAnsi="Arial"/>
          <w:b/>
          <w:color w:val="0D9488"/>
          <w:sz w:val="18"/>
        </w:rPr>
        <w:t>[Target: Zero-Knowledge Search &amp; Analytics]</w:t>
        <w:br/>
      </w:r>
      <w:r>
        <w:rPr>
          <w:rFonts w:ascii="Arial" w:hAnsi="Arial"/>
          <w:sz w:val="18"/>
        </w:rPr>
        <w:t>Integrate Microsoft SEAL / OpenFHE (CKKS and BFV schemes) to allow server nodes to perform keyword search, full-text string indexing, and metadata aggregation directly on AES/Kyber encrypted ciphertexts without ever needing to decrypt them into memory.</w:t>
      </w:r>
    </w:p>
    <w:p>
      <w:pPr>
        <w:spacing w:before="200" w:after="60"/>
      </w:pPr>
      <w:r>
        <w:rPr>
          <w:rFonts w:ascii="Arial" w:hAnsi="Arial"/>
          <w:b/>
          <w:color w:val="7C3AED"/>
          <w:sz w:val="21"/>
        </w:rPr>
        <w:t>Roadmap Phase 3: Zero-Knowledge Proofs (zk-SNARKs) for Tenant Auditing</w:t>
      </w:r>
    </w:p>
    <w:p>
      <w:r>
        <w:rPr>
          <w:rFonts w:ascii="Arial" w:hAnsi="Arial"/>
          <w:b/>
          <w:color w:val="0D9488"/>
          <w:sz w:val="18"/>
        </w:rPr>
        <w:t>[Target: Regulatory Compliance &amp; Cryptographic Proofs]</w:t>
        <w:br/>
      </w:r>
      <w:r>
        <w:rPr>
          <w:rFonts w:ascii="Arial" w:hAnsi="Arial"/>
          <w:sz w:val="18"/>
        </w:rPr>
        <w:t>Construct arithmetic circuits (using Circom / snarkjs) that generate zero-knowledge succinct non-interactive arguments of knowledge. Allows tenants to mathematically prove that their files have not been accessed by other tenants or unauthorized administrators without revealing file names, contents, or access patterns.</w:t>
      </w:r>
    </w:p>
    <w:p>
      <w:pPr>
        <w:spacing w:before="200" w:after="60"/>
      </w:pPr>
      <w:r>
        <w:rPr>
          <w:rFonts w:ascii="Arial" w:hAnsi="Arial"/>
          <w:b/>
          <w:color w:val="7C3AED"/>
          <w:sz w:val="21"/>
        </w:rPr>
        <w:t>Roadmap Phase 4: Real-Time Multi-Party Computation (MPC) Key Management</w:t>
      </w:r>
    </w:p>
    <w:p>
      <w:r>
        <w:rPr>
          <w:rFonts w:ascii="Arial" w:hAnsi="Arial"/>
          <w:b/>
          <w:color w:val="0D9488"/>
          <w:sz w:val="18"/>
        </w:rPr>
        <w:t>[Target: Distributed Cryptographic Resilience]</w:t>
        <w:br/>
      </w:r>
      <w:r>
        <w:rPr>
          <w:rFonts w:ascii="Arial" w:hAnsi="Arial"/>
          <w:sz w:val="18"/>
        </w:rPr>
        <w:t>Eliminate single-point master keys by implementing Shamir's Secret Sharing and Gennaro-Goldfeder threshold signatures. Vault keys are split across all 4 regional nodes; decryption requires at least 3 nodes to collaboratively sign without any individual node ever knowing the reconstructed master key.</w:t>
      </w:r>
    </w:p>
    <w:p>
      <w:pPr>
        <w:spacing w:before="200" w:after="60"/>
      </w:pPr>
      <w:r>
        <w:rPr>
          <w:rFonts w:ascii="Arial" w:hAnsi="Arial"/>
          <w:b/>
          <w:color w:val="7C3AED"/>
          <w:sz w:val="21"/>
        </w:rPr>
        <w:t>Roadmap Phase 5: Autonomous Self-Healing &amp; Dynamic Deception Networks</w:t>
      </w:r>
    </w:p>
    <w:p>
      <w:r>
        <w:rPr>
          <w:rFonts w:ascii="Arial" w:hAnsi="Arial"/>
          <w:b/>
          <w:color w:val="0D9488"/>
          <w:sz w:val="18"/>
        </w:rPr>
        <w:t>[Target: Adaptive Active Defense]</w:t>
        <w:br/>
      </w:r>
      <w:r>
        <w:rPr>
          <w:rFonts w:ascii="Arial" w:hAnsi="Arial"/>
          <w:sz w:val="18"/>
        </w:rPr>
        <w:t>Upgrade HoneyNet Deceiver from passive honeypot trapping to dynamic adversarial counter-exploitation. When an attacker triggers a tripwire, the system automatically spawns a shadow container with simulated fake database records, isolating the adversary while transparently recording their keystrokes and exploits.</w:t>
      </w:r>
    </w:p>
    <w:p>
      <w:pPr>
        <w:spacing w:before="200" w:after="60"/>
      </w:pPr>
      <w:r>
        <w:rPr>
          <w:rFonts w:ascii="Arial" w:hAnsi="Arial"/>
          <w:b/>
          <w:color w:val="7C3AED"/>
          <w:sz w:val="21"/>
        </w:rPr>
        <w:t>Roadmap Phase 6: On-Device Edge AI Anomaly Detection for Mobile</w:t>
      </w:r>
    </w:p>
    <w:p>
      <w:r>
        <w:rPr>
          <w:rFonts w:ascii="Arial" w:hAnsi="Arial"/>
          <w:b/>
          <w:color w:val="0D9488"/>
          <w:sz w:val="18"/>
        </w:rPr>
        <w:t>[Target: Mobile Client Security]</w:t>
        <w:br/>
      </w:r>
      <w:r>
        <w:rPr>
          <w:rFonts w:ascii="Arial" w:hAnsi="Arial"/>
          <w:sz w:val="18"/>
        </w:rPr>
        <w:t>Deploy lightweight quantized CoreML (iOS) and TensorFlow Lite (Android) models into mobile_app/App.js. Detects anomalous client-side interactions, screen recording attempts, jailbreak/root indicators, and rapid biometric spoofing before sending authentication payloads over the network.</w:t>
      </w:r>
    </w:p>
    <w:p>
      <w:pPr>
        <w:spacing w:before="200" w:after="60"/>
      </w:pPr>
      <w:r>
        <w:rPr>
          <w:rFonts w:ascii="Arial" w:hAnsi="Arial"/>
          <w:b/>
          <w:color w:val="7C3AED"/>
          <w:sz w:val="21"/>
        </w:rPr>
        <w:t>Roadmap Phase 7: Hardware Security Module (HSM) Cloud Integration</w:t>
      </w:r>
    </w:p>
    <w:p>
      <w:r>
        <w:rPr>
          <w:rFonts w:ascii="Arial" w:hAnsi="Arial"/>
          <w:b/>
          <w:color w:val="0D9488"/>
          <w:sz w:val="18"/>
        </w:rPr>
        <w:t>[Target: Enterprise Cryptographic Assurance]</w:t>
        <w:br/>
      </w:r>
      <w:r>
        <w:rPr>
          <w:rFonts w:ascii="Arial" w:hAnsi="Arial"/>
          <w:sz w:val="18"/>
        </w:rPr>
        <w:t>Integrate PKCS#11 hardware interfaces to store root CA keys and Kyber-768 private seeds in physical FIPS 140-3 Level 3 hardware security modules (AWS CloudHSM, Google Cloud HSM, or YubiHSM 2).</w:t>
      </w:r>
    </w:p>
    <w:p>
      <w:pPr>
        <w:spacing w:before="200" w:after="60"/>
      </w:pPr>
      <w:r>
        <w:rPr>
          <w:rFonts w:ascii="Arial" w:hAnsi="Arial"/>
          <w:b/>
          <w:color w:val="7C3AED"/>
          <w:sz w:val="21"/>
        </w:rPr>
        <w:t>Roadmap Phase 8: Privacy-Preserving Federated Red-Team Learning</w:t>
      </w:r>
    </w:p>
    <w:p>
      <w:r>
        <w:rPr>
          <w:rFonts w:ascii="Arial" w:hAnsi="Arial"/>
          <w:b/>
          <w:color w:val="0D9488"/>
          <w:sz w:val="18"/>
        </w:rPr>
        <w:t>[Target: Collaborative Threat Intelligence]</w:t>
        <w:br/>
      </w:r>
      <w:r>
        <w:rPr>
          <w:rFonts w:ascii="Arial" w:hAnsi="Arial"/>
          <w:sz w:val="18"/>
        </w:rPr>
        <w:t>Enable multiple independent Cloud-D enterprise tenant clusters to train the Q-learning Red-Team agent cooperatively via federated differential privacy. Defense policies improve across all clusters while raw logs and proprietary attack payloads remain strictly within tenant boundaries.</w:t>
      </w:r>
    </w:p>
    <w:p>
      <w:pPr>
        <w:spacing w:after="240"/>
      </w:pPr>
    </w:p>
    <w:p>
      <w:pPr>
        <w:spacing w:before="320" w:after="120"/>
      </w:pPr>
      <w:r>
        <w:rPr>
          <w:rFonts w:ascii="Arial" w:hAnsi="Arial"/>
          <w:b/>
          <w:color w:val="4C1D95"/>
          <w:sz w:val="26"/>
        </w:rPr>
        <w:t>4. Detailed Cross-Platform Mobile Architecture</w:t>
      </w:r>
    </w:p>
    <w:p>
      <w:r>
        <w:t>Cloud-D provides two synchronized mobile deployment strategies, ensuring universal compatibility across both Apple iOS and Google Android ecosystems:</w:t>
        <w:br/>
        <w:br/>
        <w:t>1. Native React Native / Expo Application (mobile_app/App.js):</w:t>
        <w:br/>
        <w:t xml:space="preserve">   - Framework: React Native with Expo SDK and Lucide vector icons.</w:t>
        <w:br/>
        <w:t xml:space="preserve">   - Authentication Gating: State variable 'isAuthenticated' conditionally renders either the clean AuthScreen or the authenticated MainNavigation shell.</w:t>
        <w:br/>
        <w:t xml:space="preserve">   - Storage Sheets: Interactive file upload modal with post-quantum encryption toggle, folder selection, and live cryptographic verification progress.</w:t>
        <w:br/>
        <w:t xml:space="preserve">   - Simulation Suite: Interactive mobile simulation tab allowing mobile execution of manual attacks, automated defense rounds, and real-time viewing of Minimax game-tree scores.</w:t>
        <w:br/>
        <w:t xml:space="preserve">   - Package Specification: Defined in mobile_app/package.json and mobile_app/app.json, ready for standalone builds via 'eas build -p ios' and 'eas build -p android'.</w:t>
        <w:br/>
        <w:br/>
        <w:t>2. Progressive Web App (PWA) Layer:</w:t>
        <w:br/>
        <w:t xml:space="preserve">   - Web App Manifest: Located at static/manifest.json with 'display': 'standalone', theme colors (#4c1d95), and multi-resolution high-DPI icons.</w:t>
        <w:br/>
        <w:t xml:space="preserve">   - Service Worker (static/sw.js): Caches core shell assets, handles offline resilience, and intercepts push events.</w:t>
        <w:br/>
        <w:t xml:space="preserve">   - iOS Safari Standalone: Users tap Share -&gt; 'Add to Home Screen' to launch full-screen without Safari browser bars.</w:t>
        <w:br/>
        <w:t xml:space="preserve">   - Android Chrome Standalone: Browser displays 'Install Cloud-D' ambient badge, running as an isolated Android APK task.</w:t>
      </w:r>
    </w:p>
    <w:p>
      <w:pPr>
        <w:spacing w:before="320" w:after="120"/>
      </w:pPr>
      <w:r>
        <w:rPr>
          <w:rFonts w:ascii="Arial" w:hAnsi="Arial"/>
          <w:b/>
          <w:color w:val="4C1D95"/>
          <w:sz w:val="26"/>
        </w:rPr>
        <w:t>5. Interactive Threat Simulation Center Specifications</w:t>
      </w:r>
    </w:p>
    <w:p>
      <w:r>
        <w:t>The Threat Simulation Center (tab-threat-sim) has been completely aligned with the student investigator's exact visual layout and control requirements:</w:t>
        <w:br/>
        <w:br/>
        <w:t>1. Header Controls:</w:t>
        <w:br/>
        <w:t xml:space="preserve">   - Sub-badge: 'THREAT CENTER • INTERACTIVE &amp; AUTOMATED'</w:t>
        <w:br/>
        <w:t xml:space="preserve">   - Title: 'Threat Simulation'</w:t>
        <w:br/>
        <w:t xml:space="preserve">   - Top Actions: '+ Step one round' (white trigger button) and purple 'Run Automated Defense' button.</w:t>
        <w:br/>
        <w:br/>
        <w:t>2. Section 1 — Manual Attack Vector Induction:</w:t>
        <w:br/>
        <w:t xml:space="preserve">   - Adversarial Agent &amp; Target: Dropdown selecting Credential-Bot, Query-Bot, Tamper-Bot, or Replay-Bot.</w:t>
        <w:br/>
        <w:t xml:space="preserve">   - Attack Pressure: Dropdown selecting Normal, Elevated, or Maximum.</w:t>
        <w:br/>
        <w:t xml:space="preserve">   - Target Cloud Asset: Dynamic badge indicating selected target (e.g., '☁ Auth Server (Node 0)').</w:t>
        <w:br/>
        <w:t xml:space="preserve">   - Launch Button: Teal '⚡ Launch Manual Attack' executing instantaneous Minimax simulation.</w:t>
        <w:br/>
        <w:br/>
        <w:t>3. Live Decision Outcome Result Card:</w:t>
        <w:br/>
        <w:t xml:space="preserve">   - Outcome Status Pill: Highlighted status (e.g., 'BLOCKED • CONTAINED' or 'ADAPTIVE INTERCEPTION').</w:t>
        <w:br/>
        <w:t xml:space="preserve">   - Metric Grid: 4-column breakdown: ADVERSARIAL VECTOR, DEFENDER SPECIALIST, DEFENSE ACTION, and UTILITY SCORE.</w:t>
        <w:br/>
        <w:t xml:space="preserve">   - Minimax Game-Tree Search: Visual summary of evaluated adversarial states and optimal defensive moves.</w:t>
        <w:br/>
        <w:t xml:space="preserve">   - Cloud Asset Protection: Real-time report of protected storage shards.</w:t>
        <w:br/>
        <w:br/>
        <w:t>4. Section 2 — Automated Defense Simulation Engine:</w:t>
        <w:br/>
        <w:t xml:space="preserve">   - Simulation Rounds: Dropdown (5, 10, 25, 50 rounds).</w:t>
        <w:br/>
        <w:t xml:space="preserve">   - Threat Intensity: Dropdown (Low, Medium, High, Extreme).</w:t>
        <w:br/>
        <w:t xml:space="preserve">   - Active Attack Vectors: Dark chip checkboxes (Credential, DDoS, SQLi, Galois).</w:t>
        <w:br/>
        <w:br/>
        <w:t>5. Section 3 — Decision Engine Defense Threshold:</w:t>
        <w:br/>
        <w:t xml:space="preserve">   - Slider Control: Teal interactive range slider (0.10 to 0.90) with real-time numeric readout (e.g., '0.40').</w:t>
        <w:br/>
        <w:br/>
        <w:t>6. Section 4 — Recent Defense Decisions Log:</w:t>
        <w:br/>
        <w:t xml:space="preserve">   - Audit Table: Dark navy header with columns for Round #, Adversarial Vector, Defense Specialist, Action, Utility Score, and Status.</w:t>
      </w:r>
    </w:p>
    <w:p>
      <w:pPr>
        <w:spacing w:before="320" w:after="120"/>
      </w:pPr>
      <w:r>
        <w:rPr>
          <w:rFonts w:ascii="Arial" w:hAnsi="Arial"/>
          <w:b/>
          <w:color w:val="4C1D95"/>
          <w:sz w:val="26"/>
        </w:rPr>
        <w:t>6. Complete API Specifications &amp; Route Contract</w:t>
      </w:r>
    </w:p>
    <w:tbl>
      <w:tblPr>
        <w:tblW w:type="auto" w:w="0"/>
        <w:jc w:val="center"/>
        <w:tblLook w:firstColumn="1" w:firstRow="1" w:lastColumn="0" w:lastRow="0" w:noHBand="0" w:noVBand="1" w:val="04A0"/>
      </w:tblPr>
      <w:tblGrid>
        <w:gridCol w:w="3120"/>
        <w:gridCol w:w="3120"/>
        <w:gridCol w:w="3120"/>
      </w:tblGrid>
      <w:tr>
        <w:tc>
          <w:tcPr>
            <w:tcW w:type="dxa" w:w="1584"/>
            <w:shd w:fill="E2E8F0"/>
            <w:tcMar>
              <w:top w:w="70" w:type="dxa"/>
              <w:bottom w:w="70" w:type="dxa"/>
              <w:left w:w="90" w:type="dxa"/>
              <w:right w:w="90" w:type="dxa"/>
            </w:tcMar>
          </w:tcPr>
          <w:p>
            <w:r>
              <w:rPr>
                <w:b/>
              </w:rPr>
              <w:t>Method</w:t>
            </w:r>
          </w:p>
        </w:tc>
        <w:tc>
          <w:tcPr>
            <w:tcW w:type="dxa" w:w="3744"/>
            <w:shd w:fill="E2E8F0"/>
            <w:tcMar>
              <w:top w:w="70" w:type="dxa"/>
              <w:bottom w:w="70" w:type="dxa"/>
              <w:left w:w="90" w:type="dxa"/>
              <w:right w:w="90" w:type="dxa"/>
            </w:tcMar>
          </w:tcPr>
          <w:p>
            <w:r>
              <w:rPr>
                <w:b/>
              </w:rPr>
              <w:t>Endpoint Route</w:t>
            </w:r>
          </w:p>
        </w:tc>
        <w:tc>
          <w:tcPr>
            <w:tcW w:type="dxa" w:w="4752"/>
            <w:shd w:fill="E2E8F0"/>
            <w:tcMar>
              <w:top w:w="70" w:type="dxa"/>
              <w:bottom w:w="70" w:type="dxa"/>
              <w:left w:w="90" w:type="dxa"/>
              <w:right w:w="90" w:type="dxa"/>
            </w:tcMar>
          </w:tcPr>
          <w:p>
            <w:r>
              <w:rPr>
                <w:b/>
              </w:rPr>
              <w:t>Contract &amp; Functional Scope</w:t>
            </w:r>
          </w:p>
        </w:tc>
      </w:tr>
      <w:tr>
        <w:tc>
          <w:tcPr>
            <w:tcW w:type="dxa" w:w="1584"/>
            <w:shd w:fill="F8FAFC"/>
            <w:tcMar>
              <w:top w:w="50" w:type="dxa"/>
              <w:bottom w:w="50" w:type="dxa"/>
              <w:left w:w="70" w:type="dxa"/>
              <w:right w:w="70" w:type="dxa"/>
            </w:tcMar>
          </w:tcPr>
          <w:p>
            <w:r>
              <w:rPr>
                <w:rFonts w:ascii="Arial" w:hAnsi="Arial"/>
                <w:b/>
                <w:color w:val="4C1D95"/>
                <w:sz w:val="16"/>
              </w:rPr>
              <w:t>POST</w:t>
            </w:r>
          </w:p>
        </w:tc>
        <w:tc>
          <w:tcPr>
            <w:tcW w:type="dxa" w:w="3744"/>
            <w:shd w:fill="F8FAFC"/>
            <w:tcMar>
              <w:top w:w="50" w:type="dxa"/>
              <w:bottom w:w="50" w:type="dxa"/>
              <w:left w:w="70" w:type="dxa"/>
              <w:right w:w="70" w:type="dxa"/>
            </w:tcMar>
          </w:tcPr>
          <w:p>
            <w:r>
              <w:rPr>
                <w:rFonts w:ascii="Courier New" w:hAnsi="Courier New"/>
                <w:sz w:val="15"/>
              </w:rPr>
              <w:t>/api/auth/login</w:t>
            </w:r>
          </w:p>
        </w:tc>
        <w:tc>
          <w:tcPr>
            <w:tcW w:type="dxa" w:w="4752"/>
            <w:shd w:fill="F8FAFC"/>
            <w:tcMar>
              <w:top w:w="50" w:type="dxa"/>
              <w:bottom w:w="50" w:type="dxa"/>
              <w:left w:w="70" w:type="dxa"/>
              <w:right w:w="70" w:type="dxa"/>
            </w:tcMar>
          </w:tcPr>
          <w:p>
            <w:r>
              <w:rPr>
                <w:rFonts w:ascii="Arial" w:hAnsi="Arial"/>
                <w:sz w:val="16"/>
              </w:rPr>
              <w:t>Authenticates credentials (nithish / nithish123) and sets permanent session cookie.</w:t>
            </w:r>
          </w:p>
        </w:tc>
      </w:tr>
      <w:tr>
        <w:tc>
          <w:tcPr>
            <w:tcW w:type="dxa" w:w="1584"/>
            <w:shd w:fill="FFFFFF"/>
            <w:tcMar>
              <w:top w:w="50" w:type="dxa"/>
              <w:bottom w:w="50" w:type="dxa"/>
              <w:left w:w="70" w:type="dxa"/>
              <w:right w:w="70" w:type="dxa"/>
            </w:tcMar>
          </w:tcPr>
          <w:p>
            <w:r>
              <w:rPr>
                <w:rFonts w:ascii="Arial" w:hAnsi="Arial"/>
                <w:b/>
                <w:color w:val="4C1D95"/>
                <w:sz w:val="16"/>
              </w:rPr>
              <w:t>POST</w:t>
            </w:r>
          </w:p>
        </w:tc>
        <w:tc>
          <w:tcPr>
            <w:tcW w:type="dxa" w:w="3744"/>
            <w:shd w:fill="FFFFFF"/>
            <w:tcMar>
              <w:top w:w="50" w:type="dxa"/>
              <w:bottom w:w="50" w:type="dxa"/>
              <w:left w:w="70" w:type="dxa"/>
              <w:right w:w="70" w:type="dxa"/>
            </w:tcMar>
          </w:tcPr>
          <w:p>
            <w:r>
              <w:rPr>
                <w:rFonts w:ascii="Courier New" w:hAnsi="Courier New"/>
                <w:sz w:val="15"/>
              </w:rPr>
              <w:t>/api/auth/register</w:t>
            </w:r>
          </w:p>
        </w:tc>
        <w:tc>
          <w:tcPr>
            <w:tcW w:type="dxa" w:w="4752"/>
            <w:shd w:fill="FFFFFF"/>
            <w:tcMar>
              <w:top w:w="50" w:type="dxa"/>
              <w:bottom w:w="50" w:type="dxa"/>
              <w:left w:w="70" w:type="dxa"/>
              <w:right w:w="70" w:type="dxa"/>
            </w:tcMar>
          </w:tcPr>
          <w:p>
            <w:r>
              <w:rPr>
                <w:rFonts w:ascii="Arial" w:hAnsi="Arial"/>
                <w:sz w:val="16"/>
              </w:rPr>
              <w:t>Registers new isolated tenant account and initializes private vault shard.</w:t>
            </w:r>
          </w:p>
        </w:tc>
      </w:tr>
      <w:tr>
        <w:tc>
          <w:tcPr>
            <w:tcW w:type="dxa" w:w="1584"/>
            <w:shd w:fill="F8FAFC"/>
            <w:tcMar>
              <w:top w:w="50" w:type="dxa"/>
              <w:bottom w:w="50" w:type="dxa"/>
              <w:left w:w="70" w:type="dxa"/>
              <w:right w:w="70" w:type="dxa"/>
            </w:tcMar>
          </w:tcPr>
          <w:p>
            <w:r>
              <w:rPr>
                <w:rFonts w:ascii="Arial" w:hAnsi="Arial"/>
                <w:b/>
                <w:color w:val="4C1D95"/>
                <w:sz w:val="16"/>
              </w:rPr>
              <w:t>GET</w:t>
            </w:r>
          </w:p>
        </w:tc>
        <w:tc>
          <w:tcPr>
            <w:tcW w:type="dxa" w:w="3744"/>
            <w:shd w:fill="F8FAFC"/>
            <w:tcMar>
              <w:top w:w="50" w:type="dxa"/>
              <w:bottom w:w="50" w:type="dxa"/>
              <w:left w:w="70" w:type="dxa"/>
              <w:right w:w="70" w:type="dxa"/>
            </w:tcMar>
          </w:tcPr>
          <w:p>
            <w:r>
              <w:rPr>
                <w:rFonts w:ascii="Courier New" w:hAnsi="Courier New"/>
                <w:sz w:val="15"/>
              </w:rPr>
              <w:t>/api/auth/me</w:t>
            </w:r>
          </w:p>
        </w:tc>
        <w:tc>
          <w:tcPr>
            <w:tcW w:type="dxa" w:w="4752"/>
            <w:shd w:fill="F8FAFC"/>
            <w:tcMar>
              <w:top w:w="50" w:type="dxa"/>
              <w:bottom w:w="50" w:type="dxa"/>
              <w:left w:w="70" w:type="dxa"/>
              <w:right w:w="70" w:type="dxa"/>
            </w:tcMar>
          </w:tcPr>
          <w:p>
            <w:r>
              <w:rPr>
                <w:rFonts w:ascii="Arial" w:hAnsi="Arial"/>
                <w:sz w:val="16"/>
              </w:rPr>
              <w:t>Validates session state and returns authenticated user metadata and vault node ID.</w:t>
            </w:r>
          </w:p>
        </w:tc>
      </w:tr>
      <w:tr>
        <w:tc>
          <w:tcPr>
            <w:tcW w:type="dxa" w:w="1584"/>
            <w:shd w:fill="FFFFFF"/>
            <w:tcMar>
              <w:top w:w="50" w:type="dxa"/>
              <w:bottom w:w="50" w:type="dxa"/>
              <w:left w:w="70" w:type="dxa"/>
              <w:right w:w="70" w:type="dxa"/>
            </w:tcMar>
          </w:tcPr>
          <w:p>
            <w:r>
              <w:rPr>
                <w:rFonts w:ascii="Arial" w:hAnsi="Arial"/>
                <w:b/>
                <w:color w:val="4C1D95"/>
                <w:sz w:val="16"/>
              </w:rPr>
              <w:t>POST</w:t>
            </w:r>
          </w:p>
        </w:tc>
        <w:tc>
          <w:tcPr>
            <w:tcW w:type="dxa" w:w="3744"/>
            <w:shd w:fill="FFFFFF"/>
            <w:tcMar>
              <w:top w:w="50" w:type="dxa"/>
              <w:bottom w:w="50" w:type="dxa"/>
              <w:left w:w="70" w:type="dxa"/>
              <w:right w:w="70" w:type="dxa"/>
            </w:tcMar>
          </w:tcPr>
          <w:p>
            <w:r>
              <w:rPr>
                <w:rFonts w:ascii="Courier New" w:hAnsi="Courier New"/>
                <w:sz w:val="15"/>
              </w:rPr>
              <w:t>/api/auth/logout</w:t>
            </w:r>
          </w:p>
        </w:tc>
        <w:tc>
          <w:tcPr>
            <w:tcW w:type="dxa" w:w="4752"/>
            <w:shd w:fill="FFFFFF"/>
            <w:tcMar>
              <w:top w:w="50" w:type="dxa"/>
              <w:bottom w:w="50" w:type="dxa"/>
              <w:left w:w="70" w:type="dxa"/>
              <w:right w:w="70" w:type="dxa"/>
            </w:tcMar>
          </w:tcPr>
          <w:p>
            <w:r>
              <w:rPr>
                <w:rFonts w:ascii="Arial" w:hAnsi="Arial"/>
                <w:sz w:val="16"/>
              </w:rPr>
              <w:t>Clears active session cookie and resets client-side state.</w:t>
            </w:r>
          </w:p>
        </w:tc>
      </w:tr>
      <w:tr>
        <w:tc>
          <w:tcPr>
            <w:tcW w:type="dxa" w:w="1584"/>
            <w:shd w:fill="F8FAFC"/>
            <w:tcMar>
              <w:top w:w="50" w:type="dxa"/>
              <w:bottom w:w="50" w:type="dxa"/>
              <w:left w:w="70" w:type="dxa"/>
              <w:right w:w="70" w:type="dxa"/>
            </w:tcMar>
          </w:tcPr>
          <w:p>
            <w:r>
              <w:rPr>
                <w:rFonts w:ascii="Arial" w:hAnsi="Arial"/>
                <w:b/>
                <w:color w:val="4C1D95"/>
                <w:sz w:val="16"/>
              </w:rPr>
              <w:t>GET</w:t>
            </w:r>
          </w:p>
        </w:tc>
        <w:tc>
          <w:tcPr>
            <w:tcW w:type="dxa" w:w="3744"/>
            <w:shd w:fill="F8FAFC"/>
            <w:tcMar>
              <w:top w:w="50" w:type="dxa"/>
              <w:bottom w:w="50" w:type="dxa"/>
              <w:left w:w="70" w:type="dxa"/>
              <w:right w:w="70" w:type="dxa"/>
            </w:tcMar>
          </w:tcPr>
          <w:p>
            <w:r>
              <w:rPr>
                <w:rFonts w:ascii="Courier New" w:hAnsi="Courier New"/>
                <w:sz w:val="15"/>
              </w:rPr>
              <w:t>/api/docs/executive-handover.docx</w:t>
            </w:r>
          </w:p>
        </w:tc>
        <w:tc>
          <w:tcPr>
            <w:tcW w:type="dxa" w:w="4752"/>
            <w:shd w:fill="F8FAFC"/>
            <w:tcMar>
              <w:top w:w="50" w:type="dxa"/>
              <w:bottom w:w="50" w:type="dxa"/>
              <w:left w:w="70" w:type="dxa"/>
              <w:right w:w="70" w:type="dxa"/>
            </w:tcMar>
          </w:tcPr>
          <w:p>
            <w:r>
              <w:rPr>
                <w:rFonts w:ascii="Arial" w:hAnsi="Arial"/>
                <w:sz w:val="16"/>
              </w:rPr>
              <w:t>Auto-downloads this official executive handover Word document (.docx).</w:t>
            </w:r>
          </w:p>
        </w:tc>
      </w:tr>
      <w:tr>
        <w:tc>
          <w:tcPr>
            <w:tcW w:type="dxa" w:w="1584"/>
            <w:shd w:fill="FFFFFF"/>
            <w:tcMar>
              <w:top w:w="50" w:type="dxa"/>
              <w:bottom w:w="50" w:type="dxa"/>
              <w:left w:w="70" w:type="dxa"/>
              <w:right w:w="70" w:type="dxa"/>
            </w:tcMar>
          </w:tcPr>
          <w:p>
            <w:r>
              <w:rPr>
                <w:rFonts w:ascii="Arial" w:hAnsi="Arial"/>
                <w:b/>
                <w:color w:val="4C1D95"/>
                <w:sz w:val="16"/>
              </w:rPr>
              <w:t>GET</w:t>
            </w:r>
          </w:p>
        </w:tc>
        <w:tc>
          <w:tcPr>
            <w:tcW w:type="dxa" w:w="3744"/>
            <w:shd w:fill="FFFFFF"/>
            <w:tcMar>
              <w:top w:w="50" w:type="dxa"/>
              <w:bottom w:w="50" w:type="dxa"/>
              <w:left w:w="70" w:type="dxa"/>
              <w:right w:w="70" w:type="dxa"/>
            </w:tcMar>
          </w:tcPr>
          <w:p>
            <w:r>
              <w:rPr>
                <w:rFonts w:ascii="Courier New" w:hAnsi="Courier New"/>
                <w:sz w:val="15"/>
              </w:rPr>
              <w:t>/api/system/storage-info</w:t>
            </w:r>
          </w:p>
        </w:tc>
        <w:tc>
          <w:tcPr>
            <w:tcW w:type="dxa" w:w="4752"/>
            <w:shd w:fill="FFFFFF"/>
            <w:tcMar>
              <w:top w:w="50" w:type="dxa"/>
              <w:bottom w:w="50" w:type="dxa"/>
              <w:left w:w="70" w:type="dxa"/>
              <w:right w:w="70" w:type="dxa"/>
            </w:tcMar>
          </w:tcPr>
          <w:p>
            <w:r>
              <w:rPr>
                <w:rFonts w:ascii="Arial" w:hAnsi="Arial"/>
                <w:sz w:val="16"/>
              </w:rPr>
              <w:t>Returns Render persistent disk telemetry, storage capacity, and mount health.</w:t>
            </w:r>
          </w:p>
        </w:tc>
      </w:tr>
      <w:tr>
        <w:tc>
          <w:tcPr>
            <w:tcW w:type="dxa" w:w="1584"/>
            <w:shd w:fill="F8FAFC"/>
            <w:tcMar>
              <w:top w:w="50" w:type="dxa"/>
              <w:bottom w:w="50" w:type="dxa"/>
              <w:left w:w="70" w:type="dxa"/>
              <w:right w:w="70" w:type="dxa"/>
            </w:tcMar>
          </w:tcPr>
          <w:p>
            <w:r>
              <w:rPr>
                <w:rFonts w:ascii="Arial" w:hAnsi="Arial"/>
                <w:b/>
                <w:color w:val="4C1D95"/>
                <w:sz w:val="16"/>
              </w:rPr>
              <w:t>GET</w:t>
            </w:r>
          </w:p>
        </w:tc>
        <w:tc>
          <w:tcPr>
            <w:tcW w:type="dxa" w:w="3744"/>
            <w:shd w:fill="F8FAFC"/>
            <w:tcMar>
              <w:top w:w="50" w:type="dxa"/>
              <w:bottom w:w="50" w:type="dxa"/>
              <w:left w:w="70" w:type="dxa"/>
              <w:right w:w="70" w:type="dxa"/>
            </w:tcMar>
          </w:tcPr>
          <w:p>
            <w:r>
              <w:rPr>
                <w:rFonts w:ascii="Courier New" w:hAnsi="Courier New"/>
                <w:sz w:val="15"/>
              </w:rPr>
              <w:t>/api/files</w:t>
            </w:r>
          </w:p>
        </w:tc>
        <w:tc>
          <w:tcPr>
            <w:tcW w:type="dxa" w:w="4752"/>
            <w:shd w:fill="F8FAFC"/>
            <w:tcMar>
              <w:top w:w="50" w:type="dxa"/>
              <w:bottom w:w="50" w:type="dxa"/>
              <w:left w:w="70" w:type="dxa"/>
              <w:right w:w="70" w:type="dxa"/>
            </w:tcMar>
          </w:tcPr>
          <w:p>
            <w:r>
              <w:rPr>
                <w:rFonts w:ascii="Arial" w:hAnsi="Arial"/>
                <w:sz w:val="16"/>
              </w:rPr>
              <w:t>Lists active (is_current=1) files in target folder, including sizes, versions, and owners.</w:t>
            </w:r>
          </w:p>
        </w:tc>
      </w:tr>
      <w:tr>
        <w:tc>
          <w:tcPr>
            <w:tcW w:type="dxa" w:w="1584"/>
            <w:shd w:fill="FFFFFF"/>
            <w:tcMar>
              <w:top w:w="50" w:type="dxa"/>
              <w:bottom w:w="50" w:type="dxa"/>
              <w:left w:w="70" w:type="dxa"/>
              <w:right w:w="70" w:type="dxa"/>
            </w:tcMar>
          </w:tcPr>
          <w:p>
            <w:r>
              <w:rPr>
                <w:rFonts w:ascii="Arial" w:hAnsi="Arial"/>
                <w:b/>
                <w:color w:val="4C1D95"/>
                <w:sz w:val="16"/>
              </w:rPr>
              <w:t>POST</w:t>
            </w:r>
          </w:p>
        </w:tc>
        <w:tc>
          <w:tcPr>
            <w:tcW w:type="dxa" w:w="3744"/>
            <w:shd w:fill="FFFFFF"/>
            <w:tcMar>
              <w:top w:w="50" w:type="dxa"/>
              <w:bottom w:w="50" w:type="dxa"/>
              <w:left w:w="70" w:type="dxa"/>
              <w:right w:w="70" w:type="dxa"/>
            </w:tcMar>
          </w:tcPr>
          <w:p>
            <w:r>
              <w:rPr>
                <w:rFonts w:ascii="Courier New" w:hAnsi="Courier New"/>
                <w:sz w:val="15"/>
              </w:rPr>
              <w:t>/api/upload</w:t>
            </w:r>
          </w:p>
        </w:tc>
        <w:tc>
          <w:tcPr>
            <w:tcW w:type="dxa" w:w="4752"/>
            <w:shd w:fill="FFFFFF"/>
            <w:tcMar>
              <w:top w:w="50" w:type="dxa"/>
              <w:bottom w:w="50" w:type="dxa"/>
              <w:left w:w="70" w:type="dxa"/>
              <w:right w:w="70" w:type="dxa"/>
            </w:tcMar>
          </w:tcPr>
          <w:p>
            <w:r>
              <w:rPr>
                <w:rFonts w:ascii="Arial" w:hAnsi="Arial"/>
                <w:sz w:val="16"/>
              </w:rPr>
              <w:t>Uploads and AEAD seals file; supports target_logical_id (n+1) and use_post_quantum flag.</w:t>
            </w:r>
          </w:p>
        </w:tc>
      </w:tr>
      <w:tr>
        <w:tc>
          <w:tcPr>
            <w:tcW w:type="dxa" w:w="1584"/>
            <w:shd w:fill="F8FAFC"/>
            <w:tcMar>
              <w:top w:w="50" w:type="dxa"/>
              <w:bottom w:w="50" w:type="dxa"/>
              <w:left w:w="70" w:type="dxa"/>
              <w:right w:w="70" w:type="dxa"/>
            </w:tcMar>
          </w:tcPr>
          <w:p>
            <w:r>
              <w:rPr>
                <w:rFonts w:ascii="Arial" w:hAnsi="Arial"/>
                <w:b/>
                <w:color w:val="4C1D95"/>
                <w:sz w:val="16"/>
              </w:rPr>
              <w:t>POST</w:t>
            </w:r>
          </w:p>
        </w:tc>
        <w:tc>
          <w:tcPr>
            <w:tcW w:type="dxa" w:w="3744"/>
            <w:shd w:fill="F8FAFC"/>
            <w:tcMar>
              <w:top w:w="50" w:type="dxa"/>
              <w:bottom w:w="50" w:type="dxa"/>
              <w:left w:w="70" w:type="dxa"/>
              <w:right w:w="70" w:type="dxa"/>
            </w:tcMar>
          </w:tcPr>
          <w:p>
            <w:r>
              <w:rPr>
                <w:rFonts w:ascii="Courier New" w:hAnsi="Courier New"/>
                <w:sz w:val="15"/>
              </w:rPr>
              <w:t>/api/files/check-duplicate</w:t>
            </w:r>
          </w:p>
        </w:tc>
        <w:tc>
          <w:tcPr>
            <w:tcW w:type="dxa" w:w="4752"/>
            <w:shd w:fill="F8FAFC"/>
            <w:tcMar>
              <w:top w:w="50" w:type="dxa"/>
              <w:bottom w:w="50" w:type="dxa"/>
              <w:left w:w="70" w:type="dxa"/>
              <w:right w:w="70" w:type="dxa"/>
            </w:tcMar>
          </w:tcPr>
          <w:p>
            <w:r>
              <w:rPr>
                <w:rFonts w:ascii="Arial" w:hAnsi="Arial"/>
                <w:sz w:val="16"/>
              </w:rPr>
              <w:t>Checks if filename exists in folder; returns {exists, duplicate_info}.</w:t>
            </w:r>
          </w:p>
        </w:tc>
      </w:tr>
      <w:tr>
        <w:tc>
          <w:tcPr>
            <w:tcW w:type="dxa" w:w="1584"/>
            <w:shd w:fill="FFFFFF"/>
            <w:tcMar>
              <w:top w:w="50" w:type="dxa"/>
              <w:bottom w:w="50" w:type="dxa"/>
              <w:left w:w="70" w:type="dxa"/>
              <w:right w:w="70" w:type="dxa"/>
            </w:tcMar>
          </w:tcPr>
          <w:p>
            <w:r>
              <w:rPr>
                <w:rFonts w:ascii="Arial" w:hAnsi="Arial"/>
                <w:b/>
                <w:color w:val="4C1D95"/>
                <w:sz w:val="16"/>
              </w:rPr>
              <w:t>GET</w:t>
            </w:r>
          </w:p>
        </w:tc>
        <w:tc>
          <w:tcPr>
            <w:tcW w:type="dxa" w:w="3744"/>
            <w:shd w:fill="FFFFFF"/>
            <w:tcMar>
              <w:top w:w="50" w:type="dxa"/>
              <w:bottom w:w="50" w:type="dxa"/>
              <w:left w:w="70" w:type="dxa"/>
              <w:right w:w="70" w:type="dxa"/>
            </w:tcMar>
          </w:tcPr>
          <w:p>
            <w:r>
              <w:rPr>
                <w:rFonts w:ascii="Courier New" w:hAnsi="Courier New"/>
                <w:sz w:val="15"/>
              </w:rPr>
              <w:t>/api/files/&lt;id&gt;/verify</w:t>
            </w:r>
          </w:p>
        </w:tc>
        <w:tc>
          <w:tcPr>
            <w:tcW w:type="dxa" w:w="4752"/>
            <w:shd w:fill="FFFFFF"/>
            <w:tcMar>
              <w:top w:w="50" w:type="dxa"/>
              <w:bottom w:w="50" w:type="dxa"/>
              <w:left w:w="70" w:type="dxa"/>
              <w:right w:w="70" w:type="dxa"/>
            </w:tcMar>
          </w:tcPr>
          <w:p>
            <w:r>
              <w:rPr>
                <w:rFonts w:ascii="Arial" w:hAnsi="Arial"/>
                <w:sz w:val="16"/>
              </w:rPr>
              <w:t>Extracts 96-bit nonce, SHA-256 digest, and validates 128-bit Galois GHASH tag.</w:t>
            </w:r>
          </w:p>
        </w:tc>
      </w:tr>
      <w:tr>
        <w:tc>
          <w:tcPr>
            <w:tcW w:type="dxa" w:w="1584"/>
            <w:shd w:fill="F8FAFC"/>
            <w:tcMar>
              <w:top w:w="50" w:type="dxa"/>
              <w:bottom w:w="50" w:type="dxa"/>
              <w:left w:w="70" w:type="dxa"/>
              <w:right w:w="70" w:type="dxa"/>
            </w:tcMar>
          </w:tcPr>
          <w:p>
            <w:r>
              <w:rPr>
                <w:rFonts w:ascii="Arial" w:hAnsi="Arial"/>
                <w:b/>
                <w:color w:val="4C1D95"/>
                <w:sz w:val="16"/>
              </w:rPr>
              <w:t>GET</w:t>
            </w:r>
          </w:p>
        </w:tc>
        <w:tc>
          <w:tcPr>
            <w:tcW w:type="dxa" w:w="3744"/>
            <w:shd w:fill="F8FAFC"/>
            <w:tcMar>
              <w:top w:w="50" w:type="dxa"/>
              <w:bottom w:w="50" w:type="dxa"/>
              <w:left w:w="70" w:type="dxa"/>
              <w:right w:w="70" w:type="dxa"/>
            </w:tcMar>
          </w:tcPr>
          <w:p>
            <w:r>
              <w:rPr>
                <w:rFonts w:ascii="Courier New" w:hAnsi="Courier New"/>
                <w:sz w:val="15"/>
              </w:rPr>
              <w:t>/api/files/&lt;id&gt;/preview</w:t>
            </w:r>
          </w:p>
        </w:tc>
        <w:tc>
          <w:tcPr>
            <w:tcW w:type="dxa" w:w="4752"/>
            <w:shd w:fill="F8FAFC"/>
            <w:tcMar>
              <w:top w:w="50" w:type="dxa"/>
              <w:bottom w:w="50" w:type="dxa"/>
              <w:left w:w="70" w:type="dxa"/>
              <w:right w:w="70" w:type="dxa"/>
            </w:tcMar>
          </w:tcPr>
          <w:p>
            <w:r>
              <w:rPr>
                <w:rFonts w:ascii="Arial" w:hAnsi="Arial"/>
                <w:sz w:val="16"/>
              </w:rPr>
              <w:t>Decrypts AES-256-GCM payload on-the-fly for in-browser plaintext inspection.</w:t>
            </w:r>
          </w:p>
        </w:tc>
      </w:tr>
      <w:tr>
        <w:tc>
          <w:tcPr>
            <w:tcW w:type="dxa" w:w="1584"/>
            <w:shd w:fill="FFFFFF"/>
            <w:tcMar>
              <w:top w:w="50" w:type="dxa"/>
              <w:bottom w:w="50" w:type="dxa"/>
              <w:left w:w="70" w:type="dxa"/>
              <w:right w:w="70" w:type="dxa"/>
            </w:tcMar>
          </w:tcPr>
          <w:p>
            <w:r>
              <w:rPr>
                <w:rFonts w:ascii="Arial" w:hAnsi="Arial"/>
                <w:b/>
                <w:color w:val="4C1D95"/>
                <w:sz w:val="16"/>
              </w:rPr>
              <w:t>GET</w:t>
            </w:r>
          </w:p>
        </w:tc>
        <w:tc>
          <w:tcPr>
            <w:tcW w:type="dxa" w:w="3744"/>
            <w:shd w:fill="FFFFFF"/>
            <w:tcMar>
              <w:top w:w="50" w:type="dxa"/>
              <w:bottom w:w="50" w:type="dxa"/>
              <w:left w:w="70" w:type="dxa"/>
              <w:right w:w="70" w:type="dxa"/>
            </w:tcMar>
          </w:tcPr>
          <w:p>
            <w:r>
              <w:rPr>
                <w:rFonts w:ascii="Courier New" w:hAnsi="Courier New"/>
                <w:sz w:val="15"/>
              </w:rPr>
              <w:t>/api/files/diff</w:t>
            </w:r>
          </w:p>
        </w:tc>
        <w:tc>
          <w:tcPr>
            <w:tcW w:type="dxa" w:w="4752"/>
            <w:shd w:fill="FFFFFF"/>
            <w:tcMar>
              <w:top w:w="50" w:type="dxa"/>
              <w:bottom w:w="50" w:type="dxa"/>
              <w:left w:w="70" w:type="dxa"/>
              <w:right w:w="70" w:type="dxa"/>
            </w:tcMar>
          </w:tcPr>
          <w:p>
            <w:r>
              <w:rPr>
                <w:rFonts w:ascii="Arial" w:hAnsi="Arial"/>
                <w:sz w:val="16"/>
              </w:rPr>
              <w:t>Computes unified line diff between revisions with line addition/deletion metrics.</w:t>
            </w:r>
          </w:p>
        </w:tc>
      </w:tr>
      <w:tr>
        <w:tc>
          <w:tcPr>
            <w:tcW w:type="dxa" w:w="1584"/>
            <w:shd w:fill="F8FAFC"/>
            <w:tcMar>
              <w:top w:w="50" w:type="dxa"/>
              <w:bottom w:w="50" w:type="dxa"/>
              <w:left w:w="70" w:type="dxa"/>
              <w:right w:w="70" w:type="dxa"/>
            </w:tcMar>
          </w:tcPr>
          <w:p>
            <w:r>
              <w:rPr>
                <w:rFonts w:ascii="Arial" w:hAnsi="Arial"/>
                <w:b/>
                <w:color w:val="4C1D95"/>
                <w:sz w:val="16"/>
              </w:rPr>
              <w:t>GET/POST</w:t>
            </w:r>
          </w:p>
        </w:tc>
        <w:tc>
          <w:tcPr>
            <w:tcW w:type="dxa" w:w="3744"/>
            <w:shd w:fill="F8FAFC"/>
            <w:tcMar>
              <w:top w:w="50" w:type="dxa"/>
              <w:bottom w:w="50" w:type="dxa"/>
              <w:left w:w="70" w:type="dxa"/>
              <w:right w:w="70" w:type="dxa"/>
            </w:tcMar>
          </w:tcPr>
          <w:p>
            <w:r>
              <w:rPr>
                <w:rFonts w:ascii="Courier New" w:hAnsi="Courier New"/>
                <w:sz w:val="15"/>
              </w:rPr>
              <w:t>/api/collab/&lt;id&gt;/ops</w:t>
            </w:r>
          </w:p>
        </w:tc>
        <w:tc>
          <w:tcPr>
            <w:tcW w:type="dxa" w:w="4752"/>
            <w:shd w:fill="F8FAFC"/>
            <w:tcMar>
              <w:top w:w="50" w:type="dxa"/>
              <w:bottom w:w="50" w:type="dxa"/>
              <w:left w:w="70" w:type="dxa"/>
              <w:right w:w="70" w:type="dxa"/>
            </w:tcMar>
          </w:tcPr>
          <w:p>
            <w:r>
              <w:rPr>
                <w:rFonts w:ascii="Arial" w:hAnsi="Arial"/>
                <w:sz w:val="16"/>
              </w:rPr>
              <w:t>Syncs or appends Sequence CRDT character operations and rich-text OT spans.</w:t>
            </w:r>
          </w:p>
        </w:tc>
      </w:tr>
      <w:tr>
        <w:tc>
          <w:tcPr>
            <w:tcW w:type="dxa" w:w="1584"/>
            <w:shd w:fill="FFFFFF"/>
            <w:tcMar>
              <w:top w:w="50" w:type="dxa"/>
              <w:bottom w:w="50" w:type="dxa"/>
              <w:left w:w="70" w:type="dxa"/>
              <w:right w:w="70" w:type="dxa"/>
            </w:tcMar>
          </w:tcPr>
          <w:p>
            <w:r>
              <w:rPr>
                <w:rFonts w:ascii="Arial" w:hAnsi="Arial"/>
                <w:b/>
                <w:color w:val="4C1D95"/>
                <w:sz w:val="16"/>
              </w:rPr>
              <w:t>GET/POST</w:t>
            </w:r>
          </w:p>
        </w:tc>
        <w:tc>
          <w:tcPr>
            <w:tcW w:type="dxa" w:w="3744"/>
            <w:shd w:fill="FFFFFF"/>
            <w:tcMar>
              <w:top w:w="50" w:type="dxa"/>
              <w:bottom w:w="50" w:type="dxa"/>
              <w:left w:w="70" w:type="dxa"/>
              <w:right w:w="70" w:type="dxa"/>
            </w:tcMar>
          </w:tcPr>
          <w:p>
            <w:r>
              <w:rPr>
                <w:rFonts w:ascii="Courier New" w:hAnsi="Courier New"/>
                <w:sz w:val="15"/>
              </w:rPr>
              <w:t>/api/collab/&lt;id&gt;/cursors</w:t>
            </w:r>
          </w:p>
        </w:tc>
        <w:tc>
          <w:tcPr>
            <w:tcW w:type="dxa" w:w="4752"/>
            <w:shd w:fill="FFFFFF"/>
            <w:tcMar>
              <w:top w:w="50" w:type="dxa"/>
              <w:bottom w:w="50" w:type="dxa"/>
              <w:left w:w="70" w:type="dxa"/>
              <w:right w:w="70" w:type="dxa"/>
            </w:tcMar>
          </w:tcPr>
          <w:p>
            <w:r>
              <w:rPr>
                <w:rFonts w:ascii="Arial" w:hAnsi="Arial"/>
                <w:sz w:val="16"/>
              </w:rPr>
              <w:t>Broadcasts and retrieves live multi-user cursor presence and selections.</w:t>
            </w:r>
          </w:p>
        </w:tc>
      </w:tr>
      <w:tr>
        <w:tc>
          <w:tcPr>
            <w:tcW w:type="dxa" w:w="1584"/>
            <w:shd w:fill="F8FAFC"/>
            <w:tcMar>
              <w:top w:w="50" w:type="dxa"/>
              <w:bottom w:w="50" w:type="dxa"/>
              <w:left w:w="70" w:type="dxa"/>
              <w:right w:w="70" w:type="dxa"/>
            </w:tcMar>
          </w:tcPr>
          <w:p>
            <w:r>
              <w:rPr>
                <w:rFonts w:ascii="Arial" w:hAnsi="Arial"/>
                <w:b/>
                <w:color w:val="4C1D95"/>
                <w:sz w:val="16"/>
              </w:rPr>
              <w:t>GET</w:t>
            </w:r>
          </w:p>
        </w:tc>
        <w:tc>
          <w:tcPr>
            <w:tcW w:type="dxa" w:w="3744"/>
            <w:shd w:fill="F8FAFC"/>
            <w:tcMar>
              <w:top w:w="50" w:type="dxa"/>
              <w:bottom w:w="50" w:type="dxa"/>
              <w:left w:w="70" w:type="dxa"/>
              <w:right w:w="70" w:type="dxa"/>
            </w:tcMar>
          </w:tcPr>
          <w:p>
            <w:r>
              <w:rPr>
                <w:rFonts w:ascii="Courier New" w:hAnsi="Courier New"/>
                <w:sz w:val="15"/>
              </w:rPr>
              <w:t>/api/shards/topology</w:t>
            </w:r>
          </w:p>
        </w:tc>
        <w:tc>
          <w:tcPr>
            <w:tcW w:type="dxa" w:w="4752"/>
            <w:shd w:fill="F8FAFC"/>
            <w:tcMar>
              <w:top w:w="50" w:type="dxa"/>
              <w:bottom w:w="50" w:type="dxa"/>
              <w:left w:w="70" w:type="dxa"/>
              <w:right w:w="70" w:type="dxa"/>
            </w:tcMar>
          </w:tcPr>
          <w:p>
            <w:r>
              <w:rPr>
                <w:rFonts w:ascii="Arial" w:hAnsi="Arial"/>
                <w:sz w:val="16"/>
              </w:rPr>
              <w:t>Returns 4-tier cross-region shard topology and latency metrics.</w:t>
            </w:r>
          </w:p>
        </w:tc>
      </w:tr>
      <w:tr>
        <w:tc>
          <w:tcPr>
            <w:tcW w:type="dxa" w:w="1584"/>
            <w:shd w:fill="FFFFFF"/>
            <w:tcMar>
              <w:top w:w="50" w:type="dxa"/>
              <w:bottom w:w="50" w:type="dxa"/>
              <w:left w:w="70" w:type="dxa"/>
              <w:right w:w="70" w:type="dxa"/>
            </w:tcMar>
          </w:tcPr>
          <w:p>
            <w:r>
              <w:rPr>
                <w:rFonts w:ascii="Arial" w:hAnsi="Arial"/>
                <w:b/>
                <w:color w:val="4C1D95"/>
                <w:sz w:val="16"/>
              </w:rPr>
              <w:t>POST</w:t>
            </w:r>
          </w:p>
        </w:tc>
        <w:tc>
          <w:tcPr>
            <w:tcW w:type="dxa" w:w="3744"/>
            <w:shd w:fill="FFFFFF"/>
            <w:tcMar>
              <w:top w:w="50" w:type="dxa"/>
              <w:bottom w:w="50" w:type="dxa"/>
              <w:left w:w="70" w:type="dxa"/>
              <w:right w:w="70" w:type="dxa"/>
            </w:tcMar>
          </w:tcPr>
          <w:p>
            <w:r>
              <w:rPr>
                <w:rFonts w:ascii="Courier New" w:hAnsi="Courier New"/>
                <w:sz w:val="15"/>
              </w:rPr>
              <w:t>/api/shards/transfer</w:t>
            </w:r>
          </w:p>
        </w:tc>
        <w:tc>
          <w:tcPr>
            <w:tcW w:type="dxa" w:w="4752"/>
            <w:shd w:fill="FFFFFF"/>
            <w:tcMar>
              <w:top w:w="50" w:type="dxa"/>
              <w:bottom w:w="50" w:type="dxa"/>
              <w:left w:w="70" w:type="dxa"/>
              <w:right w:w="70" w:type="dxa"/>
            </w:tcMar>
          </w:tcPr>
          <w:p>
            <w:r>
              <w:rPr>
                <w:rFonts w:ascii="Arial" w:hAnsi="Arial"/>
                <w:sz w:val="16"/>
              </w:rPr>
              <w:t>Migrates file across regional shards with automatic AAD re-sealing.</w:t>
            </w:r>
          </w:p>
        </w:tc>
      </w:tr>
      <w:tr>
        <w:tc>
          <w:tcPr>
            <w:tcW w:type="dxa" w:w="1584"/>
            <w:shd w:fill="F8FAFC"/>
            <w:tcMar>
              <w:top w:w="50" w:type="dxa"/>
              <w:bottom w:w="50" w:type="dxa"/>
              <w:left w:w="70" w:type="dxa"/>
              <w:right w:w="70" w:type="dxa"/>
            </w:tcMar>
          </w:tcPr>
          <w:p>
            <w:r>
              <w:rPr>
                <w:rFonts w:ascii="Arial" w:hAnsi="Arial"/>
                <w:b/>
                <w:color w:val="4C1D95"/>
                <w:sz w:val="16"/>
              </w:rPr>
              <w:t>POST</w:t>
            </w:r>
          </w:p>
        </w:tc>
        <w:tc>
          <w:tcPr>
            <w:tcW w:type="dxa" w:w="3744"/>
            <w:shd w:fill="F8FAFC"/>
            <w:tcMar>
              <w:top w:w="50" w:type="dxa"/>
              <w:bottom w:w="50" w:type="dxa"/>
              <w:left w:w="70" w:type="dxa"/>
              <w:right w:w="70" w:type="dxa"/>
            </w:tcMar>
          </w:tcPr>
          <w:p>
            <w:r>
              <w:rPr>
                <w:rFonts w:ascii="Courier New" w:hAnsi="Courier New"/>
                <w:sz w:val="15"/>
              </w:rPr>
              <w:t>/api/crypto/pq-seal</w:t>
            </w:r>
          </w:p>
        </w:tc>
        <w:tc>
          <w:tcPr>
            <w:tcW w:type="dxa" w:w="4752"/>
            <w:shd w:fill="F8FAFC"/>
            <w:tcMar>
              <w:top w:w="50" w:type="dxa"/>
              <w:bottom w:w="50" w:type="dxa"/>
              <w:left w:w="70" w:type="dxa"/>
              <w:right w:w="70" w:type="dxa"/>
            </w:tcMar>
          </w:tcPr>
          <w:p>
            <w:r>
              <w:rPr>
                <w:rFonts w:ascii="Arial" w:hAnsi="Arial"/>
                <w:sz w:val="16"/>
              </w:rPr>
              <w:t>Performs hybrid ML-KEM-768 + AES-256-GCM authenticated encryption.</w:t>
            </w:r>
          </w:p>
        </w:tc>
      </w:tr>
      <w:tr>
        <w:tc>
          <w:tcPr>
            <w:tcW w:type="dxa" w:w="1584"/>
            <w:shd w:fill="FFFFFF"/>
            <w:tcMar>
              <w:top w:w="50" w:type="dxa"/>
              <w:bottom w:w="50" w:type="dxa"/>
              <w:left w:w="70" w:type="dxa"/>
              <w:right w:w="70" w:type="dxa"/>
            </w:tcMar>
          </w:tcPr>
          <w:p>
            <w:r>
              <w:rPr>
                <w:rFonts w:ascii="Arial" w:hAnsi="Arial"/>
                <w:b/>
                <w:color w:val="4C1D95"/>
                <w:sz w:val="16"/>
              </w:rPr>
              <w:t>GET</w:t>
            </w:r>
          </w:p>
        </w:tc>
        <w:tc>
          <w:tcPr>
            <w:tcW w:type="dxa" w:w="3744"/>
            <w:shd w:fill="FFFFFF"/>
            <w:tcMar>
              <w:top w:w="50" w:type="dxa"/>
              <w:bottom w:w="50" w:type="dxa"/>
              <w:left w:w="70" w:type="dxa"/>
              <w:right w:w="70" w:type="dxa"/>
            </w:tcMar>
          </w:tcPr>
          <w:p>
            <w:r>
              <w:rPr>
                <w:rFonts w:ascii="Courier New" w:hAnsi="Courier New"/>
                <w:sz w:val="15"/>
              </w:rPr>
              <w:t>/api/crypto/pq-proof</w:t>
            </w:r>
          </w:p>
        </w:tc>
        <w:tc>
          <w:tcPr>
            <w:tcW w:type="dxa" w:w="4752"/>
            <w:shd w:fill="FFFFFF"/>
            <w:tcMar>
              <w:top w:w="50" w:type="dxa"/>
              <w:bottom w:w="50" w:type="dxa"/>
              <w:left w:w="70" w:type="dxa"/>
              <w:right w:w="70" w:type="dxa"/>
            </w:tcMar>
          </w:tcPr>
          <w:p>
            <w:r>
              <w:rPr>
                <w:rFonts w:ascii="Arial" w:hAnsi="Arial"/>
                <w:sz w:val="16"/>
              </w:rPr>
              <w:t>Returns Kyber-768 lattice parameters, key fingerprint, and Shor immunity proof.</w:t>
            </w:r>
          </w:p>
        </w:tc>
      </w:tr>
      <w:tr>
        <w:tc>
          <w:tcPr>
            <w:tcW w:type="dxa" w:w="1584"/>
            <w:shd w:fill="F8FAFC"/>
            <w:tcMar>
              <w:top w:w="50" w:type="dxa"/>
              <w:bottom w:w="50" w:type="dxa"/>
              <w:left w:w="70" w:type="dxa"/>
              <w:right w:w="70" w:type="dxa"/>
            </w:tcMar>
          </w:tcPr>
          <w:p>
            <w:r>
              <w:rPr>
                <w:rFonts w:ascii="Arial" w:hAnsi="Arial"/>
                <w:b/>
                <w:color w:val="4C1D95"/>
                <w:sz w:val="16"/>
              </w:rPr>
              <w:t>POST</w:t>
            </w:r>
          </w:p>
        </w:tc>
        <w:tc>
          <w:tcPr>
            <w:tcW w:type="dxa" w:w="3744"/>
            <w:shd w:fill="F8FAFC"/>
            <w:tcMar>
              <w:top w:w="50" w:type="dxa"/>
              <w:bottom w:w="50" w:type="dxa"/>
              <w:left w:w="70" w:type="dxa"/>
              <w:right w:w="70" w:type="dxa"/>
            </w:tcMar>
          </w:tcPr>
          <w:p>
            <w:r>
              <w:rPr>
                <w:rFonts w:ascii="Courier New" w:hAnsi="Courier New"/>
                <w:sz w:val="15"/>
              </w:rPr>
              <w:t>/api/threats/red-team/simulate</w:t>
            </w:r>
          </w:p>
        </w:tc>
        <w:tc>
          <w:tcPr>
            <w:tcW w:type="dxa" w:w="4752"/>
            <w:shd w:fill="F8FAFC"/>
            <w:tcMar>
              <w:top w:w="50" w:type="dxa"/>
              <w:bottom w:w="50" w:type="dxa"/>
              <w:left w:w="70" w:type="dxa"/>
              <w:right w:w="70" w:type="dxa"/>
            </w:tcMar>
          </w:tcPr>
          <w:p>
            <w:r>
              <w:rPr>
                <w:rFonts w:ascii="Arial" w:hAnsi="Arial"/>
                <w:sz w:val="16"/>
              </w:rPr>
              <w:t>Executes Q-learning RL attack episode with LLM-mutated AST payloads.</w:t>
            </w:r>
          </w:p>
        </w:tc>
      </w:tr>
      <w:tr>
        <w:tc>
          <w:tcPr>
            <w:tcW w:type="dxa" w:w="1584"/>
            <w:shd w:fill="FFFFFF"/>
            <w:tcMar>
              <w:top w:w="50" w:type="dxa"/>
              <w:bottom w:w="50" w:type="dxa"/>
              <w:left w:w="70" w:type="dxa"/>
              <w:right w:w="70" w:type="dxa"/>
            </w:tcMar>
          </w:tcPr>
          <w:p>
            <w:r>
              <w:rPr>
                <w:rFonts w:ascii="Arial" w:hAnsi="Arial"/>
                <w:b/>
                <w:color w:val="4C1D95"/>
                <w:sz w:val="16"/>
              </w:rPr>
              <w:t>GET</w:t>
            </w:r>
          </w:p>
        </w:tc>
        <w:tc>
          <w:tcPr>
            <w:tcW w:type="dxa" w:w="3744"/>
            <w:shd w:fill="FFFFFF"/>
            <w:tcMar>
              <w:top w:w="50" w:type="dxa"/>
              <w:bottom w:w="50" w:type="dxa"/>
              <w:left w:w="70" w:type="dxa"/>
              <w:right w:w="70" w:type="dxa"/>
            </w:tcMar>
          </w:tcPr>
          <w:p>
            <w:r>
              <w:rPr>
                <w:rFonts w:ascii="Courier New" w:hAnsi="Courier New"/>
                <w:sz w:val="15"/>
              </w:rPr>
              <w:t>/api/threats/red-team/q-matrix</w:t>
            </w:r>
          </w:p>
        </w:tc>
        <w:tc>
          <w:tcPr>
            <w:tcW w:type="dxa" w:w="4752"/>
            <w:shd w:fill="FFFFFF"/>
            <w:tcMar>
              <w:top w:w="50" w:type="dxa"/>
              <w:bottom w:w="50" w:type="dxa"/>
              <w:left w:w="70" w:type="dxa"/>
              <w:right w:w="70" w:type="dxa"/>
            </w:tcMar>
          </w:tcPr>
          <w:p>
            <w:r>
              <w:rPr>
                <w:rFonts w:ascii="Arial" w:hAnsi="Arial"/>
                <w:sz w:val="16"/>
              </w:rPr>
              <w:t>Returns Q-learning state-action table and exploration metrics.</w:t>
            </w:r>
          </w:p>
        </w:tc>
      </w:tr>
      <w:tr>
        <w:tc>
          <w:tcPr>
            <w:tcW w:type="dxa" w:w="1584"/>
            <w:shd w:fill="F8FAFC"/>
            <w:tcMar>
              <w:top w:w="50" w:type="dxa"/>
              <w:bottom w:w="50" w:type="dxa"/>
              <w:left w:w="70" w:type="dxa"/>
              <w:right w:w="70" w:type="dxa"/>
            </w:tcMar>
          </w:tcPr>
          <w:p>
            <w:r>
              <w:rPr>
                <w:rFonts w:ascii="Arial" w:hAnsi="Arial"/>
                <w:b/>
                <w:color w:val="4C1D95"/>
                <w:sz w:val="16"/>
              </w:rPr>
              <w:t>POST</w:t>
            </w:r>
          </w:p>
        </w:tc>
        <w:tc>
          <w:tcPr>
            <w:tcW w:type="dxa" w:w="3744"/>
            <w:shd w:fill="F8FAFC"/>
            <w:tcMar>
              <w:top w:w="50" w:type="dxa"/>
              <w:bottom w:w="50" w:type="dxa"/>
              <w:left w:w="70" w:type="dxa"/>
              <w:right w:w="70" w:type="dxa"/>
            </w:tcMar>
          </w:tcPr>
          <w:p>
            <w:r>
              <w:rPr>
                <w:rFonts w:ascii="Courier New" w:hAnsi="Courier New"/>
                <w:sz w:val="15"/>
              </w:rPr>
              <w:t>/api/auth/webauthn/register-verify</w:t>
            </w:r>
          </w:p>
        </w:tc>
        <w:tc>
          <w:tcPr>
            <w:tcW w:type="dxa" w:w="4752"/>
            <w:shd w:fill="F8FAFC"/>
            <w:tcMar>
              <w:top w:w="50" w:type="dxa"/>
              <w:bottom w:w="50" w:type="dxa"/>
              <w:left w:w="70" w:type="dxa"/>
              <w:right w:w="70" w:type="dxa"/>
            </w:tcMar>
          </w:tcPr>
          <w:p>
            <w:r>
              <w:rPr>
                <w:rFonts w:ascii="Arial" w:hAnsi="Arial"/>
                <w:sz w:val="16"/>
              </w:rPr>
              <w:t>Validates FIDO2 CBOR attestation statements against MDS Root CA.</w:t>
            </w:r>
          </w:p>
        </w:tc>
      </w:tr>
      <w:tr>
        <w:tc>
          <w:tcPr>
            <w:tcW w:type="dxa" w:w="1584"/>
            <w:shd w:fill="FFFFFF"/>
            <w:tcMar>
              <w:top w:w="50" w:type="dxa"/>
              <w:bottom w:w="50" w:type="dxa"/>
              <w:left w:w="70" w:type="dxa"/>
              <w:right w:w="70" w:type="dxa"/>
            </w:tcMar>
          </w:tcPr>
          <w:p>
            <w:r>
              <w:rPr>
                <w:rFonts w:ascii="Arial" w:hAnsi="Arial"/>
                <w:b/>
                <w:color w:val="4C1D95"/>
                <w:sz w:val="16"/>
              </w:rPr>
              <w:t>POST</w:t>
            </w:r>
          </w:p>
        </w:tc>
        <w:tc>
          <w:tcPr>
            <w:tcW w:type="dxa" w:w="3744"/>
            <w:shd w:fill="FFFFFF"/>
            <w:tcMar>
              <w:top w:w="50" w:type="dxa"/>
              <w:bottom w:w="50" w:type="dxa"/>
              <w:left w:w="70" w:type="dxa"/>
              <w:right w:w="70" w:type="dxa"/>
            </w:tcMar>
          </w:tcPr>
          <w:p>
            <w:r>
              <w:rPr>
                <w:rFonts w:ascii="Courier New" w:hAnsi="Courier New"/>
                <w:sz w:val="15"/>
              </w:rPr>
              <w:t>/api/push/broadcast-threat</w:t>
            </w:r>
          </w:p>
        </w:tc>
        <w:tc>
          <w:tcPr>
            <w:tcW w:type="dxa" w:w="4752"/>
            <w:shd w:fill="FFFFFF"/>
            <w:tcMar>
              <w:top w:w="50" w:type="dxa"/>
              <w:bottom w:w="50" w:type="dxa"/>
              <w:left w:w="70" w:type="dxa"/>
              <w:right w:w="70" w:type="dxa"/>
            </w:tcMar>
          </w:tcPr>
          <w:p>
            <w:r>
              <w:rPr>
                <w:rFonts w:ascii="Arial" w:hAnsi="Arial"/>
                <w:sz w:val="16"/>
              </w:rPr>
              <w:t>Dispatches multi-channel threat alert across Web Push, APNs, and FCM.</w:t>
            </w:r>
          </w:p>
        </w:tc>
      </w:tr>
    </w:tbl>
    <w:p>
      <w:pPr>
        <w:spacing w:after="240"/>
      </w:pPr>
    </w:p>
    <w:p>
      <w:pPr>
        <w:spacing w:before="320" w:after="120"/>
      </w:pPr>
      <w:r>
        <w:rPr>
          <w:rFonts w:ascii="Arial" w:hAnsi="Arial"/>
          <w:b/>
          <w:color w:val="4C1D95"/>
          <w:sz w:val="26"/>
        </w:rPr>
        <w:t>7. Verification &amp; Production Readiness Checklist</w:t>
      </w:r>
    </w:p>
    <w:p>
      <w:r>
        <w:t>Before final academic evaluation or enterprise demonstration, verify the following 6 checkpoints:</w:t>
        <w:br/>
        <w:t>1. Web Server Execution: Start via 'python run_server.py'. Binds to 0.0.0.0:5000 with persistent SQLite database.</w:t>
        <w:br/>
        <w:t>2. GitHub Repository: Master branch confirmed at commit c50405a with all 26 production files present.</w:t>
        <w:br/>
        <w:t>3. Render Live Service: Check https://cloud-d.onrender.com/. When prompted, deploy latest commit to activate.</w:t>
        <w:br/>
        <w:t>4. Mobile Screen Gating: Load https://cloud-d.onrender.com/ on iOS Safari or Android Chrome. Ensure bottom bar is hidden.</w:t>
        <w:br/>
        <w:t>5. Login Authentication: Authenticate with staff 'nithish' / 'nithish123'. Ensure bottom bar smoothly reveals.</w:t>
        <w:br/>
        <w:t>6. Threat Simulation: Execute 1 manual round and 1 automated 10-round audit. Verify Minimax tree score readout.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