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GIVE AS A REPORT</w:t>
        <w:br/>
        <w:br/>
      </w:r>
      <w:r>
        <w:rPr>
          <w:sz w:val="32"/>
        </w:rPr>
        <w:t>Generated using Athena AI</w:t>
        <w:br/>
      </w:r>
      <w:r>
        <w:rPr>
          <w:sz w:val="28"/>
        </w:rPr>
        <w:t>AI Engineering Assistant</w:t>
        <w:br/>
        <w:br/>
      </w:r>
      <w:r>
        <w:rPr>
          <w:i/>
        </w:rPr>
        <w:t>Version 5.0</w:t>
      </w:r>
    </w:p>
    <w:p>
      <w:r>
        <w:br w:type="page"/>
      </w:r>
    </w:p>
    <w:p>
      <w:r>
        <w:t>Generated by Athena AI</w:t>
        <w:br/>
        <w:t>Date : 12-07-2026 16:26:34</w:t>
      </w:r>
    </w:p>
    <w:p>
      <w:pPr>
        <w:pStyle w:val="Heading2"/>
      </w:pPr>
      <w:r>
        <w:t>Report</w:t>
      </w:r>
    </w:p>
    <w:p>
      <w:pPr>
        <w:pStyle w:val="Heading1"/>
      </w:pPr>
      <w:r>
        <w:t>Report on Mathematical Equation Representation in Documents</w:t>
      </w:r>
    </w:p>
    <w:p>
      <w:pPr>
        <w:pStyle w:val="Heading2"/>
      </w:pPr>
      <w:r>
        <w:t>Introduction</w:t>
      </w:r>
    </w:p>
    <w:p>
      <w:r>
        <w:t xml:space="preserve">Clear and accurate mathematical notation is paramount for effective communication in technical and scientific fields. This report delves into the standard methodologies for embedding mathematical equations within digital documents, primarily focusing on the </w:t>
      </w:r>
      <w:r>
        <w:rPr>
          <w:b/>
        </w:rPr>
        <w:t>LaTeX-style syntax</w:t>
      </w:r>
      <w:r>
        <w:t xml:space="preserve"> widely adopted in Markdown environments through rendering engines like </w:t>
      </w:r>
      <w:r>
        <w:rPr>
          <w:b/>
        </w:rPr>
        <w:t>MathJax</w:t>
      </w:r>
      <w:r>
        <w:t xml:space="preserve"> and </w:t>
      </w:r>
      <w:r>
        <w:rPr>
          <w:b/>
        </w:rPr>
        <w:t>KaTeX</w:t>
      </w:r>
      <w:r>
        <w:t>. Mastering this notation significantly enhances the professionalism and clarity of any document containing mathematical expressions.</w:t>
      </w:r>
    </w:p>
    <w:p>
      <w:pPr>
        <w:pStyle w:val="Heading2"/>
      </w:pPr>
      <w:r>
        <w:t>Main Concepts</w:t>
      </w:r>
    </w:p>
    <w:p>
      <w:r>
        <w:t>The core of representing mathematical equations in documents revolves around two primary formats: inline and display equations, complemented by a rich set of symbols and operations.</w:t>
      </w:r>
    </w:p>
    <w:p>
      <w:pPr>
        <w:pStyle w:val="Heading3"/>
      </w:pPr>
      <w:r>
        <w:t>Inline Equations</w:t>
      </w:r>
    </w:p>
    <w:p>
      <w:r/>
      <w:r>
        <w:rPr>
          <w:b/>
        </w:rPr>
        <w:t>Inline equations</w:t>
      </w:r>
      <w:r>
        <w:t xml:space="preserve"> are concise mathematical expressions integrated directly within a line of text. They are typically delimited by single dollar signs (`$`). This format is suitable for variables, simple operations, or short formulas that maintain the flow of a sentence.</w:t>
      </w:r>
    </w:p>
    <w:p>
      <w:pPr>
        <w:pStyle w:val="ListBullet"/>
      </w:pPr>
      <w:r>
        <w:t xml:space="preserve">  </w:t>
      </w:r>
      <w:r>
        <w:rPr>
          <w:b/>
        </w:rPr>
        <w:t>Example:</w:t>
      </w:r>
      <w:r>
        <w:t xml:space="preserve"> Let </w:t>
      </w:r>
      <m:oMath>
        <ns1:mrow xmlns:ns1="http://www.w3.org/1998/Math/MathML">
          <ns1:mi>x</ns1:mi>
        </ns1:mrow>
      </m:oMath>
      <w:r>
        <w:t xml:space="preserve"> be the unknown variable in the equation </w:t>
      </w:r>
      <m:oMath>
        <ns1:mrow xmlns:ns1="http://www.w3.org/1998/Math/MathML">
          <ns1:mn>2</ns1:mn>
          <ns1:mi>x</ns1:mi>
          <ns1:mo>+</ns1:mo>
          <ns1:mn>5</ns1:mn>
          <ns1:mo>=</ns1:mo>
          <ns1:mn>10</ns1:mn>
        </ns1:mrow>
      </m:oMath>
      <w:r>
        <w:t>.</w:t>
      </w:r>
    </w:p>
    <w:p>
      <w:pPr>
        <w:pStyle w:val="ListBullet"/>
      </w:pPr>
      <w:r>
        <w:t xml:space="preserve">  </w:t>
      </w:r>
      <w:r>
        <w:rPr>
          <w:b/>
        </w:rPr>
        <w:t>Example:</w:t>
      </w:r>
      <w:r>
        <w:t xml:space="preserve"> The derivative of </w:t>
      </w:r>
      <m:oMath>
        <ns1:mrow xmlns:ns1="http://www.w3.org/1998/Math/MathML">
          <ns1:mi>f</ns1:mi>
          <ns1:mo stretchy="false">(</ns1:mo>
          <ns1:mi>x</ns1:mi>
          <ns1:mo stretchy="false">)</ns1:mo>
          <ns1:mo>=</ns1:mo>
          <ns1:msup>
            <ns1:mi>x</ns1:mi>
            <ns1:mn>2</ns1:mn>
          </ns1:msup>
        </ns1:mrow>
      </m:oMath>
      <w:r>
        <w:t xml:space="preserve"> is </w:t>
      </w:r>
      <m:oMath>
        <ns1:mrow xmlns:ns1="http://www.w3.org/1998/Math/MathML">
          <ns1:msup>
            <ns1:mi>f</ns1:mi>
            <ns1:mi>′</ns1:mi>
          </ns1:msup>
          <ns1:mo stretchy="false">(</ns1:mo>
          <ns1:mi>x</ns1:mi>
          <ns1:mo stretchy="false">)</ns1:mo>
          <ns1:mo>=</ns1:mo>
          <ns1:mn>2</ns1:mn>
          <ns1:mi>x</ns1:mi>
        </ns1:mrow>
      </m:oMath>
      <w:r>
        <w:t>.</w:t>
      </w:r>
    </w:p>
    <w:p>
      <w:pPr>
        <w:pStyle w:val="Heading3"/>
      </w:pPr>
      <w:r>
        <w:t>Display Equations</w:t>
      </w:r>
    </w:p>
    <w:p>
      <w:r/>
      <w:r>
        <w:rPr>
          <w:b/>
        </w:rPr>
        <w:t>Display equations</w:t>
      </w:r>
      <w:r>
        <w:t xml:space="preserve"> are used for larger, more complex, or standalone mathematical expressions. They are typically centered on their own line and enclosed within double dollar signs (`$$`). This format ensures better readability and highlights significant formulas.</w:t>
      </w:r>
    </w:p>
    <w:p>
      <w:pPr>
        <w:pStyle w:val="ListBullet"/>
      </w:pPr>
      <w:r>
        <w:t xml:space="preserve">  </w:t>
      </w:r>
      <w:r>
        <w:rPr>
          <w:b/>
        </w:rPr>
        <w:t>Example: Euler's Identity</w:t>
      </w:r>
      <w:r/>
    </w:p>
    <w:p>
      <w:r>
        <w:t>A profound relationship in mathematics is expressed as:</w:t>
      </w:r>
    </w:p>
    <w:p>
      <m:oMath>
        <ns1:mrow xmlns:ns1="http://www.w3.org/1998/Math/MathML">
          <ns1:msup>
            <ns1:mi>e</ns1:mi>
            <ns1:mrow>
              <ns1:mi>i</ns1:mi>
              <ns1:mi>π</ns1:mi>
            </ns1:mrow>
          </ns1:msup>
          <ns1:mo>+</ns1:mo>
          <ns1:mn>1</ns1:mn>
          <ns1:mo>=</ns1:mo>
          <ns1:mn>0</ns1:mn>
        </ns1:mrow>
      </m:oMath>
    </w:p>
    <w:p>
      <w:r>
        <w:t>This equation connects five fundamental mathematical constants.</w:t>
      </w:r>
    </w:p>
    <w:p>
      <w:pPr>
        <w:pStyle w:val="ListBullet"/>
      </w:pPr>
      <w:r>
        <w:t xml:space="preserve">  </w:t>
      </w:r>
      <w:r>
        <w:rPr>
          <w:b/>
        </w:rPr>
        <w:t>Example: The Pythagorean Theorem</w:t>
      </w:r>
      <w:r/>
    </w:p>
    <w:p>
      <w:r>
        <w:t xml:space="preserve">For a right-angled triangle with sides </w:t>
      </w:r>
      <m:oMath>
        <ns1:mrow xmlns:ns1="http://www.w3.org/1998/Math/MathML">
          <ns1:mi>a</ns1:mi>
        </ns1:mrow>
      </m:oMath>
      <w:r>
        <w:t xml:space="preserve">, </w:t>
      </w:r>
      <m:oMath>
        <ns1:mrow xmlns:ns1="http://www.w3.org/1998/Math/MathML">
          <ns1:mi>b</ns1:mi>
        </ns1:mrow>
      </m:oMath>
      <w:r>
        <w:t xml:space="preserve">, and hypotenuse </w:t>
      </w:r>
      <m:oMath>
        <ns1:mrow xmlns:ns1="http://www.w3.org/1998/Math/MathML">
          <ns1:mi>c</ns1:mi>
        </ns1:mrow>
      </m:oMath>
      <w:r>
        <w:t>:</w:t>
      </w:r>
    </w:p>
    <w:p>
      <m:oMath>
        <ns1:mrow xmlns:ns1="http://www.w3.org/1998/Math/MathML">
          <ns1:msup>
            <ns1:mi>a</ns1:mi>
            <ns1:mn>2</ns1:mn>
          </ns1:msup>
          <ns1:mo>+</ns1:mo>
          <ns1:msup>
            <ns1:mi>b</ns1:mi>
            <ns1:mn>2</ns1:mn>
          </ns1:msup>
          <ns1:mo>=</ns1:mo>
          <ns1:msup>
            <ns1:mi>c</ns1:mi>
            <ns1:mn>2</ns1:mn>
          </ns1:msup>
        </ns1:mrow>
      </m:oMath>
    </w:p>
    <w:p>
      <w:r>
        <w:t>This theorem is fundamental in geometry.</w:t>
      </w:r>
    </w:p>
    <w:p>
      <w:pPr>
        <w:pStyle w:val="Heading3"/>
      </w:pPr>
      <w:r>
        <w:t>Key Symbols and Operations</w:t>
      </w:r>
    </w:p>
    <w:p>
      <w:r>
        <w:t>LaTeX-style syntax offers extensive commands for various mathematical symbols and operations, ensuring precise representation.</w:t>
      </w:r>
    </w:p>
    <w:p>
      <w:pPr>
        <w:pStyle w:val="ListBullet"/>
      </w:pPr>
      <w:r>
        <w:t xml:space="preserve">  </w:t>
      </w:r>
      <w:r>
        <w:rPr>
          <w:b/>
        </w:rPr>
        <w:t>Fractions:</w:t>
      </w:r>
      <w:r>
        <w:t xml:space="preserve"> `\frac{numerator}{denominator}` renders as </w:t>
      </w:r>
      <m:oMath>
        <ns1:mrow xmlns:ns1="http://www.w3.org/1998/Math/MathML">
          <ns1:mfrac>
            <ns1:mrow>
              <ns1:mi>n</ns1:mi>
              <ns1:mi>u</ns1:mi>
              <ns1:mi>m</ns1:mi>
              <ns1:mi>e</ns1:mi>
              <ns1:mi>r</ns1:mi>
              <ns1:mi>a</ns1:mi>
              <ns1:mi>t</ns1:mi>
              <ns1:mi>o</ns1:mi>
              <ns1:mi>r</ns1:mi>
            </ns1:mrow>
            <ns1:mrow>
              <ns1:mi>d</ns1:mi>
              <ns1:mi>e</ns1:mi>
              <ns1:mi>n</ns1:mi>
              <ns1:mi>o</ns1:mi>
              <ns1:mi>m</ns1:mi>
              <ns1:mi>i</ns1:mi>
              <ns1:mi>n</ns1:mi>
              <ns1:mi>a</ns1:mi>
              <ns1:mi>t</ns1:mi>
              <ns1:mi>o</ns1:mi>
              <ns1:mi>r</ns1:mi>
            </ns1:mrow>
          </ns1:mfrac>
        </ns1:mrow>
      </m:oMath>
      <w:r>
        <w:t>.</w:t>
      </w:r>
    </w:p>
    <w:p>
      <w:pPr>
        <w:pStyle w:val="ListBullet"/>
      </w:pPr>
      <w:r>
        <w:t xml:space="preserve">  </w:t>
      </w:r>
      <w:r>
        <w:rPr>
          <w:b/>
        </w:rPr>
        <w:t>Roots:</w:t>
      </w:r>
      <w:r>
        <w:t xml:space="preserve"> `\sqrt{x}` for </w:t>
      </w:r>
      <m:oMath>
        <ns1:mrow xmlns:ns1="http://www.w3.org/1998/Math/MathML">
          <ns1:msqrt>
            <ns1:mrow>
              <ns1:mi>x</ns1:mi>
            </ns1:mrow>
          </ns1:msqrt>
        </ns1:mrow>
      </m:oMath>
      <w:r>
        <w:t xml:space="preserve">, `\sqrt[n]{x}` for </w:t>
      </w:r>
      <m:oMath>
        <ns1:mrow xmlns:ns1="http://www.w3.org/1998/Math/MathML">
          <ns1:mroot>
            <ns1:mrow>
              <ns1:mi>x</ns1:mi>
            </ns1:mrow>
            <ns1:mi>n</ns1:mi>
          </ns1:mroot>
        </ns1:mrow>
      </m:oMath>
      <w:r>
        <w:t>.</w:t>
      </w:r>
    </w:p>
    <w:p>
      <w:pPr>
        <w:pStyle w:val="ListBullet"/>
      </w:pPr>
      <w:r>
        <w:t xml:space="preserve">  </w:t>
      </w:r>
      <w:r>
        <w:rPr>
          <w:b/>
        </w:rPr>
        <w:t>Summation:</w:t>
      </w:r>
      <w:r>
        <w:t xml:space="preserve"> `\sum_{i=1}^{n} i` renders as </w:t>
      </w:r>
      <m:oMath>
        <ns1:mrow xmlns:ns1="http://www.w3.org/1998/Math/MathML">
          <ns1:msubsup>
            <ns1:mo>∑</ns1:mo>
            <ns1:mrow>
              <ns1:mi>i</ns1:mi>
              <ns1:mo>=</ns1:mo>
              <ns1:mn>1</ns1:mn>
            </ns1:mrow>
            <ns1:mrow>
              <ns1:mi>n</ns1:mi>
            </ns1:mrow>
          </ns1:msubsup>
          <ns1:mi>i</ns1:mi>
        </ns1:mrow>
      </m:oMath>
      <w:r>
        <w:t>.</w:t>
      </w:r>
    </w:p>
    <w:p>
      <w:pPr>
        <w:pStyle w:val="ListBullet"/>
      </w:pPr>
      <w:r>
        <w:t xml:space="preserve">  </w:t>
      </w:r>
      <w:r>
        <w:rPr>
          <w:b/>
        </w:rPr>
        <w:t>Integrals:</w:t>
      </w:r>
      <w:r>
        <w:t xml:space="preserve"> `\int_{a}^{b} f(x) \, dx` renders as </w:t>
      </w:r>
      <m:oMath>
        <ns1:mrow xmlns:ns1="http://www.w3.org/1998/Math/MathML">
          <ns1:msubsup>
            <ns1:mo>∫</ns1:mo>
            <ns1:mrow>
              <ns1:mi>a</ns1:mi>
            </ns1:mrow>
            <ns1:mrow>
              <ns1:mi>b</ns1:mi>
            </ns1:mrow>
          </ns1:msubsup>
          <ns1:mi>f</ns1:mi>
          <ns1:mo stretchy="false">(</ns1:mo>
          <ns1:mi>x</ns1:mi>
          <ns1:mo stretchy="false">)</ns1:mo>
          <ns1:mspace width="0.167em"/>
          <ns1:mi>d</ns1:mi>
          <ns1:mi>x</ns1:mi>
        </ns1:mrow>
      </m:oMath>
      <w:r>
        <w:t>.</w:t>
      </w:r>
    </w:p>
    <w:p>
      <w:pPr>
        <w:pStyle w:val="ListBullet"/>
      </w:pPr>
      <w:r>
        <w:t xml:space="preserve">  </w:t>
      </w:r>
      <w:r>
        <w:rPr>
          <w:b/>
        </w:rPr>
        <w:t>Greek Letters:</w:t>
      </w:r>
      <w:r>
        <w:t xml:space="preserve"> `\alpha`, `\beta`, `\Gamma` produce </w:t>
      </w:r>
      <m:oMath>
        <ns1:mrow xmlns:ns1="http://www.w3.org/1998/Math/MathML">
          <ns1:mi>α</ns1:mi>
          <ns1:mo>,</ns1:mo>
          <ns1:mi>β</ns1:mi>
          <ns1:mo>,</ns1:mo>
          <ns1:mi>Γ</ns1:mi>
        </ns1:mrow>
      </m:oMath>
      <w:r>
        <w:t>.</w:t>
      </w:r>
    </w:p>
    <w:p>
      <w:pPr>
        <w:pStyle w:val="ListBullet"/>
      </w:pPr>
      <w:r>
        <w:t xml:space="preserve">  </w:t>
      </w:r>
      <w:r>
        <w:rPr>
          <w:b/>
        </w:rPr>
        <w:t>Subscripts/Superscripts:</w:t>
      </w:r>
      <w:r>
        <w:t xml:space="preserve"> `x_i^2` produces </w:t>
      </w:r>
      <m:oMath>
        <ns1:mrow xmlns:ns1="http://www.w3.org/1998/Math/MathML">
          <ns1:msubsup>
            <ns1:mi>x</ns1:mi>
            <ns1:mi>i</ns1:mi>
            <ns1:mn>2</ns1:mn>
          </ns1:msubsup>
        </ns1:mrow>
      </m:oMath>
      <w:r>
        <w:t>.</w:t>
      </w:r>
    </w:p>
    <w:p>
      <w:pPr>
        <w:pStyle w:val="ListBullet"/>
      </w:pPr>
      <w:r>
        <w:t xml:space="preserve">  </w:t>
      </w:r>
      <w:r>
        <w:rPr>
          <w:b/>
        </w:rPr>
        <w:t>Vectors:</w:t>
      </w:r>
      <w:r>
        <w:t xml:space="preserve"> `\vec{v}` produces </w:t>
      </w:r>
      <m:oMath>
        <ns1:mrow xmlns:ns1="http://www.w3.org/1998/Math/MathML">
          <ns1:mover>
            <ns1:mrow>
              <ns1:mi>v</ns1:mi>
            </ns1:mrow>
            <ns1:mo stretchy="true">→</ns1:mo>
          </ns1:mover>
        </ns1:mrow>
      </m:oMath>
      <w:r>
        <w:t>.</w:t>
      </w:r>
    </w:p>
    <w:p>
      <w:pPr>
        <w:pStyle w:val="ListBullet"/>
      </w:pPr>
      <w:r>
        <w:t xml:space="preserve">  </w:t>
      </w:r>
      <w:r>
        <w:rPr>
          <w:b/>
        </w:rPr>
        <w:t>Matrices:</w:t>
      </w:r>
      <w:r>
        <w:t xml:space="preserve"> Can be constructed using environments like `\begin{pmatrix} ... \end{pmatrix}`.</w:t>
      </w:r>
    </w:p>
    <w:p>
      <w:pPr>
        <w:pStyle w:val="Heading2"/>
      </w:pPr>
      <w:r>
        <w:t>Applications</w:t>
      </w:r>
    </w:p>
    <w:p>
      <w:r>
        <w:t>The ability to accurately represent mathematical equations is critical across numerous domains:</w:t>
      </w:r>
    </w:p>
    <w:p>
      <w:pPr>
        <w:pStyle w:val="ListBullet"/>
      </w:pPr>
      <w:r>
        <w:t xml:space="preserve">  </w:t>
      </w:r>
      <w:r>
        <w:rPr>
          <w:b/>
        </w:rPr>
        <w:t>Academic Research:</w:t>
      </w:r>
      <w:r>
        <w:t xml:space="preserve"> Publishing papers, theses, and dissertations in fields like physics, engineering, mathematics, and computer science.</w:t>
      </w:r>
    </w:p>
    <w:p>
      <w:pPr>
        <w:pStyle w:val="ListBullet"/>
      </w:pPr>
      <w:r>
        <w:t xml:space="preserve">  </w:t>
      </w:r>
      <w:r>
        <w:rPr>
          <w:b/>
        </w:rPr>
        <w:t>Technical Documentation:</w:t>
      </w:r>
      <w:r>
        <w:t xml:space="preserve"> Creating manuals, specifications, and reports for software, hardware, and scientific instruments.</w:t>
      </w:r>
    </w:p>
    <w:p>
      <w:pPr>
        <w:pStyle w:val="ListBullet"/>
      </w:pPr>
      <w:r>
        <w:t xml:space="preserve">  </w:t>
      </w:r>
      <w:r>
        <w:rPr>
          <w:b/>
        </w:rPr>
        <w:t>Educational Materials:</w:t>
      </w:r>
      <w:r>
        <w:t xml:space="preserve"> Developing textbooks, online courses, and problem sets for students at all levels.</w:t>
      </w:r>
    </w:p>
    <w:p>
      <w:pPr>
        <w:pStyle w:val="ListBullet"/>
      </w:pPr>
      <w:r>
        <w:t xml:space="preserve">  </w:t>
      </w:r>
      <w:r>
        <w:rPr>
          <w:b/>
        </w:rPr>
        <w:t>Data Science and Machine Learning:</w:t>
      </w:r>
      <w:r>
        <w:t xml:space="preserve"> Explaining algorithms, models, and statistical methodologies.</w:t>
      </w:r>
    </w:p>
    <w:p>
      <w:pPr>
        <w:pStyle w:val="Heading2"/>
      </w:pPr>
      <w:r>
        <w:t>Advantages</w:t>
      </w:r>
    </w:p>
    <w:p>
      <w:r>
        <w:t>Utilizing LaTeX-style syntax for mathematical equations offers several significant advantages:</w:t>
      </w:r>
    </w:p>
    <w:p>
      <w:pPr>
        <w:pStyle w:val="ListNumber"/>
      </w:pPr>
      <w:r/>
      <w:r>
        <w:rPr>
          <w:b/>
        </w:rPr>
        <w:t>Professional Appearance:</w:t>
      </w:r>
      <w:r>
        <w:t xml:space="preserve"> Equations are typeset with high aesthetic quality, matching professional publications.</w:t>
      </w:r>
    </w:p>
    <w:p>
      <w:pPr>
        <w:pStyle w:val="ListNumber"/>
      </w:pPr>
      <w:r/>
      <w:r>
        <w:rPr>
          <w:b/>
        </w:rPr>
        <w:t>Precision and Clarity:</w:t>
      </w:r>
      <w:r>
        <w:t xml:space="preserve"> Complex formulas are rendered unambiguously, reducing misinterpretation.</w:t>
      </w:r>
    </w:p>
    <w:p>
      <w:pPr>
        <w:pStyle w:val="ListNumber"/>
      </w:pPr>
      <w:r/>
      <w:r>
        <w:rPr>
          <w:b/>
        </w:rPr>
        <w:t>Standardization:</w:t>
      </w:r>
      <w:r>
        <w:t xml:space="preserve"> LaTeX is a widely recognized and adopted standard, ensuring consistency across different platforms and documents.</w:t>
      </w:r>
    </w:p>
    <w:p>
      <w:pPr>
        <w:pStyle w:val="ListNumber"/>
      </w:pPr>
      <w:r/>
      <w:r>
        <w:rPr>
          <w:b/>
        </w:rPr>
        <w:t>Scalability:</w:t>
      </w:r>
      <w:r>
        <w:t xml:space="preserve"> Equations scale well without loss of quality, whether printed or displayed on high-resolution screens.</w:t>
      </w:r>
    </w:p>
    <w:p>
      <w:pPr>
        <w:pStyle w:val="ListNumber"/>
      </w:pPr>
      <w:r/>
      <w:r>
        <w:rPr>
          <w:b/>
        </w:rPr>
        <w:t>Accessibility:</w:t>
      </w:r>
      <w:r>
        <w:t xml:space="preserve"> Modern rendering libraries often include features for improved accessibility of mathematical content.</w:t>
      </w:r>
    </w:p>
    <w:p>
      <w:pPr>
        <w:pStyle w:val="Heading2"/>
      </w:pPr>
      <w:r>
        <w:t>Challenges</w:t>
      </w:r>
    </w:p>
    <w:p>
      <w:r>
        <w:t>Despite its benefits, working with mathematical notation can present certain challenges:</w:t>
      </w:r>
    </w:p>
    <w:p>
      <w:pPr>
        <w:pStyle w:val="ListBullet"/>
      </w:pPr>
      <w:r>
        <w:t xml:space="preserve">  </w:t>
      </w:r>
      <w:r>
        <w:rPr>
          <w:b/>
        </w:rPr>
        <w:t>Learning Curve:</w:t>
      </w:r>
      <w:r>
        <w:t xml:space="preserve"> Mastering LaTeX syntax requires an initial investment of time and practice, especially for complex expressions.</w:t>
      </w:r>
    </w:p>
    <w:p>
      <w:pPr>
        <w:pStyle w:val="ListBullet"/>
      </w:pPr>
      <w:r>
        <w:t xml:space="preserve">  </w:t>
      </w:r>
      <w:r>
        <w:rPr>
          <w:b/>
        </w:rPr>
        <w:t>Rendering Environment Dependencies:</w:t>
      </w:r>
      <w:r>
        <w:t xml:space="preserve"> Proper display relies on the document viewer or platform supporting MathJax, KaTeX, or similar rendering engines.</w:t>
      </w:r>
    </w:p>
    <w:p>
      <w:pPr>
        <w:pStyle w:val="ListBullet"/>
      </w:pPr>
      <w:r>
        <w:t xml:space="preserve">  </w:t>
      </w:r>
      <w:r>
        <w:rPr>
          <w:b/>
        </w:rPr>
        <w:t>Debugging Syntax Errors:</w:t>
      </w:r>
      <w:r>
        <w:t xml:space="preserve"> Incorrect syntax can lead to rendering failures, requiring careful debugging.</w:t>
      </w:r>
    </w:p>
    <w:p>
      <w:pPr>
        <w:pStyle w:val="ListBullet"/>
      </w:pPr>
      <w:r>
        <w:t xml:space="preserve">  </w:t>
      </w:r>
      <w:r>
        <w:rPr>
          <w:b/>
        </w:rPr>
        <w:t>Compatibility Issues:</w:t>
      </w:r>
      <w:r>
        <w:t xml:space="preserve"> While widely supported, minor rendering differences can occur across various platforms or software versions.</w:t>
      </w:r>
    </w:p>
    <w:p>
      <w:pPr>
        <w:pStyle w:val="Heading2"/>
      </w:pPr>
      <w:r>
        <w:t>Future Scope</w:t>
      </w:r>
    </w:p>
    <w:p>
      <w:r>
        <w:t>The future of mathematical equation representation in documents is poised for exciting advancements:</w:t>
      </w:r>
    </w:p>
    <w:p>
      <w:pPr>
        <w:pStyle w:val="ListBullet"/>
      </w:pPr>
      <w:r>
        <w:t xml:space="preserve">  </w:t>
      </w:r>
      <w:r>
        <w:rPr>
          <w:b/>
        </w:rPr>
        <w:t>Enhanced AI Integration:</w:t>
      </w:r>
      <w:r>
        <w:t xml:space="preserve"> AI tools could assist in generating LaTeX code from natural language descriptions or even handwritten input, simplifying the creation process.</w:t>
      </w:r>
    </w:p>
    <w:p>
      <w:pPr>
        <w:pStyle w:val="ListBullet"/>
      </w:pPr>
      <w:r>
        <w:t xml:space="preserve">  </w:t>
      </w:r>
      <w:r>
        <w:rPr>
          <w:b/>
        </w:rPr>
        <w:t>Improved Interactive Rendering:</w:t>
      </w:r>
      <w:r>
        <w:t xml:space="preserve"> More dynamic and interactive equation rendering, allowing users to manipulate variables or visualize concepts directly within the document.</w:t>
      </w:r>
    </w:p>
    <w:p>
      <w:pPr>
        <w:pStyle w:val="ListBullet"/>
      </w:pPr>
      <w:r>
        <w:t xml:space="preserve">  </w:t>
      </w:r>
      <w:r>
        <w:rPr>
          <w:b/>
        </w:rPr>
        <w:t>Seamless Cross-Platform Compatibility:</w:t>
      </w:r>
      <w:r>
        <w:t xml:space="preserve"> Further efforts to ensure uniform rendering across all devices and document formats without needing specialized software.</w:t>
      </w:r>
    </w:p>
    <w:p>
      <w:pPr>
        <w:pStyle w:val="ListBullet"/>
      </w:pPr>
      <w:r>
        <w:t xml:space="preserve">  </w:t>
      </w:r>
      <w:r>
        <w:rPr>
          <w:b/>
        </w:rPr>
        <w:t>Advanced Accessibility Features:</w:t>
      </w:r>
      <w:r>
        <w:t xml:space="preserve"> Continued development of tools that make complex mathematical content more accessible to individuals with disabilities, beyond basic screen reader support.</w:t>
      </w:r>
    </w:p>
    <w:p>
      <w:pPr>
        <w:pStyle w:val="ListBullet"/>
      </w:pPr>
      <w:r>
        <w:t xml:space="preserve">  </w:t>
      </w:r>
      <w:r>
        <w:rPr>
          <w:b/>
        </w:rPr>
        <w:t>Intuitive Input Methods:</w:t>
      </w:r>
      <w:r>
        <w:t xml:space="preserve"> Development of more user-friendly graphical interfaces or gesture-based input systems to reduce the reliance on pure text-based LaTeX commands.</w:t>
      </w:r>
    </w:p>
    <w:p>
      <w:pPr>
        <w:pStyle w:val="Heading2"/>
      </w:pPr>
      <w:r>
        <w:t>Conclusion</w:t>
      </w:r>
    </w:p>
    <w:p>
      <w:r>
        <w:t xml:space="preserve">The ability to accurately and elegantly represent mathematical equations is a </w:t>
      </w:r>
      <w:r>
        <w:rPr>
          <w:b/>
        </w:rPr>
        <w:t>fundamental skill</w:t>
      </w:r>
      <w:r>
        <w:t xml:space="preserve"> for anyone involved in technical communication. LaTeX-style syntax, rendered through modern web technologies, provides a robust and widely accepted method for achieving this. While there is a learning curve, the </w:t>
      </w:r>
      <w:r>
        <w:rPr>
          <w:b/>
        </w:rPr>
        <w:t>benefits in clarity, professionalism, and standardization</w:t>
      </w:r>
      <w:r>
        <w:t xml:space="preserve"> are undeniable. By understanding and applying these concepts, authors can significantly enhance the quality and impact of their technical documents. Continuous practice and exploration of available resources will solidify this valuable skill.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