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087"/>
          <w:sz w:val="28"/>
        </w:rPr>
        <w:t>UNIVERSITAS TERBUKA</w:t>
        <w:br/>
        <w:t>S1 ILMU HUKUM</w:t>
      </w:r>
    </w:p>
    <w:p/>
    <w:p>
      <w:pPr>
        <w:jc w:val="center"/>
      </w:pPr>
      <w:r>
        <w:rPr>
          <w:b/>
          <w:sz w:val="26"/>
        </w:rPr>
        <w:t>KUMPULAN JAWABAN DISKUSI 8 — SEMUA MATA KULIAH</w:t>
      </w:r>
    </w:p>
    <w:p/>
    <w:tbl>
      <w:tblPr>
        <w:tblStyle w:val="TableGrid"/>
        <w:tblW w:type="auto" w:w="0"/>
        <w:tblLook w:firstColumn="1" w:firstRow="1" w:lastColumn="0" w:lastRow="0" w:noHBand="0" w:noVBand="1" w:val="04A0"/>
      </w:tblPr>
      <w:tblGrid>
        <w:gridCol w:w="4561"/>
        <w:gridCol w:w="4561"/>
      </w:tblGrid>
      <w:tr>
        <w:tc>
          <w:tcPr>
            <w:tcW w:type="dxa" w:w="4561"/>
          </w:tcPr>
          <w:p>
            <w:r>
              <w:rPr>
                <w:b/>
              </w:rPr>
              <w:t>Nama Lengkap</w:t>
            </w:r>
          </w:p>
        </w:tc>
        <w:tc>
          <w:tcPr>
            <w:tcW w:type="dxa" w:w="4561"/>
          </w:tcPr>
          <w:p>
            <w:r>
              <w:t>[NAMA LENGKAP]</w:t>
            </w:r>
          </w:p>
        </w:tc>
      </w:tr>
      <w:tr>
        <w:tc>
          <w:tcPr>
            <w:tcW w:type="dxa" w:w="4561"/>
          </w:tcPr>
          <w:p>
            <w:r>
              <w:rPr>
                <w:b/>
              </w:rPr>
              <w:t>NIM</w:t>
            </w:r>
          </w:p>
        </w:tc>
        <w:tc>
          <w:tcPr>
            <w:tcW w:type="dxa" w:w="4561"/>
          </w:tcPr>
          <w:p>
            <w:r>
              <w:t>[NIM]</w:t>
            </w:r>
          </w:p>
        </w:tc>
      </w:tr>
      <w:tr>
        <w:tc>
          <w:tcPr>
            <w:tcW w:type="dxa" w:w="4561"/>
          </w:tcPr>
          <w:p>
            <w:r>
              <w:rPr>
                <w:b/>
              </w:rPr>
              <w:t>Program Studi</w:t>
            </w:r>
          </w:p>
        </w:tc>
        <w:tc>
          <w:tcPr>
            <w:tcW w:type="dxa" w:w="4561"/>
          </w:tcPr>
          <w:p>
            <w:r>
              <w:t>S1 Ilmu Hukum</w:t>
            </w:r>
          </w:p>
        </w:tc>
      </w:tr>
      <w:tr>
        <w:tc>
          <w:tcPr>
            <w:tcW w:type="dxa" w:w="4561"/>
          </w:tcPr>
          <w:p>
            <w:r>
              <w:rPr>
                <w:b/>
              </w:rPr>
              <w:t>Semester</w:t>
            </w:r>
          </w:p>
        </w:tc>
        <w:tc>
          <w:tcPr>
            <w:tcW w:type="dxa" w:w="4561"/>
          </w:tcPr>
          <w:p>
            <w:r>
              <w:t>1 / 2</w:t>
            </w:r>
          </w:p>
        </w:tc>
      </w:tr>
    </w:tbl>
    <w:p>
      <w:r>
        <w:br w:type="page"/>
      </w:r>
    </w:p>
    <w:tbl>
      <w:tblPr>
        <w:tblStyle w:val="TableGrid"/>
        <w:tblW w:type="auto" w:w="0"/>
        <w:tblLook w:firstColumn="1" w:firstRow="1" w:lastColumn="0" w:lastRow="0" w:noHBand="0" w:noVBand="1" w:val="04A0"/>
      </w:tblPr>
      <w:tblGrid>
        <w:gridCol w:w="9122"/>
      </w:tblGrid>
      <w:tr>
        <w:tc>
          <w:tcPr>
            <w:tcW w:type="dxa" w:w="9122"/>
            <w:shd w:val="clear" w:color="auto" w:fill="003087"/>
          </w:tcPr>
          <w:p/>
          <w:p>
            <w:pPr>
              <w:spacing w:before="80" w:after="80"/>
            </w:pPr>
            <w:r>
              <w:rPr>
                <w:b/>
                <w:color w:val="FFFFFF"/>
                <w:sz w:val="24"/>
              </w:rPr>
              <w:t>Bahasa Indonesia (MKWU4108) — Diskusi 8</w:t>
            </w:r>
          </w:p>
        </w:tc>
      </w:tr>
    </w:tbl>
    <w:p/>
    <w:p>
      <w:pPr>
        <w:spacing w:after="120"/>
        <w:ind w:firstLine="567"/>
      </w:pPr>
      <w:r>
        <w:rPr>
          <w:sz w:val="22"/>
        </w:rPr>
        <w:t>Assalamualaikum Wr. Wb. / Salam sejahtera untuk rekan-rekan dan Bapak/Ibu Tutor,</w:t>
      </w:r>
    </w:p>
    <w:p>
      <w:pPr>
        <w:spacing w:after="120"/>
        <w:ind w:firstLine="567"/>
      </w:pPr>
      <w:r>
        <w:rPr>
          <w:sz w:val="22"/>
        </w:rPr>
        <w:t>Berdasarkan pengamatan saya terhadap fenomena yang terjadi di sekitar, berikut saya paparkan rancangan artikel ilmiah yang akan saya susun.</w:t>
      </w:r>
    </w:p>
    <w:p>
      <w:pPr>
        <w:spacing w:after="120"/>
        <w:ind w:firstLine="567"/>
      </w:pPr>
      <w:r>
        <w:rPr>
          <w:sz w:val="22"/>
        </w:rPr>
        <w:t>Judul yang saya ajukan adalah "Pengaruh Penggunaan Media Sosial terhadap Kesadaran Hukum Masyarakat Urban Indonesia di Era Digital". Judul ini terdiri dari 16 kata sehingga masih dalam batas maksimal 20 kata yang ditentukan. Alasan saya memilih topik ini karena dalam kehidupan sehari-hari saya mengamati bahwa banyak masyarakat, terutama generasi muda di perkotaan, justru mendapatkan informasi hukum pertama kali dari konten media sosial seperti TikTok, Instagram, dan YouTube, bukan dari penyuluhan hukum formal.</w:t>
      </w:r>
    </w:p>
    <w:p>
      <w:pPr>
        <w:spacing w:after="120"/>
        <w:ind w:firstLine="567"/>
      </w:pPr>
      <w:r>
        <w:rPr>
          <w:sz w:val="22"/>
        </w:rPr>
        <w:t>Dari topik tersebut, saya merumuskan tiga pertanyaan penelitian. Pertama, seberapa besar pengaruh konsumsi konten hukum di media sosial terhadap tingkat kesadaran hukum masyarakat urban? Kedua, faktor-faktor apa yang memengaruhi efektivitas penyebaran informasi hukum melalui media sosial? Ketiga, platform media sosial manakah yang paling efektif sebagai medium penyuluhan hukum informal?</w:t>
      </w:r>
    </w:p>
    <w:p>
      <w:pPr>
        <w:spacing w:after="120"/>
        <w:ind w:firstLine="567"/>
      </w:pPr>
      <w:r>
        <w:rPr>
          <w:sz w:val="22"/>
        </w:rPr>
        <w:t>Teori yang mendasari penelitian ini adalah Teori Kesadaran Hukum dari Lawrence M. Friedman (1975), yang menyatakan bahwa hukum berfungsi optimal apabila masyarakat mengetahui, memahami, menyikapi, dan mematuhi norma hukum yang berlaku. Selain itu, saya juga menggunakan Teori Difusi Inovasi dari Everett M. Rogers (2003), yang menjelaskan bagaimana informasi menyebar melalui saluran komunikasi modern kepada khalayak yang lebih luas, serta Teori Uses and Gratifications dari Katz, Blumler, dan Gurevitch (1974), yang menggambarkan bahwa individu secara aktif memilih media berdasarkan kebutuhan kognitif dan sosialnya.</w:t>
      </w:r>
    </w:p>
    <w:p>
      <w:pPr>
        <w:spacing w:after="120"/>
        <w:ind w:firstLine="567"/>
      </w:pPr>
      <w:r>
        <w:rPr>
          <w:sz w:val="22"/>
        </w:rPr>
        <w:t>Adapun rancangan hasil penelitian yang saya bayangkan adalah sebagai berikut. Penelitian ini akan menggunakan pendekatan mixed methods. Secara kuantitatif, survei daring akan dilakukan kepada 150 responden masyarakat urban berusia 18 hingga 40 tahun untuk mengukur tingkat kesadaran hukum sebelum dan sesudah konsumsi konten hukum di media sosial selama 30 hari. Secara kualitatif, wawancara mendalam akan dilakukan terhadap 10 informan terpilih serta tiga kreator konten hukum dengan jumlah pengikut di atas 50.000. Hasil yang diharapkan mencakup pemetaan pola konsumsi konten hukum masyarakat urban, pengukuran derajat pengaruh media sosial terhadap pemahaman hak dan kewajiban warga negara, identifikasi faktor pendorong dan penghambat penyerapan informasi hukum secara daring, serta rekomendasi bagi pemerintah dan lembaga bantuan hukum dalam mengoptimalkan media sosial sebagai kanal penyuluhan yang inklusif dan efisien. Data kuantitatif akan dianalisis menggunakan uji regresi linear sederhana, sedangkan data kualitatif dianalisis secara tematik.</w:t>
      </w:r>
    </w:p>
    <w:p>
      <w:pPr>
        <w:spacing w:after="120"/>
      </w:pPr>
      <w:r>
        <w:rPr>
          <w:i/>
          <w:sz w:val="19"/>
        </w:rPr>
        <w:t>Referensi:</w:t>
        <w:br/>
        <w:t>Friedman, L. M. (1975). The Legal System: A Social Science Perspective. Russell Sage Foundation.</w:t>
        <w:br/>
        <w:t>Rogers, E. M. (2003). Diffusion of Innovations (5th ed.). Free Press.</w:t>
        <w:br/>
        <w:t>Katz, E., Blumler, J. G., dan Gurevitch, M. (1974). Utilization of mass communication by the individual. The Uses of Mass Communications, 19-32.</w:t>
      </w:r>
    </w:p>
    <w:p>
      <w:pPr>
        <w:spacing w:after="120"/>
        <w:ind w:firstLine="567"/>
      </w:pPr>
      <w:r>
        <w:rPr>
          <w:sz w:val="22"/>
        </w:rPr>
        <w:t>Demikian rancangan yang dapat saya sampaikan. Saya sangat terbuka terhadap masukan dari Tutor dan rekan-rekan. Terima kasih.</w:t>
      </w:r>
    </w:p>
    <w:p>
      <w:r>
        <w:br w:type="page"/>
      </w:r>
    </w:p>
    <w:tbl>
      <w:tblPr>
        <w:tblStyle w:val="TableGrid"/>
        <w:tblW w:type="auto" w:w="0"/>
        <w:tblLook w:firstColumn="1" w:firstRow="1" w:lastColumn="0" w:lastRow="0" w:noHBand="0" w:noVBand="1" w:val="04A0"/>
      </w:tblPr>
      <w:tblGrid>
        <w:gridCol w:w="9122"/>
      </w:tblGrid>
      <w:tr>
        <w:tc>
          <w:tcPr>
            <w:tcW w:type="dxa" w:w="9122"/>
            <w:shd w:val="clear" w:color="auto" w:fill="003087"/>
          </w:tcPr>
          <w:p/>
          <w:p>
            <w:pPr>
              <w:spacing w:before="80" w:after="80"/>
            </w:pPr>
            <w:r>
              <w:rPr>
                <w:b/>
                <w:color w:val="FFFFFF"/>
                <w:sz w:val="24"/>
              </w:rPr>
              <w:t>Hukum Administrasi Negara (HKUM4407) — Diskusi 8</w:t>
            </w:r>
          </w:p>
        </w:tc>
      </w:tr>
    </w:tbl>
    <w:p/>
    <w:p>
      <w:pPr>
        <w:spacing w:after="120"/>
        <w:ind w:firstLine="567"/>
      </w:pPr>
      <w:r>
        <w:rPr>
          <w:sz w:val="22"/>
        </w:rPr>
        <w:t>Assalamualaikum Wr. Wb. / Salam sejahtera,</w:t>
      </w:r>
    </w:p>
    <w:p>
      <w:pPr>
        <w:spacing w:after="120"/>
        <w:ind w:firstLine="567"/>
      </w:pPr>
      <w:r>
        <w:rPr>
          <w:sz w:val="22"/>
        </w:rPr>
        <w:t>Berikut saya uraikan analisis terhadap Program "Pulih-Mandiri-Aman" yang dijalankan Dinas Sosial kabupaten berdasarkan kerangka Hukum Administrasi Negara.</w:t>
      </w:r>
    </w:p>
    <w:p>
      <w:pPr>
        <w:spacing w:after="120"/>
        <w:ind w:firstLine="567"/>
      </w:pPr>
      <w:r>
        <w:rPr>
          <w:sz w:val="22"/>
        </w:rPr>
        <w:t>Pertama, mengenai pengertian penyelenggaraan kesejahteraan sosial dan unsur-unsurnya. Berdasarkan Pasal 1 angka 1 Undang-Undang Nomor 11 Tahun 2009 tentang Kesejahteraan Sosial, penyelenggaraan kesejahteraan sosial adalah upaya yang terarah, terpadu, dan berkelanjutan yang dilakukan pemerintah, pemerintah daerah, dan masyarakat dalam bentuk pelayanan sosial guna memenuhi kebutuhan dasar setiap warga negara, sehingga ia dapat hidup secara layak dan mampu mengembangkan diri. Dari ketentuan tersebut dapat dipetakan unsur-unsurnya, yaitu subjek yang dilayani berupa Penyandang Masalah Kesejahteraan Sosial (PMKS) seperti keluarga miskin, lansia terlantar, dan penyandang disabilitas; penyelenggara yang terdiri dari pemerintah pusat, pemerintah daerah, masyarakat, dan dunia usaha; bentuk layanan yang mencakup rehabilitasi sosial, jaminan sosial, pemberdayaan sosial, dan perlindungan sosial; serta tujuan akhir berupa terpenuhinya kebutuhan material, spiritual, dan sosial agar warga hidup layak dan mandiri.</w:t>
      </w:r>
    </w:p>
    <w:p>
      <w:pPr>
        <w:spacing w:after="120"/>
        <w:ind w:firstLine="567"/>
      </w:pPr>
      <w:r>
        <w:rPr>
          <w:sz w:val="22"/>
        </w:rPr>
        <w:t>Kedua, mengenai makna masing-masing bentuk layanan. Rehabilitasi sosial, sebagaimana diatur dalam Pasal 7 UU 11/2009, adalah upaya untuk memulihkan dan mengembangkan kemampuan seseorang yang mengalami disfungsi sosial agar dapat kembali melaksanakan fungsi sosialnya secara wajar, misalnya melalui konseling, pengasuhan sementara, dan bimbingan sosial. Jaminan sosial sebagaimana diatur dalam Undang-Undang Nomor 40 Tahun 2004 tentang Sistem Jaminan Sosial Nasional adalah mekanisme perlindungan dari risiko sosial-ekonomi seperti sakit dan kemiskinan, yang diwujudkan antara lain melalui skema Penerima Bantuan Iuran Jaminan Kesehatan Nasional (PBI-JKN). Pemberdayaan sosial sebagaimana diatur dalam Pasal 12 UU 11/2009 adalah upaya menguatkan kapasitas individu dan komunitas agar mandiri secara ekonomi dan sosial, misalnya melalui pelatihan keterampilan dan akses permodalan usaha.</w:t>
      </w:r>
    </w:p>
    <w:p>
      <w:pPr>
        <w:spacing w:after="120"/>
        <w:ind w:firstLine="567"/>
      </w:pPr>
      <w:r>
        <w:rPr>
          <w:sz w:val="22"/>
        </w:rPr>
        <w:t>Ketiga, mengenai klasifikasi setiap komponen program. Komponen layanan konseling, pengasuhan sementara, dan rujukan ke panti atau layanan sosial termasuk dalam kategori rehabilitasi sosial, karena bertujuan memulihkan fungsi sosial klien yang mengalami disfungsi, sebagaimana dimaksud Pasal 7 UU 11/2009. Komponen pendaftaran jaminan kesehatan bagi warga miskin (PBI) termasuk dalam kategori jaminan sosial, karena memberikan perlindungan risiko kesehatan kepada warga tidak mampu melalui skema yang diatur dalam UU 40/2004 dan UU Nomor 24 Tahun 2011 tentang BPJS. Komponen pelatihan keterampilan dan bantuan modal usaha kecil termasuk dalam pemberdayaan sosial, karena secara langsung meningkatkan kapasitas ekonomi klien agar mampu mandiri sesuai Pasal 12 UU 11/2009. Komponen bantuan darurat bagi korban kebakaran dan pendampingan akses bantuan hukum termasuk dalam perlindungan sosial, karena memberikan perlindungan dari kondisi kerentanan dan memastikan akses keadilan bagi mereka yang hak-haknya dilanggar, sebagaimana dimaksud Pasal 14 UU 11/2009. Komponen peningkatan akses terhadap pekerjaan, kesehatan dasar, pendidikan dasar, perumahan, dan pemasaran usaha juga termasuk dalam pemberdayaan sosial, karena memperluas akses kelompok miskin terhadap sumber daya dan layanan dasar sebagaimana diatur Pasal 12-13 UU 11/2009.</w:t>
      </w:r>
    </w:p>
    <w:p>
      <w:pPr>
        <w:spacing w:after="120"/>
        <w:ind w:firstLine="567"/>
      </w:pPr>
      <w:r>
        <w:rPr>
          <w:sz w:val="22"/>
        </w:rPr>
        <w:t>Keempat, mengenai penyelenggaraan penanggulangan kemiskinan. Penanganan fakir miskin diatur dalam Undang-Undang Nomor 13 Tahun 2011 tentang Penanganan Fakir Miskin. Tujuannya adalah mempercepat pengurangan kemiskinan melalui pemenuhan hak dasar, perlindungan sosial, pemberdayaan, dan kemitraan antarlembaga. Bentuk pelaksanaannya mencakup bantuan pangan dan sandang, penyediaan pelayanan perumahan, jaminan kesehatan, pendidikan dan pelatihan kerja, akses permodalan usaha, serta pendampingan sosial yang dilakukan secara terpadu dan lintas sektor.</w:t>
      </w:r>
    </w:p>
    <w:p>
      <w:pPr>
        <w:spacing w:after="120"/>
        <w:ind w:firstLine="567"/>
      </w:pPr>
      <w:r>
        <w:rPr>
          <w:sz w:val="22"/>
        </w:rPr>
        <w:t>Kelima, mengenai pihak yang bertanggung jawab. Pemerintah pusat melalui Kementerian Sosial bertanggung jawab menetapkan kebijakan, norma, standar, dan prosedur, serta mengalokasikan anggaran dan melakukan pengawasan sebagaimana diatur Pasal 24-25 UU 11/2009. Pemerintah daerah melalui Dinas Sosial Kabupaten bertanggung jawab menyelenggarakan layanan sosial di tingkat lokal sebagai urusan wajib pemerintahan daerah berdasarkan Undang-Undang Nomor 23 Tahun 2014 tentang Pemerintahan Daerah. Masyarakat berpartisipasi melalui organisasi sosial, relawan, dan Tenaga Kesejahteraan Sosial (TKS) sebagaimana diatur Pasal 38 UU 11/2009. Badan usaha berkontribusi melalui program tanggung jawab sosial perusahaan (CSR) sebagaimana diatur Pasal 74 Undang-Undang Nomor 40 Tahun 2007 tentang Perseroan Terbatas.</w:t>
      </w:r>
    </w:p>
    <w:p>
      <w:pPr>
        <w:spacing w:after="120"/>
      </w:pPr>
      <w:r>
        <w:rPr>
          <w:i/>
          <w:sz w:val="19"/>
        </w:rPr>
        <w:t>Referensi:</w:t>
        <w:br/>
        <w:t>Undang-Undang Nomor 11 Tahun 2009 tentang Kesejahteraan Sosial.</w:t>
        <w:br/>
        <w:t>Undang-Undang Nomor 13 Tahun 2011 tentang Penanganan Fakir Miskin.</w:t>
        <w:br/>
        <w:t>Undang-Undang Nomor 40 Tahun 2004 tentang Sistem Jaminan Sosial Nasional.</w:t>
        <w:br/>
        <w:t>Undang-Undang Nomor 24 Tahun 2011 tentang BPJS.</w:t>
        <w:br/>
        <w:t>Undang-Undang Nomor 23 Tahun 2014 tentang Pemerintahan Daerah.</w:t>
        <w:br/>
        <w:t>Hadjon, P. M. (2011). Pengantar Hukum Administrasi Indonesia. Gadjah Mada University Press.</w:t>
      </w:r>
    </w:p>
    <w:p>
      <w:pPr>
        <w:spacing w:after="120"/>
        <w:ind w:firstLine="567"/>
      </w:pPr>
      <w:r>
        <w:rPr>
          <w:sz w:val="22"/>
        </w:rPr>
        <w:t>Demikian analisis saya. Mohon koreksi apabila terdapat kekurangan. Terima kasih.</w:t>
      </w:r>
    </w:p>
    <w:p>
      <w:r>
        <w:br w:type="page"/>
      </w:r>
    </w:p>
    <w:tbl>
      <w:tblPr>
        <w:tblStyle w:val="TableGrid"/>
        <w:tblW w:type="auto" w:w="0"/>
        <w:tblLook w:firstColumn="1" w:firstRow="1" w:lastColumn="0" w:lastRow="0" w:noHBand="0" w:noVBand="1" w:val="04A0"/>
      </w:tblPr>
      <w:tblGrid>
        <w:gridCol w:w="9122"/>
      </w:tblGrid>
      <w:tr>
        <w:tc>
          <w:tcPr>
            <w:tcW w:type="dxa" w:w="9122"/>
            <w:shd w:val="clear" w:color="auto" w:fill="003087"/>
          </w:tcPr>
          <w:p/>
          <w:p>
            <w:pPr>
              <w:spacing w:before="80" w:after="80"/>
            </w:pPr>
            <w:r>
              <w:rPr>
                <w:b/>
                <w:color w:val="FFFFFF"/>
                <w:sz w:val="24"/>
              </w:rPr>
              <w:t>Ilmu Negara (HKUM4207) — Diskusi 8</w:t>
            </w:r>
          </w:p>
        </w:tc>
      </w:tr>
    </w:tbl>
    <w:p/>
    <w:p>
      <w:pPr>
        <w:spacing w:after="120"/>
        <w:ind w:firstLine="567"/>
      </w:pPr>
      <w:r>
        <w:rPr>
          <w:sz w:val="22"/>
        </w:rPr>
        <w:t>Assalamualaikum Wr. Wb. / Salam sejahtera untuk Bapak/Ibu Tutor dan rekan-rekan mahasiswa,</w:t>
      </w:r>
    </w:p>
    <w:p>
      <w:pPr>
        <w:spacing w:after="120"/>
        <w:ind w:firstLine="567"/>
      </w:pPr>
      <w:r>
        <w:rPr>
          <w:sz w:val="22"/>
        </w:rPr>
        <w:t>Menanggapi diskusi terakhir yang sangat menarik ini, berikut pandangan saya berdasarkan analisis terhadap berbagai pendapat ahli dan fenomena kenegaraan kontemporer.</w:t>
      </w:r>
    </w:p>
    <w:p>
      <w:pPr>
        <w:spacing w:after="120"/>
        <w:ind w:firstLine="567"/>
      </w:pPr>
      <w:r>
        <w:rPr>
          <w:sz w:val="22"/>
        </w:rPr>
        <w:t>Mengenai apakah pembagian kekuasaan menjadi tiga cabang (eksekutif, legislatif, yudikatif) merupakan satu-satunya yang dapat menjamin keberlangsungan negara, saya berpandangan bahwa jawabannya adalah tidak. Doktrin Trias Politica yang dicetuskan oleh Montesquieu dalam De l'Esprit des Lois tahun 1748 memang merupakan fondasi penting dalam teori negara modern. Montesquieu berargumen bahwa apabila kekuasaan legislatif dan eksekutif berada di tangan yang sama, tidak ada kebebasan yang dapat terjamin. Namun dalam perkembangan kenegaraan kontemporer, model ini tidak lagi menjadi satu-satunya pilihan.</w:t>
      </w:r>
    </w:p>
    <w:p>
      <w:pPr>
        <w:spacing w:after="120"/>
        <w:ind w:firstLine="567"/>
      </w:pPr>
      <w:r>
        <w:rPr>
          <w:sz w:val="22"/>
        </w:rPr>
        <w:t>Jimly Asshiddiqie (2006) mencatat bahwa negara modern telah mengembangkan pemisahan kekuasaan menjadi enam fungsi atau bahkan lebih, meliputi fungsi audit keuangan, penyelenggaraan pemilihan umum, kejaksaan, dan bank sentral. Indonesia sendiri menganut pembagian kekuasaan (distribution of power), bukan pemisahan mutlak (separation of power). Hal ini terlihat dari keberadaan delapan lembaga negara utama pasca-amendemen UUD 1945, yaitu MPR, DPR, DPD, Presiden, MA, MK, BPK, dan KY, yang secara bersama-sama menjalankan fungsi saling mengawasi (checks and balances).</w:t>
      </w:r>
    </w:p>
    <w:p>
      <w:pPr>
        <w:spacing w:after="120"/>
        <w:ind w:firstLine="567"/>
      </w:pPr>
      <w:r>
        <w:rPr>
          <w:sz w:val="22"/>
        </w:rPr>
        <w:t>Mengenai quasi organ negara atau state auxiliary organs, kemunculannya merupakan respons alamiah terhadap kompleksitas pemerintahan modern yang tidak dapat lagi ditangani secara memadai hanya oleh ketiga cabang kekuasaan tradisional. Di Indonesia, lembaga-lembaga seperti KPK, KPU, Bawaslu, Komnas HAM, OJK, dan Ombudsman hadir untuk mengisi kekosongan pengawasan dan regulasi di bidang-bidang yang sangat teknis dan membutuhkan independensi tinggi dari intervensi politik. Jimly Asshiddiqie mengategorikannya sebagai independent regulatory agencies yang memiliki kewenangan quasi-judisial dan quasi-legislatif. Keberadaan lembaga-lembaga ini justru memperkuat, bukan melemahkan, sistem checks and balances dalam negara.</w:t>
      </w:r>
    </w:p>
    <w:p>
      <w:pPr>
        <w:spacing w:after="120"/>
        <w:ind w:firstLine="567"/>
      </w:pPr>
      <w:r>
        <w:rPr>
          <w:sz w:val="22"/>
        </w:rPr>
        <w:t>Mengenai apakah ada negara yang tidak membagi kekuasaan berdasarkan tiga cabang tersebut, jawabannya ada. Inggris dengan model Westminster tidak mengenal pemisahan tegas antara eksekutif dan legislatif, karena Perdana Menteri selaku kepala eksekutif sekaligus adalah anggota parlemen dari partai yang memerintah. Negara ini tetap stabil karena landasan supremasi parlemen yang kuat. Tiongkok menerapkan kepemimpinan tunggal Partai Komunis dengan Kongres Rakyat Nasional sebagai lembaga tertinggi tanpa mengadopsi Trias Politica secara formal. Arab Saudi menerapkan monarki absolut dengan syariat Islam sebagai konstitusi tanpa pemisahan kekuasaan yang formal.</w:t>
      </w:r>
    </w:p>
    <w:p>
      <w:pPr>
        <w:spacing w:after="120"/>
        <w:ind w:firstLine="567"/>
      </w:pPr>
      <w:r>
        <w:rPr>
          <w:sz w:val="22"/>
        </w:rPr>
        <w:t>Dari berbagai contoh tersebut, saya menyimpulkan bahwa keberlangsungan suatu negara lebih ditentukan oleh legitimasi pemerintahannya di mata rakyat, efektivitas dalam memberikan pelayanan publik, dan jaminan perlindungan hak-hak dasar warga negara, daripada oleh format formal apakah negara tersebut menerapkan Trias Politica atau tidak.</w:t>
      </w:r>
    </w:p>
    <w:p>
      <w:pPr>
        <w:spacing w:after="120"/>
      </w:pPr>
      <w:r>
        <w:rPr>
          <w:i/>
          <w:sz w:val="19"/>
        </w:rPr>
        <w:t>Referensi:</w:t>
        <w:br/>
        <w:t>Montesquieu. (1748). De l'Esprit des Lois. Geneva: Barillot dan Fils.</w:t>
        <w:br/>
        <w:t>Asshiddiqie, J. (2006). Perkembangan dan Konsolidasi Lembaga Negara Pasca Reformasi. Sekretariat Jenderal MK RI.</w:t>
        <w:br/>
        <w:t>Strong, C. F. (1963). Modern Political Constitutions. Sidgwick dan Jackson.</w:t>
        <w:br/>
        <w:t>Undang-Undang Dasar Negara Republik Indonesia Tahun 1945.</w:t>
      </w:r>
    </w:p>
    <w:p>
      <w:pPr>
        <w:spacing w:after="120"/>
        <w:ind w:firstLine="567"/>
      </w:pPr>
      <w:r>
        <w:rPr>
          <w:sz w:val="22"/>
        </w:rPr>
        <w:t>Demikian pandangan saya. Saya menghargai setiap perspektif berbeda dari rekan-rekan dan sangat terbuka untuk berdiskusi lebih lanjut. Terima kasih.</w:t>
      </w:r>
    </w:p>
    <w:p>
      <w:r>
        <w:br w:type="page"/>
      </w:r>
    </w:p>
    <w:tbl>
      <w:tblPr>
        <w:tblStyle w:val="TableGrid"/>
        <w:tblW w:type="auto" w:w="0"/>
        <w:tblLook w:firstColumn="1" w:firstRow="1" w:lastColumn="0" w:lastRow="0" w:noHBand="0" w:noVBand="1" w:val="04A0"/>
      </w:tblPr>
      <w:tblGrid>
        <w:gridCol w:w="9122"/>
      </w:tblGrid>
      <w:tr>
        <w:tc>
          <w:tcPr>
            <w:tcW w:type="dxa" w:w="9122"/>
            <w:shd w:val="clear" w:color="auto" w:fill="003087"/>
          </w:tcPr>
          <w:p/>
          <w:p>
            <w:pPr>
              <w:spacing w:before="80" w:after="80"/>
            </w:pPr>
            <w:r>
              <w:rPr>
                <w:b/>
                <w:color w:val="FFFFFF"/>
                <w:sz w:val="24"/>
              </w:rPr>
              <w:t>Pancasila (MKWU4110) — Diskusi 8</w:t>
            </w:r>
          </w:p>
        </w:tc>
      </w:tr>
    </w:tbl>
    <w:p/>
    <w:p>
      <w:pPr>
        <w:spacing w:after="120"/>
        <w:ind w:firstLine="567"/>
      </w:pPr>
      <w:r>
        <w:rPr>
          <w:sz w:val="22"/>
        </w:rPr>
        <w:t>Assalamualaikum Wr. Wb. / Salam sejahtera,</w:t>
      </w:r>
    </w:p>
    <w:p>
      <w:pPr>
        <w:spacing w:after="120"/>
        <w:ind w:firstLine="567"/>
      </w:pPr>
      <w:r>
        <w:rPr>
          <w:sz w:val="22"/>
        </w:rPr>
        <w:t>Menanggapi pertanyaan diskusi Modul 6 yang sangat relevan dengan kondisi bangsa saat ini, berikut pendapat pribadi saya.</w:t>
      </w:r>
    </w:p>
    <w:p>
      <w:pPr>
        <w:spacing w:after="120"/>
        <w:ind w:firstLine="567"/>
      </w:pPr>
      <w:r>
        <w:rPr>
          <w:sz w:val="22"/>
        </w:rPr>
        <w:t>Menurut saya, apabila Indonesia mengikuti model pembangunan berbasis pertumbuhan ekonomi cepat secara penuh tanpa mempertimbangkan nilai-nilai Pancasila, setidaknya ada tiga konsekuensi jangka panjang yang sangat mungkin terjadi.</w:t>
      </w:r>
    </w:p>
    <w:p>
      <w:pPr>
        <w:spacing w:after="120"/>
        <w:ind w:firstLine="567"/>
      </w:pPr>
      <w:r>
        <w:rPr>
          <w:sz w:val="22"/>
        </w:rPr>
        <w:t>Pertama, dari sisi keadilan sosial sebagaimana terkandung dalam Sila ke-5, pembangunan yang hanya berorientasi pada angka pertumbuhan dan besarnya investasi asing cenderung memperlebar jurang kesenjangan antara kelompok kaya dan miskin. Eksploitasi sumber daya alam tanpa batas demi daya saing global akan merugikan masyarakat adat dan komunitas lokal yang menggantungkan hidupnya pada alam. Ketimpangan yang terus melebar ini pada akhirnya berpotensi memicu konflik horizontal yang justru merusak stabilitas yang diperlukan untuk pembangunan itu sendiri.</w:t>
      </w:r>
    </w:p>
    <w:p>
      <w:pPr>
        <w:spacing w:after="120"/>
        <w:ind w:firstLine="567"/>
      </w:pPr>
      <w:r>
        <w:rPr>
          <w:sz w:val="22"/>
        </w:rPr>
        <w:t>Kedua, dari sisi persatuan sebagaimana terkandung dalam Sila ke-3, masuknya modal asing besar-besaran tanpa filter nilai kebangsaan dapat secara perlahan mengikis identitas budaya lokal. Westernisasi dan materialisme yang menyertai globalisasi ekonomi berpotensi melunturkan semangat gotong royong yang selama ini menjadi perekat keberagaman Indonesia.</w:t>
      </w:r>
    </w:p>
    <w:p>
      <w:pPr>
        <w:spacing w:after="120"/>
        <w:ind w:firstLine="567"/>
      </w:pPr>
      <w:r>
        <w:rPr>
          <w:sz w:val="22"/>
        </w:rPr>
        <w:t>Ketiga, dari sisi kemanusiaan sebagaimana terkandung dalam Sila ke-2, pengabaian dimensi lingkungan dan hak asasi manusia demi efisiensi ekonomi akan melahirkan generasi yang tercerabut dari nilai-nilai kemanusiaan, rentan terhadap dehumanisasi akibat tekanan kapital yang tidak terkendali.</w:t>
      </w:r>
    </w:p>
    <w:p>
      <w:pPr>
        <w:spacing w:after="120"/>
        <w:ind w:firstLine="567"/>
      </w:pPr>
      <w:r>
        <w:rPr>
          <w:sz w:val="22"/>
        </w:rPr>
        <w:t>Pancasila sebagai paradigma pembangunan seharusnya menempatkan manusia, bukan modal, sebagai subjek utama pembangunan. Pembangunan yang kompetitif secara global namun tetap berjiwa Pancasila adalah pembangunan yang mampu mengintegrasikan pertumbuhan ekonomi dengan pemerataan kesejahteraan, pelestarian budaya bangsa, dan keberlanjutan ekologis. Prinsip ini sejatinya sejalan dengan Sustainable Development Goals (SDGs) PBB yang juga menekankan prinsip tidak meninggalkan siapapun (leaving no one behind). Dengan demikian, Indonesia tidak perlu memilih antara kompetitif atau berkarakter. Indonesia justru harus kompetitif karena berkarakter Pancasila.</w:t>
      </w:r>
    </w:p>
    <w:p>
      <w:pPr>
        <w:spacing w:after="120"/>
      </w:pPr>
      <w:r>
        <w:rPr>
          <w:i/>
          <w:sz w:val="19"/>
        </w:rPr>
        <w:t>Referensi:</w:t>
        <w:br/>
        <w:t>Kaelan. (2013). Negara Kebangsaan Pancasila. Paradigma.</w:t>
        <w:br/>
        <w:t>Notonagoro. (1975). Pancasila Dasar Falsafah Negara. Pantjuran Tudjuh.</w:t>
        <w:br/>
        <w:t>MPR RI. (2012). Empat Pilar Kehidupan Berbangsa dan Bernegara. Sekretariat Jenderal MPR RI.</w:t>
        <w:br/>
        <w:t>Pembukaan Undang-Undang Dasar Negara Republik Indonesia Tahun 1945, Alinea ke-4.</w:t>
      </w:r>
    </w:p>
    <w:p>
      <w:pPr>
        <w:spacing w:after="120"/>
        <w:ind w:firstLine="567"/>
      </w:pPr>
      <w:r>
        <w:rPr>
          <w:sz w:val="22"/>
        </w:rPr>
        <w:t>Demikian pendapat saya. Saya sangat menghargai sudut pandang rekan-rekan yang lain. Terima kasih.</w:t>
      </w:r>
    </w:p>
    <w:p>
      <w:r>
        <w:br w:type="page"/>
      </w:r>
    </w:p>
    <w:tbl>
      <w:tblPr>
        <w:tblStyle w:val="TableGrid"/>
        <w:tblW w:type="auto" w:w="0"/>
        <w:tblLook w:firstColumn="1" w:firstRow="1" w:lastColumn="0" w:lastRow="0" w:noHBand="0" w:noVBand="1" w:val="04A0"/>
      </w:tblPr>
      <w:tblGrid>
        <w:gridCol w:w="9122"/>
      </w:tblGrid>
      <w:tr>
        <w:tc>
          <w:tcPr>
            <w:tcW w:type="dxa" w:w="9122"/>
            <w:shd w:val="clear" w:color="auto" w:fill="003087"/>
          </w:tcPr>
          <w:p/>
          <w:p>
            <w:pPr>
              <w:spacing w:before="80" w:after="80"/>
            </w:pPr>
            <w:r>
              <w:rPr>
                <w:b/>
                <w:color w:val="FFFFFF"/>
                <w:sz w:val="24"/>
              </w:rPr>
              <w:t>Pendidikan Agama Islam (MKWU4101) — Diskusi 8</w:t>
            </w:r>
          </w:p>
        </w:tc>
      </w:tr>
    </w:tbl>
    <w:p/>
    <w:p>
      <w:pPr>
        <w:spacing w:after="120"/>
        <w:ind w:firstLine="567"/>
      </w:pPr>
      <w:r>
        <w:rPr>
          <w:sz w:val="22"/>
        </w:rPr>
        <w:t>Assalamualaikum Wr. Wb.,</w:t>
      </w:r>
    </w:p>
    <w:p>
      <w:pPr>
        <w:spacing w:after="120"/>
        <w:ind w:firstLine="567"/>
      </w:pPr>
      <w:r>
        <w:rPr>
          <w:sz w:val="22"/>
        </w:rPr>
        <w:t>Bismillahirrahmanirrahim. Berikut pendapat saya mengenai pentingnya kerukunan antarumat beragama dalam kehidupan masyarakat yang majemuk.</w:t>
      </w:r>
    </w:p>
    <w:p>
      <w:pPr>
        <w:spacing w:after="120"/>
        <w:ind w:firstLine="567"/>
      </w:pPr>
      <w:r>
        <w:rPr>
          <w:sz w:val="22"/>
        </w:rPr>
        <w:t>Menurut saya, kerukunan antarumat beragama merupakan fondasi yang mutlak diperlukan dalam masyarakat yang majemuk seperti Indonesia. Negara kita memiliki enam agama yang diakui negara, ratusan kepercayaan lokal, dan lebih dari 1.340 suku bangsa. Dengan kemajemukan setinggi ini, kerukunan bukan lagi sekadar pilihan moral, melainkan sebuah keniscayaan demi keberlangsungan persatuan dan kedamaian bangsa.</w:t>
      </w:r>
    </w:p>
    <w:p>
      <w:pPr>
        <w:spacing w:after="120"/>
        <w:ind w:firstLine="567"/>
      </w:pPr>
      <w:r>
        <w:rPr>
          <w:sz w:val="22"/>
        </w:rPr>
        <w:t>Dari perspektif Islam, Al-Quran Surat Al-Hujurat ayat 13 dengan tegas menyatakan bahwa Allah SWT menciptakan manusia berbangsa-bangsa dan bersuku-suku agar saling mengenal. Ini menunjukkan bahwa keberagaman adalah sunnatullah, yaitu kehendak dan ketetapan Allah yang harus disikapi dengan bijak, bukan dijadikan sumber konflik. Islam mengenal prinsip tasamuh atau toleransi, yang tidak berarti mencampuradukkan keyakinan, melainkan menghargai eksistensi keyakinan lain dalam bingkai ukhuwah insaniyah, yaitu persaudaraan sesama manusia. Bahkan Nabi Muhammad SAW sendiri telah mencontohkan hal ini jauh sebelum konsep HAM modern lahir, melalui Piagam Madinah pada tahun 622 Masehi yang menjamin hak-hak warga non-Muslim untuk beribadah dan mempertahankan agama mereka selama mereka menjunjung perdamaian bersama.</w:t>
      </w:r>
    </w:p>
    <w:p>
      <w:pPr>
        <w:spacing w:after="120"/>
        <w:ind w:firstLine="567"/>
      </w:pPr>
      <w:r>
        <w:rPr>
          <w:sz w:val="22"/>
        </w:rPr>
        <w:t>Dari perspektif sosial kemasyarakatan, sejarah telah membuktikan betapa mahalnya harga yang harus dibayar ketika kerukunan roboh. Konflik berbasis agama seperti yang pernah terjadi di Ambon pada 1999 hingga 2002 dan di Poso pada 1998 hingga 2001 telah menghancurkan tatanan sosial, ekonomi, dan kehidupan masyarakat setempat selama bertahun-tahun. Sebaliknya, daerah-daerah yang berhasil merawat toleransi terbukti lebih stabil, damai, dan maju secara sosial maupun ekonomi.</w:t>
      </w:r>
    </w:p>
    <w:p>
      <w:pPr>
        <w:spacing w:after="120"/>
        <w:ind w:firstLine="567"/>
      </w:pPr>
      <w:r>
        <w:rPr>
          <w:sz w:val="22"/>
        </w:rPr>
        <w:t>Dari perspektif berbangsa dan bernegara, semboyan Bhinneka Tunggal Ika bukan sekadar tulisan pada lambang negara, melainkan sebuah kontrak sosial bangsa Indonesia. Sila Pertama Pancasila dan Pasal 22 Undang-Undang Nomor 39 Tahun 1999 tentang HAM secara tegas mewajibkan penghormatan terhadap pemeluk agama lain.</w:t>
      </w:r>
    </w:p>
    <w:p>
      <w:pPr>
        <w:spacing w:after="120"/>
        <w:ind w:firstLine="567"/>
      </w:pPr>
      <w:r>
        <w:rPr>
          <w:sz w:val="22"/>
        </w:rPr>
        <w:t>Adapun contoh konkret upaya membangun kerukunan yang saya lihat dalam kehidupan bermasyarakat saat ini antara lain adalah Forum Kerukunan Umat Beragama (FKUB) yang ada di setiap kabupaten dan kota sebagai forum dialog lintas agama yang menjembatani potensi konflik secara damai melalui musyawarah. Selain itu, program Rumah Moderasi Beragama di berbagai perguruan tinggi Islam negeri juga mendorong mahasiswa menjadi agen moderasi dan toleransi di tengah masyarakat. Di tingkat akar rumput, kegiatan bakti sosial lintas agama, seperti yang sering terjadi di Nusa Tenggara Timur di mana mayoritas Katolik dan Muslim hidup berdampingan secara damai, menjadi bukti nyata bahwa perbedaan keyakinan tidak menghalangi kerja sama kemanusiaan.</w:t>
      </w:r>
    </w:p>
    <w:p>
      <w:pPr>
        <w:spacing w:after="120"/>
        <w:ind w:firstLine="567"/>
      </w:pPr>
      <w:r>
        <w:rPr>
          <w:sz w:val="22"/>
        </w:rPr>
        <w:t>Saya meyakini bahwa kerukunan sejati bukan berarti semua agama dianggap sama, melainkan bahwa semua manusia sama-sama berhak hidup damai, dihormati, dan bermartabat. Inilah inti dari ajaran Islam sebagai rahmatan lil alamin, rahmat bagi seluruh alam semesta.</w:t>
      </w:r>
    </w:p>
    <w:p>
      <w:pPr>
        <w:spacing w:after="120"/>
      </w:pPr>
      <w:r>
        <w:rPr>
          <w:i/>
          <w:sz w:val="19"/>
        </w:rPr>
        <w:t>Referensi:</w:t>
        <w:br/>
        <w:t>Al-Quran, QS. Al-Hujurat (49:13).</w:t>
        <w:br/>
        <w:t>Al-Quran, QS. Al-Kafirun (109:1-6).</w:t>
        <w:br/>
        <w:t>Piagam Madinah (622 M).</w:t>
        <w:br/>
        <w:t>Undang-Undang Nomor 39 Tahun 1999 tentang Hak Asasi Manusia, Pasal 22.</w:t>
        <w:br/>
        <w:t>Shihab, M. Q. (2000). Wawasan Al-Quran. Mizan.</w:t>
      </w:r>
    </w:p>
    <w:p>
      <w:pPr>
        <w:spacing w:after="120"/>
        <w:ind w:firstLine="567"/>
      </w:pPr>
      <w:r>
        <w:rPr>
          <w:sz w:val="22"/>
        </w:rPr>
        <w:t>Wassalamualaikum Wr. Wb. Terima kasih atas perhatian Bapak/Ibu Tutor dan rekan-rekan.</w:t>
      </w:r>
    </w:p>
    <w:p>
      <w:r>
        <w:br w:type="page"/>
      </w:r>
    </w:p>
    <w:tbl>
      <w:tblPr>
        <w:tblStyle w:val="TableGrid"/>
        <w:tblW w:type="auto" w:w="0"/>
        <w:tblLook w:firstColumn="1" w:firstRow="1" w:lastColumn="0" w:lastRow="0" w:noHBand="0" w:noVBand="1" w:val="04A0"/>
      </w:tblPr>
      <w:tblGrid>
        <w:gridCol w:w="9122"/>
      </w:tblGrid>
      <w:tr>
        <w:tc>
          <w:tcPr>
            <w:tcW w:type="dxa" w:w="9122"/>
            <w:shd w:val="clear" w:color="auto" w:fill="003087"/>
          </w:tcPr>
          <w:p/>
          <w:p>
            <w:pPr>
              <w:spacing w:before="80" w:after="80"/>
            </w:pPr>
            <w:r>
              <w:rPr>
                <w:b/>
                <w:color w:val="FFFFFF"/>
                <w:sz w:val="24"/>
              </w:rPr>
              <w:t>Pendidikan Kewarganegaraan / PKN (MKWU4109) — Diskusi 8</w:t>
            </w:r>
          </w:p>
        </w:tc>
      </w:tr>
    </w:tbl>
    <w:p/>
    <w:p>
      <w:pPr>
        <w:spacing w:after="120"/>
        <w:ind w:firstLine="567"/>
      </w:pPr>
      <w:r>
        <w:rPr>
          <w:sz w:val="22"/>
        </w:rPr>
        <w:t>Assalamualaikum Wr. Wb. / Salam sejahtera,</w:t>
      </w:r>
    </w:p>
    <w:p>
      <w:pPr>
        <w:spacing w:after="120"/>
        <w:ind w:firstLine="567"/>
      </w:pPr>
      <w:r>
        <w:rPr>
          <w:sz w:val="22"/>
        </w:rPr>
        <w:t>Berikut pandangan saya mengenai pengaruh globalisasi terhadap ketahanan nasional Indonesia serta upaya pemerintah menghadapi ancaman siber dan konflik regional.</w:t>
      </w:r>
    </w:p>
    <w:p>
      <w:pPr>
        <w:spacing w:after="120"/>
        <w:ind w:firstLine="567"/>
      </w:pPr>
      <w:r>
        <w:rPr>
          <w:sz w:val="22"/>
        </w:rPr>
        <w:t>Mengenai sejauh mana globalisasi memengaruhi ketahanan nasional, saya berpandangan bahwa pengaruhnya bersifat ganda, membawa dampak positif sekaligus negatif terhadap berbagai gatra dalam konsep Astagatra yang terdiri dari Trigatra (geografi, sumber daya alam, demografi) dan Pancagatra (ideologi, politik, ekonomi, sosial-budaya, pertahanan dan keamanan).</w:t>
      </w:r>
    </w:p>
    <w:p>
      <w:pPr>
        <w:spacing w:after="120"/>
        <w:ind w:firstLine="567"/>
      </w:pPr>
      <w:r>
        <w:rPr>
          <w:sz w:val="22"/>
        </w:rPr>
        <w:t>Dari sisi dampak positif, pada gatra ekonomi, Indonesia memperoleh akses pasar ekspor yang lebih luas, masuknya investasi asing, dan transfer teknologi yang mendorong peningkatan produktivitas nasional. Keanggotaan Indonesia dalam ASEAN, G20, dan WTO juga meningkatkan daya tawar diplomatik dan ekonomi di tingkat global. Pada gatra pertahanan dan keamanan, globalisasi mempercepat difusi teknologi modern termasuk teknologi pertahanan yang memperkuat kapabilitas militer Indonesia. Pada gatra politik, tekanan komunitas internasional mendorong perbaikan tata kelola pemerintahan, penegakan hak asasi manusia, dan peningkatan transparansi.</w:t>
      </w:r>
    </w:p>
    <w:p>
      <w:pPr>
        <w:spacing w:after="120"/>
        <w:ind w:firstLine="567"/>
      </w:pPr>
      <w:r>
        <w:rPr>
          <w:sz w:val="22"/>
        </w:rPr>
        <w:t>Namun di sisi lain, dampak negatifnya tidak kalah serius. Pada gatra ideologi, masuknya paham liberalisme, sekularisme, dan radikalisme transnasional melalui arus informasi tanpa batas mengancam Pancasila sebagai ideologi bangsa, dan polarisasi berbasis suku, agama, ras, dan antargolongan mengikis persatuan. Pada gatra ekonomi, dominasi modal asing dan serbuan produk impor berpotensi mematikan industri lokal dan memperlebar ketimpangan ekonomi antarwilayah. Pada gatra sosial-budaya, arus westernisasi yang deras mengancam nilai-nilai kearifan lokal dan semangat gotong royong. Pada gatra pertahanan dan keamanan, globalisasi juga memudahkan peredaran narkoba transnasional, perdagangan manusia, terorisme lintas batas, dan berbagai bentuk kejahatan siber.</w:t>
      </w:r>
    </w:p>
    <w:p>
      <w:pPr>
        <w:spacing w:after="120"/>
        <w:ind w:firstLine="567"/>
      </w:pPr>
      <w:r>
        <w:rPr>
          <w:sz w:val="22"/>
        </w:rPr>
        <w:t>Mengenai upaya pemerintah menghadapi ancaman siber dan konflik regional, berikut langkah-langkah konkret yang telah diambil. Untuk menghadapi ancaman siber, pemerintah membentuk Badan Siber dan Sandi Negara (BSSN) melalui Peraturan Presiden Nomor 28 Tahun 2021 sebagai lembaga yang secara khusus menangani keamanan siber nasional. Selain itu, Peraturan Pemerintah Nomor 71 Tahun 2019 tentang Penyelenggaraan Sistem dan Transaksi Elektronik mengatur keamanan data dan sistem elektronik pada infrastruktur kritis negara. Pemerintah juga membangun Security Operations Center di berbagai instansi strategis dan menjalin kerja sama keamanan siber dalam kerangka ASEAN Cybersecurity Cooperation Strategy. Di tingkat masyarakat, Kementerian Kominfo menjalankan Gerakan Nasional Literasi Digital untuk meningkatkan kewaspadaan terhadap hoaks, phishing, dan berbagai ancaman siber.</w:t>
      </w:r>
    </w:p>
    <w:p>
      <w:pPr>
        <w:spacing w:after="120"/>
        <w:ind w:firstLine="567"/>
      </w:pPr>
      <w:r>
        <w:rPr>
          <w:sz w:val="22"/>
        </w:rPr>
        <w:t>Untuk menghadapi konflik regional, Indonesia secara konsisten mengedepankan pendekatan diplomasi aktif sesuai dengan politik luar negeri bebas dan aktif sebagaimana diamanatkan Pasal 11 UUD 1945. Salah satu contoh nyatanya adalah peran Indonesia sebagai pemegang ketua ASEAN yang menginisiasi Konsensus Lima Poin untuk merespons krisis Myanmar pada tahun 2021. Di sisi pertahanan, pemerintah melakukan modernisasi alat utama sistem persenjataan (alutsista) TNI berdasarkan kerangka Minimum Essential Force (MEF) untuk meningkatkan daya tangkal terhadap potensi ancaman dari luar. Indonesia juga aktif mengirimkan Kontingen Garuda dalam berbagai misi perdamaian PBB sebagai instrumen diplomasi pertahanan sekaligus membangun kepercayaan dari komunitas internasional. Di kawasan Laut Natuna Utara, pemerintah memperkuat kehadiran dan patroli TNI Angkatan Laut untuk menegaskan kedaulatan NKRI dari klaim-klaim ilegal pihak asing.</w:t>
      </w:r>
    </w:p>
    <w:p>
      <w:pPr>
        <w:spacing w:after="120"/>
      </w:pPr>
      <w:r>
        <w:rPr>
          <w:i/>
          <w:sz w:val="19"/>
        </w:rPr>
        <w:t>Referensi:</w:t>
        <w:br/>
        <w:t>Undang-Undang Nomor 3 Tahun 2002 tentang Pertahanan Negara.</w:t>
        <w:br/>
        <w:t>Peraturan Presiden Nomor 28 Tahun 2021 tentang BSSN.</w:t>
        <w:br/>
        <w:t>Peraturan Pemerintah Nomor 71 Tahun 2019 tentang Penyelenggaraan Sistem dan Transaksi Elektronik.</w:t>
        <w:br/>
        <w:t>Lemhannas RI. (2022). Modul Ketahanan Nasional. Lembaga Ketahanan Nasional.</w:t>
        <w:br/>
        <w:t>Suradinata, E. (2005). Geopolitik dan Geostrategi Indonesia. Lembaga Pengkajian dan Pengembangan Kehidupan Bernegara.</w:t>
      </w:r>
    </w:p>
    <w:p>
      <w:pPr>
        <w:spacing w:after="120"/>
        <w:ind w:firstLine="567"/>
      </w:pPr>
      <w:r>
        <w:rPr>
          <w:sz w:val="22"/>
        </w:rPr>
        <w:t>Demikian pandangan saya. Terima kasih.</w:t>
      </w:r>
    </w:p>
    <w:p>
      <w:r>
        <w:br w:type="page"/>
      </w:r>
    </w:p>
    <w:tbl>
      <w:tblPr>
        <w:tblStyle w:val="TableGrid"/>
        <w:tblW w:type="auto" w:w="0"/>
        <w:tblLook w:firstColumn="1" w:firstRow="1" w:lastColumn="0" w:lastRow="0" w:noHBand="0" w:noVBand="1" w:val="04A0"/>
      </w:tblPr>
      <w:tblGrid>
        <w:gridCol w:w="9122"/>
      </w:tblGrid>
      <w:tr>
        <w:tc>
          <w:tcPr>
            <w:tcW w:type="dxa" w:w="9122"/>
            <w:shd w:val="clear" w:color="auto" w:fill="003087"/>
          </w:tcPr>
          <w:p/>
          <w:p>
            <w:pPr>
              <w:spacing w:before="80" w:after="80"/>
            </w:pPr>
            <w:r>
              <w:rPr>
                <w:b/>
                <w:color w:val="FFFFFF"/>
                <w:sz w:val="24"/>
              </w:rPr>
              <w:t>Pengantar Ilmu Hukum (HKUM4101) — Diskusi 8</w:t>
            </w:r>
          </w:p>
        </w:tc>
      </w:tr>
    </w:tbl>
    <w:p/>
    <w:p>
      <w:pPr>
        <w:spacing w:after="120"/>
        <w:ind w:firstLine="567"/>
      </w:pPr>
      <w:r>
        <w:rPr>
          <w:sz w:val="22"/>
        </w:rPr>
        <w:t>Assalamualaikum Wr. Wb. / Salam sejahtera,</w:t>
      </w:r>
    </w:p>
    <w:p>
      <w:pPr>
        <w:spacing w:after="120"/>
        <w:ind w:firstLine="567"/>
      </w:pPr>
      <w:r>
        <w:rPr>
          <w:sz w:val="22"/>
        </w:rPr>
        <w:t>Berikut saya sampaikan argumen saya mengenai topik Trias Politica disertai contoh konkret dan rujukan yang relevan.</w:t>
      </w:r>
    </w:p>
    <w:p>
      <w:pPr>
        <w:spacing w:after="120"/>
        <w:ind w:firstLine="567"/>
      </w:pPr>
      <w:r>
        <w:rPr>
          <w:sz w:val="22"/>
        </w:rPr>
        <w:t>Trias Politica adalah doktrin pemisahan kekuasaan negara menjadi tiga fungsi utama, yaitu legislatif yang bertugas membentuk undang-undang, eksekutif yang bertugas melaksanakan undang-undang, dan yudikatif yang bertugas mengadili setiap pelanggaran hukum. Doktrin ini dikembangkan secara sistematis oleh Montesquieu dalam karyanya De l'Esprit des Lois yang terbit pada tahun 1748, meskipun benih pemikirannya telah ada sejak John Locke dalam Two Treatises of Government pada tahun 1689 yang memisahkan kekuasaan menjadi legislatif, eksekutif, dan federatif.</w:t>
      </w:r>
    </w:p>
    <w:p>
      <w:pPr>
        <w:spacing w:after="120"/>
        <w:ind w:firstLine="567"/>
      </w:pPr>
      <w:r>
        <w:rPr>
          <w:sz w:val="22"/>
        </w:rPr>
        <w:t>Argumen utama yang ingin saya kemukakan adalah bahwa Trias Politica merupakan mekanisme yang esensial untuk mencegah penyalahgunaan kekuasaan dan menjamin kebebasan warga negara. Montesquieu menyatakan bahwa apabila kekuasaan legislatif dan eksekutif berada di tangan yang sama, tidak ada kebebasan yang dapat terjamin. Gagasan ini lahir dari pengamatan beliau terhadap monarki absolut Eropa yang cenderung tiranis karena tidak ada institusi yang dapat mengimbangi dan mengawasi kekuasaan raja.</w:t>
      </w:r>
    </w:p>
    <w:p>
      <w:pPr>
        <w:spacing w:after="120"/>
        <w:ind w:firstLine="567"/>
      </w:pPr>
      <w:r>
        <w:rPr>
          <w:sz w:val="22"/>
        </w:rPr>
        <w:t>Di Indonesia, prinsip Trias Politica diadopsi namun dengan model yang lebih kompleks pasca-amendemen UUD 1945 dari tahun 1999 hingga 2002. Indonesia tidak menerapkan pemisahan kekuasaan secara mutlak (separation of power), melainkan pembagian kekuasaan (distribution of power) di antara lembaga-lembaga negara yang saling mengawasi. Cabang legislatif dipegang oleh MPR yang terdiri dari DPR dan DPD, cabang eksekutif dipegang oleh Presiden bersama kabinetnya, dan cabang yudikatif dipegang oleh Mahkamah Agung beserta peradilan di bawahnya serta Mahkamah Konstitusi.</w:t>
      </w:r>
    </w:p>
    <w:p>
      <w:pPr>
        <w:spacing w:after="120"/>
        <w:ind w:firstLine="567"/>
      </w:pPr>
      <w:r>
        <w:rPr>
          <w:sz w:val="22"/>
        </w:rPr>
        <w:t>Contoh konkret mekanisme checks and balances yang bekerja di Indonesia adalah ketika Mahkamah Konstitusi melalui Putusan Nomor 91/PUU-XVIII/2020 menyatakan Undang-Undang Cipta Kerja sebagai inkonstitusional bersyarat dan memerintahkan perbaikan dalam waktu dua tahun. Ini adalah bukti nyata bagaimana lembaga yudikatif mengontrol dan memperbaiki produk legislatif dan eksekutif. Contoh lainnya adalah hak angket DPR yang dapat digunakan untuk menyelidiki kebijakan pemerintah, yang merupakan wujud kontrol legislatif terhadap eksekutif.</w:t>
      </w:r>
    </w:p>
    <w:p>
      <w:pPr>
        <w:spacing w:after="120"/>
        <w:ind w:firstLine="567"/>
      </w:pPr>
      <w:r>
        <w:rPr>
          <w:sz w:val="22"/>
        </w:rPr>
        <w:t>Kelebihan Trias Politica antara lain adalah mencegah tirani dan konsentrasi kekuasaan di satu tangan, menjamin perlindungan hak-hak warga negara dari kesewenang-wenangan penguasa, serta menciptakan sistem akuntabilitas dan transparansi dalam pemerintahan. Namun Trias Politica juga memiliki kelemahan, antara lain potensi kebuntuan (deadlock) antarlembaga ketika ketiganya tidak menemukan kesepakatan, serta dalam praktiknya batas pemisahan kekuasaan tidak selalu tegas karena eksekutif sering mendapat delegasi kewenangan legislatif melalui peraturan-peraturan pelaksana.</w:t>
      </w:r>
    </w:p>
    <w:p>
      <w:pPr>
        <w:spacing w:after="120"/>
        <w:ind w:firstLine="567"/>
      </w:pPr>
      <w:r>
        <w:rPr>
          <w:sz w:val="22"/>
        </w:rPr>
        <w:t>Kesimpulannya, Trias Politica tetap relevan dan bahkan semakin diperlukan sebagai kerangka dasar negara demokratis. Namun dalam perkembangannya, doktrin ini perlu dilengkapi dengan kehadiran lembaga-lembaga independen seperti KPK, KPU, OJK, dan Komnas HAM yang memperkaya sistem checks and balances melampaui tiga cabang kekuasaan klasik demi menjawab kompleksitas pemerintahan modern.</w:t>
      </w:r>
    </w:p>
    <w:p>
      <w:pPr>
        <w:spacing w:after="120"/>
      </w:pPr>
      <w:r>
        <w:rPr>
          <w:i/>
          <w:sz w:val="19"/>
        </w:rPr>
        <w:t>Referensi:</w:t>
        <w:br/>
        <w:t>Montesquieu. (1748). De l'Esprit des Lois. Geneva: Barillot dan Fils.</w:t>
        <w:br/>
        <w:t>Locke, J. (1689). Two Treatises of Government. London: Awnsham Churchill.</w:t>
        <w:br/>
        <w:t>Asshiddiqie, J. (2010). Pengantar Ilmu Hukum Tata Negara. Rajawali Pers.</w:t>
        <w:br/>
        <w:t>Putusan Mahkamah Konstitusi Nomor 91/PUU-XVIII/2020 tentang Undang-Undang Cipta Kerja.</w:t>
        <w:br/>
        <w:t>Undang-Undang Dasar Negara Republik Indonesia Tahun 1945.</w:t>
      </w:r>
    </w:p>
    <w:p>
      <w:pPr>
        <w:spacing w:after="120"/>
        <w:ind w:firstLine="567"/>
      </w:pPr>
      <w:r>
        <w:rPr>
          <w:sz w:val="22"/>
        </w:rPr>
        <w:t>Demikian argumen saya. Semoga bermanfaat dan saya sangat menghargai tanggapan serta perspektif yang berbeda dari rekan-rekan. Terima kasih.</w:t>
      </w:r>
    </w:p>
    <w:p>
      <w:r>
        <w:br w:type="page"/>
      </w:r>
    </w:p>
    <w:tbl>
      <w:tblPr>
        <w:tblStyle w:val="TableGrid"/>
        <w:tblW w:type="auto" w:w="0"/>
        <w:tblLook w:firstColumn="1" w:firstRow="1" w:lastColumn="0" w:lastRow="0" w:noHBand="0" w:noVBand="1" w:val="04A0"/>
      </w:tblPr>
      <w:tblGrid>
        <w:gridCol w:w="9122"/>
      </w:tblGrid>
      <w:tr>
        <w:tc>
          <w:tcPr>
            <w:tcW w:type="dxa" w:w="9122"/>
            <w:shd w:val="clear" w:color="auto" w:fill="003087"/>
          </w:tcPr>
          <w:p/>
          <w:p>
            <w:pPr>
              <w:spacing w:before="80" w:after="80"/>
            </w:pPr>
            <w:r>
              <w:rPr>
                <w:b/>
                <w:color w:val="FFFFFF"/>
                <w:sz w:val="24"/>
              </w:rPr>
              <w:t>Sistem Hukum Indonesia (HKUM4201) — Diskusi 8</w:t>
            </w:r>
          </w:p>
        </w:tc>
      </w:tr>
    </w:tbl>
    <w:p/>
    <w:p>
      <w:pPr>
        <w:spacing w:after="120"/>
        <w:ind w:firstLine="567"/>
      </w:pPr>
      <w:r>
        <w:rPr>
          <w:sz w:val="22"/>
        </w:rPr>
        <w:t>Assalamualaikum Wr. Wb. / Salam sejahtera,</w:t>
      </w:r>
    </w:p>
    <w:p>
      <w:pPr>
        <w:spacing w:after="120"/>
        <w:ind w:firstLine="567"/>
      </w:pPr>
      <w:r>
        <w:rPr>
          <w:sz w:val="22"/>
        </w:rPr>
        <w:t>Berikut saya uraikan proses dan tahapan perjanjian internasional antarnegara disertai landasan hukum dan teori yang relevan.</w:t>
      </w:r>
    </w:p>
    <w:p>
      <w:pPr>
        <w:spacing w:after="120"/>
        <w:ind w:firstLine="567"/>
      </w:pPr>
      <w:r>
        <w:rPr>
          <w:sz w:val="22"/>
        </w:rPr>
        <w:t>Sebelum menguraikan tahapannya, penting untuk memahami dasar hukum yang berlaku. Pada tataran internasional, instrumen utama yang mengatur perjanjian internasional adalah Vienna Convention on the Law of Treaties (VCLT) tahun 1969 yang mulai berlaku sejak tahun 1980. Pada tataran nasional Indonesia, pengaturannya terdapat dalam Undang-Undang Nomor 24 Tahun 2000 tentang Perjanjian Internasional, dan secara konstitusional diatur dalam Pasal 11 UUD 1945 yang memberikan kewenangan kepada Presiden untuk membuat perjanjian internasional dengan persetujuan DPR untuk hal-hal tertentu.</w:t>
      </w:r>
    </w:p>
    <w:p>
      <w:pPr>
        <w:spacing w:after="120"/>
        <w:ind w:firstLine="567"/>
      </w:pPr>
      <w:r>
        <w:rPr>
          <w:sz w:val="22"/>
        </w:rPr>
        <w:t>Adapun teori yang paling relevan adalah prinsip Pacta Sunt Servanda sebagaimana diatur dalam Pasal 26 VCLT, yang menyatakan bahwa setiap perjanjian yang berlaku mengikat para pihak dan harus dilaksanakan dengan itikad baik (good faith). Prinsip ini merupakan landasan fundamental seluruh hukum perjanjian internasional. Selain itu, Indonesia menganut Teori Dualisme yang dikembangkan oleh Triepel dan Anzilotti, yang memandang hukum internasional dan hukum nasional sebagai dua sistem yang terpisah sehingga perjanjian internasional baru dapat berlaku di dalam negeri setelah melalui proses ratifikasi melalui peraturan perundang-undangan nasional.</w:t>
      </w:r>
    </w:p>
    <w:p>
      <w:pPr>
        <w:spacing w:after="120"/>
        <w:ind w:firstLine="567"/>
      </w:pPr>
      <w:r>
        <w:rPr>
          <w:sz w:val="22"/>
        </w:rPr>
        <w:t>Tahapan perjanjian internasional secara garis besar terdiri dari lima tahap sebagai berikut.</w:t>
      </w:r>
    </w:p>
    <w:p>
      <w:pPr>
        <w:spacing w:after="120"/>
        <w:ind w:firstLine="567"/>
      </w:pPr>
      <w:r>
        <w:rPr>
          <w:sz w:val="22"/>
        </w:rPr>
        <w:t>Tahap pertama adalah perundingan (negotiation). Negara-negara yang berkepentingan mengirimkan delegasi resmi yang diberi surat kuasa penuh (full powers) untuk mewakili negaranya dalam perundingan. Dalam sistem Indonesia, Menteri Luar Negeri atau pejabat yang ditunjuk Presiden memimpin jalannya perundingan. Dalam tahap ini dibahas seluruh substansi perjanjian, termasuk hak dan kewajiban masing-masing pihak serta mekanisme penyelesaian sengketa apabila terjadi perselisihan di kemudian hari.</w:t>
      </w:r>
    </w:p>
    <w:p>
      <w:pPr>
        <w:spacing w:after="120"/>
        <w:ind w:firstLine="567"/>
      </w:pPr>
      <w:r>
        <w:rPr>
          <w:sz w:val="22"/>
        </w:rPr>
        <w:t>Tahap kedua adalah perumusan dan penerimaan naskah (adoption of the text). Setelah perundingan mencapai titik temu, delegasi merumuskan teks perjanjian yang disepakati bersama. Penerimaan teks dalam suatu konferensi internasional pada umumnya memerlukan persetujuan dua pertiga peserta kecuali disepakati ketentuan lain sebagaimana diatur Pasal 9 VCLT.</w:t>
      </w:r>
    </w:p>
    <w:p>
      <w:pPr>
        <w:spacing w:after="120"/>
        <w:ind w:firstLine="567"/>
      </w:pPr>
      <w:r>
        <w:rPr>
          <w:sz w:val="22"/>
        </w:rPr>
        <w:t>Tahap ketiga adalah autentikasi dan penandatanganan (authentication/signature). Teks yang telah dirumuskan diautentikasi, umumnya melalui penandatanganan atau paraf oleh delegasi masing-masing negara sebagaimana diatur Pasal 10 VCLT. Perlu dipahami bahwa penandatanganan belum berarti perjanjian langsung berlaku mengikat. Namun negara yang telah menandatangani berkewajiban untuk tidak melakukan tindakan yang bertentangan dengan objek dan tujuan perjanjian tersebut sebagaimana diatur Pasal 18 VCLT.</w:t>
      </w:r>
    </w:p>
    <w:p>
      <w:pPr>
        <w:spacing w:after="120"/>
        <w:ind w:firstLine="567"/>
      </w:pPr>
      <w:r>
        <w:rPr>
          <w:sz w:val="22"/>
        </w:rPr>
        <w:t>Tahap keempat adalah ratifikasi atau pengesahan (ratification). Inilah tahapan yang paling krusial, di mana negara secara resmi menyatakan terikat pada perjanjian melalui prosedur konstitusionalnya masing-masing. Di Indonesia, perjanjian internasional yang menyangkut masalah politik, perdamaian, pertahanan, perubahan wilayah, keuangan negara, dan pembuatan undang-undang baru memerlukan persetujuan DPR sesuai Pasal 11 UUD 1945 dan Pasal 10 UU 24/2000. Sementara perjanjian yang bersifat teknis dan administratif cukup disahkan melalui Keputusan Presiden. Instrumen ratifikasi kemudian dipertukarkan antarpihak atau diserahkan kepada depositary yang ditunjuk.</w:t>
      </w:r>
    </w:p>
    <w:p>
      <w:pPr>
        <w:spacing w:after="120"/>
        <w:ind w:firstLine="567"/>
      </w:pPr>
      <w:r>
        <w:rPr>
          <w:sz w:val="22"/>
        </w:rPr>
        <w:t>Tahap kelima adalah berlakunya perjanjian (entry into force). Perjanjian mulai berlaku sesuai ketentuan yang telah disepakati dalam perjanjian itu sendiri, misalnya setelah sejumlah negara tertentu meratifikasi atau pada tanggal tertentu setelah ratifikasi terakhir, sebagaimana diatur Pasal 24 VCLT. Selanjutnya, berdasarkan Pasal 102 Piagam PBB, perjanjian yang dibuat oleh negara anggota PBB wajib didaftarkan kepada Sekretariat PBB. Di Indonesia, naskah perjanjian yang telah diratifikasi kemudian diundangkan dalam Lembaran Negara Republik Indonesia sebagaimana diatur Pasal 15 UU 24/2000.</w:t>
      </w:r>
    </w:p>
    <w:p>
      <w:pPr>
        <w:spacing w:after="120"/>
        <w:ind w:firstLine="567"/>
      </w:pPr>
      <w:r>
        <w:rPr>
          <w:sz w:val="22"/>
        </w:rPr>
        <w:t>Sebagai contoh konkret, Indonesia meratifikasi Perjanjian Paris tentang Perubahan Iklim (Paris Agreement) melalui Undang-Undang Nomor 16 Tahun 2016. Proses ini melalui seluruh tahapan yang disebutkan di atas, mulai dari perundingan di Konferensi Para Pihak (COP21) Paris pada tahun 2015, penandatanganan pada April 2016, persetujuan DPR, hingga akhirnya diundangkan dalam Lembaran Negara Republik Indonesia.</w:t>
      </w:r>
    </w:p>
    <w:p>
      <w:pPr>
        <w:spacing w:after="120"/>
      </w:pPr>
      <w:r>
        <w:rPr>
          <w:i/>
          <w:sz w:val="19"/>
        </w:rPr>
        <w:t>Referensi:</w:t>
        <w:br/>
        <w:t>Vienna Convention on the Law of Treaties (VCLT) 1969, khususnya Pasal 7, 9, 10, 18, 24, dan 26.</w:t>
        <w:br/>
        <w:t>Undang-Undang Nomor 24 Tahun 2000 tentang Perjanjian Internasional.</w:t>
        <w:br/>
        <w:t>Pasal 11 Undang-Undang Dasar Negara Republik Indonesia Tahun 1945.</w:t>
        <w:br/>
        <w:t>Undang-Undang Nomor 16 Tahun 2016 tentang Pengesahan Paris Agreement.</w:t>
        <w:br/>
        <w:t>Starke, J. G. (1992). Pengantar Hukum Internasional Jilid 1 dan 2 (terjemahan). Sinar Grafika.</w:t>
        <w:br/>
        <w:t>Kusumaatmadja, M. dan Agoes, E. R. (2010). Pengantar Hukum Internasional. Alumni.</w:t>
      </w:r>
    </w:p>
    <w:p>
      <w:pPr>
        <w:spacing w:after="120"/>
        <w:ind w:firstLine="567"/>
      </w:pPr>
      <w:r>
        <w:rPr>
          <w:sz w:val="22"/>
        </w:rPr>
        <w:t>Demikian uraian saya mengenai tahapan perjanjian internasional. Semoga bermanfaat dan saya terbuka untuk berdiskusi lebih lanjut. Terima kasih.</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