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Report — Q3 2025</w:t>
      </w:r>
    </w:p>
    <w:p>
      <w:r>
        <w:t>This report summarises the financial performance, inventory position, and staffing overview for Acme Corp during the third quarter of 2025. All figures are presented in US dollars unless otherwise noted.</w:t>
      </w:r>
    </w:p>
    <w:p>
      <w:pPr>
        <w:pStyle w:val="Heading2"/>
      </w:pPr>
      <w:r>
        <w:t>Financial Summary</w:t>
      </w:r>
    </w:p>
    <w:p>
      <w:r>
        <w:t>The following table provides a high-level view of revenue, cost of goods sold (COGS), gross profit, operating expenses, and net income for Q3 2025 compared with the prior quarter and the same quarter last year.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Q3 2025</w:t>
            </w:r>
          </w:p>
        </w:tc>
        <w:tc>
          <w:tcPr>
            <w:tcW w:type="dxa" w:w="1728"/>
          </w:tcPr>
          <w:p>
            <w:r>
              <w:t>Q2 2025</w:t>
            </w:r>
          </w:p>
        </w:tc>
        <w:tc>
          <w:tcPr>
            <w:tcW w:type="dxa" w:w="1728"/>
          </w:tcPr>
          <w:p>
            <w:r>
              <w:t>Q3 2024</w:t>
            </w:r>
          </w:p>
        </w:tc>
        <w:tc>
          <w:tcPr>
            <w:tcW w:type="dxa" w:w="1728"/>
          </w:tcPr>
          <w:p>
            <w:r>
              <w:t>YoY Change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$12,450,000</w:t>
            </w:r>
          </w:p>
        </w:tc>
        <w:tc>
          <w:tcPr>
            <w:tcW w:type="dxa" w:w="1728"/>
          </w:tcPr>
          <w:p>
            <w:r>
              <w:t>$11,820,000</w:t>
            </w:r>
          </w:p>
        </w:tc>
        <w:tc>
          <w:tcPr>
            <w:tcW w:type="dxa" w:w="1728"/>
          </w:tcPr>
          <w:p>
            <w:r>
              <w:t>$10,900,000</w:t>
            </w:r>
          </w:p>
        </w:tc>
        <w:tc>
          <w:tcPr>
            <w:tcW w:type="dxa" w:w="1728"/>
          </w:tcPr>
          <w:p>
            <w:r>
              <w:t>+14.2 %</w:t>
            </w:r>
          </w:p>
        </w:tc>
      </w:tr>
      <w:tr>
        <w:tc>
          <w:tcPr>
            <w:tcW w:type="dxa" w:w="1728"/>
          </w:tcPr>
          <w:p>
            <w:r>
              <w:t>Cost of Goods Sold</w:t>
            </w:r>
          </w:p>
        </w:tc>
        <w:tc>
          <w:tcPr>
            <w:tcW w:type="dxa" w:w="1728"/>
          </w:tcPr>
          <w:p>
            <w:r>
              <w:t>$7,470,000</w:t>
            </w:r>
          </w:p>
        </w:tc>
        <w:tc>
          <w:tcPr>
            <w:tcW w:type="dxa" w:w="1728"/>
          </w:tcPr>
          <w:p>
            <w:r>
              <w:t>$7,210,000</w:t>
            </w:r>
          </w:p>
        </w:tc>
        <w:tc>
          <w:tcPr>
            <w:tcW w:type="dxa" w:w="1728"/>
          </w:tcPr>
          <w:p>
            <w:r>
              <w:t>$6,760,000</w:t>
            </w:r>
          </w:p>
        </w:tc>
        <w:tc>
          <w:tcPr>
            <w:tcW w:type="dxa" w:w="1728"/>
          </w:tcPr>
          <w:p>
            <w:r>
              <w:t>+10.5 %</w:t>
            </w:r>
          </w:p>
        </w:tc>
      </w:tr>
      <w:tr>
        <w:tc>
          <w:tcPr>
            <w:tcW w:type="dxa" w:w="1728"/>
          </w:tcPr>
          <w:p>
            <w:r>
              <w:t>Gross Profit</w:t>
            </w:r>
          </w:p>
        </w:tc>
        <w:tc>
          <w:tcPr>
            <w:tcW w:type="dxa" w:w="1728"/>
          </w:tcPr>
          <w:p>
            <w:r>
              <w:t>$4,980,000</w:t>
            </w:r>
          </w:p>
        </w:tc>
        <w:tc>
          <w:tcPr>
            <w:tcW w:type="dxa" w:w="1728"/>
          </w:tcPr>
          <w:p>
            <w:r>
              <w:t>$4,610,000</w:t>
            </w:r>
          </w:p>
        </w:tc>
        <w:tc>
          <w:tcPr>
            <w:tcW w:type="dxa" w:w="1728"/>
          </w:tcPr>
          <w:p>
            <w:r>
              <w:t>$4,140,000</w:t>
            </w:r>
          </w:p>
        </w:tc>
        <w:tc>
          <w:tcPr>
            <w:tcW w:type="dxa" w:w="1728"/>
          </w:tcPr>
          <w:p>
            <w:r>
              <w:t>+20.3 %</w:t>
            </w:r>
          </w:p>
        </w:tc>
      </w:tr>
      <w:tr>
        <w:tc>
          <w:tcPr>
            <w:tcW w:type="dxa" w:w="1728"/>
          </w:tcPr>
          <w:p>
            <w:r>
              <w:t>Operating Expenses</w:t>
            </w:r>
          </w:p>
        </w:tc>
        <w:tc>
          <w:tcPr>
            <w:tcW w:type="dxa" w:w="1728"/>
          </w:tcPr>
          <w:p>
            <w:r>
              <w:t>$2,850,000</w:t>
            </w:r>
          </w:p>
        </w:tc>
        <w:tc>
          <w:tcPr>
            <w:tcW w:type="dxa" w:w="1728"/>
          </w:tcPr>
          <w:p>
            <w:r>
              <w:t>$2,790,000</w:t>
            </w:r>
          </w:p>
        </w:tc>
        <w:tc>
          <w:tcPr>
            <w:tcW w:type="dxa" w:w="1728"/>
          </w:tcPr>
          <w:p>
            <w:r>
              <w:t>$2,610,000</w:t>
            </w:r>
          </w:p>
        </w:tc>
        <w:tc>
          <w:tcPr>
            <w:tcW w:type="dxa" w:w="1728"/>
          </w:tcPr>
          <w:p>
            <w:r>
              <w:t>+9.2 %</w:t>
            </w:r>
          </w:p>
        </w:tc>
      </w:tr>
      <w:tr>
        <w:tc>
          <w:tcPr>
            <w:tcW w:type="dxa" w:w="1728"/>
          </w:tcPr>
          <w:p>
            <w:r>
              <w:t>Net Income</w:t>
            </w:r>
          </w:p>
        </w:tc>
        <w:tc>
          <w:tcPr>
            <w:tcW w:type="dxa" w:w="1728"/>
          </w:tcPr>
          <w:p>
            <w:r>
              <w:t>$2,130,000</w:t>
            </w:r>
          </w:p>
        </w:tc>
        <w:tc>
          <w:tcPr>
            <w:tcW w:type="dxa" w:w="1728"/>
          </w:tcPr>
          <w:p>
            <w:r>
              <w:t>$1,820,000</w:t>
            </w:r>
          </w:p>
        </w:tc>
        <w:tc>
          <w:tcPr>
            <w:tcW w:type="dxa" w:w="1728"/>
          </w:tcPr>
          <w:p>
            <w:r>
              <w:t>$1,530,000</w:t>
            </w:r>
          </w:p>
        </w:tc>
        <w:tc>
          <w:tcPr>
            <w:tcW w:type="dxa" w:w="1728"/>
          </w:tcPr>
          <w:p>
            <w:r>
              <w:t>+39.2 %</w:t>
            </w:r>
          </w:p>
        </w:tc>
      </w:tr>
    </w:tbl>
    <w:p>
      <w:r>
        <w:t>Revenue grew 14.2 % year-over-year, driven primarily by strong demand in the North American and European markets. Gross margin improved to 40.0 %, up from 38.0 % in Q3 2024, reflecting operational efficiencies and favourable input costs.</w:t>
      </w:r>
    </w:p>
    <w:p>
      <w:pPr>
        <w:pStyle w:val="Heading2"/>
      </w:pPr>
      <w:r>
        <w:t>Inventory Status</w:t>
      </w:r>
    </w:p>
    <w:p>
      <w:r>
        <w:t>Effective inventory management remains a priority. The table below shows current stock levels across our main product categories.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 Category</w:t>
            </w:r>
          </w:p>
        </w:tc>
        <w:tc>
          <w:tcPr>
            <w:tcW w:type="dxa" w:w="1728"/>
          </w:tcPr>
          <w:p>
            <w:r>
              <w:t>SKU Count</w:t>
            </w:r>
          </w:p>
        </w:tc>
        <w:tc>
          <w:tcPr>
            <w:tcW w:type="dxa" w:w="1728"/>
          </w:tcPr>
          <w:p>
            <w:r>
              <w:t>Units in Stock</w:t>
            </w:r>
          </w:p>
        </w:tc>
        <w:tc>
          <w:tcPr>
            <w:tcW w:type="dxa" w:w="1728"/>
          </w:tcPr>
          <w:p>
            <w:r>
              <w:t>Reorder Point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Electronics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34,500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Adequate</w:t>
            </w:r>
          </w:p>
        </w:tc>
      </w:tr>
      <w:tr>
        <w:tc>
          <w:tcPr>
            <w:tcW w:type="dxa" w:w="1728"/>
          </w:tcPr>
          <w:p>
            <w:r>
              <w:t>Home Appliances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12,200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Adequate</w:t>
            </w:r>
          </w:p>
        </w:tc>
      </w:tr>
      <w:tr>
        <w:tc>
          <w:tcPr>
            <w:tcW w:type="dxa" w:w="1728"/>
          </w:tcPr>
          <w:p>
            <w:r>
              <w:t>Office Supplies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98,000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Adequate</w:t>
            </w:r>
          </w:p>
        </w:tc>
      </w:tr>
      <w:tr>
        <w:tc>
          <w:tcPr>
            <w:tcW w:type="dxa" w:w="1728"/>
          </w:tcPr>
          <w:p>
            <w:r>
              <w:t>Industrial Tools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4,800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Low — reorder initiated</w:t>
            </w:r>
          </w:p>
        </w:tc>
      </w:tr>
      <w:tr>
        <w:tc>
          <w:tcPr>
            <w:tcW w:type="dxa" w:w="1728"/>
          </w:tcPr>
          <w:p>
            <w:r>
              <w:t>Automotive Parts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22,100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Adequate</w:t>
            </w:r>
          </w:p>
        </w:tc>
      </w:tr>
      <w:tr>
        <w:tc>
          <w:tcPr>
            <w:tcW w:type="dxa" w:w="1728"/>
          </w:tcPr>
          <w:p>
            <w:r>
              <w:t>Health &amp; Safety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7,300</w:t>
            </w:r>
          </w:p>
        </w:tc>
        <w:tc>
          <w:tcPr>
            <w:tcW w:type="dxa" w:w="1728"/>
          </w:tcPr>
          <w:p>
            <w:r>
              <w:t>7,000</w:t>
            </w:r>
          </w:p>
        </w:tc>
        <w:tc>
          <w:tcPr>
            <w:tcW w:type="dxa" w:w="1728"/>
          </w:tcPr>
          <w:p>
            <w:r>
              <w:t>Marginal</w:t>
            </w:r>
          </w:p>
        </w:tc>
      </w:tr>
    </w:tbl>
    <w:p>
      <w:r>
        <w:t>Industrial Tools inventory dipped below the reorder point in late August; a purchase order for 3,000 additional units was placed on September 5. Health &amp; Safety stock is marginal and will be reviewed in the upcoming planning cycle.</w:t>
      </w:r>
    </w:p>
    <w:p>
      <w:pPr>
        <w:pStyle w:val="Heading2"/>
      </w:pPr>
      <w:r>
        <w:t>Key Personnel</w:t>
      </w:r>
    </w:p>
    <w:p>
      <w:r>
        <w:t>The following directory lists the leadership team responsible for Q3 operations and their primary contact information.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</w:tr>
      <w:tr>
        <w:tc>
          <w:tcPr>
            <w:tcW w:type="dxa" w:w="1728"/>
          </w:tcPr>
          <w:p>
            <w:r>
              <w:t>Sarah Chen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Executive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  <w:tc>
          <w:tcPr>
            <w:tcW w:type="dxa" w:w="1728"/>
          </w:tcPr>
          <w:p>
            <w:r>
              <w:t>s.chen@acme.com</w:t>
            </w:r>
          </w:p>
        </w:tc>
      </w:tr>
      <w:tr>
        <w:tc>
          <w:tcPr>
            <w:tcW w:type="dxa" w:w="1728"/>
          </w:tcPr>
          <w:p>
            <w:r>
              <w:t>James Okafor</w:t>
            </w:r>
          </w:p>
        </w:tc>
        <w:tc>
          <w:tcPr>
            <w:tcW w:type="dxa" w:w="1728"/>
          </w:tcPr>
          <w:p>
            <w:r>
              <w:t>CFO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  <w:tc>
          <w:tcPr>
            <w:tcW w:type="dxa" w:w="1728"/>
          </w:tcPr>
          <w:p>
            <w:r>
              <w:t>j.okafor@acme.com</w:t>
            </w:r>
          </w:p>
        </w:tc>
      </w:tr>
      <w:tr>
        <w:tc>
          <w:tcPr>
            <w:tcW w:type="dxa" w:w="1728"/>
          </w:tcPr>
          <w:p>
            <w:r>
              <w:t>Maria Gonzalez</w:t>
            </w:r>
          </w:p>
        </w:tc>
        <w:tc>
          <w:tcPr>
            <w:tcW w:type="dxa" w:w="1728"/>
          </w:tcPr>
          <w:p>
            <w:r>
              <w:t>VP of Engineering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San Francisco</w:t>
            </w:r>
          </w:p>
        </w:tc>
        <w:tc>
          <w:tcPr>
            <w:tcW w:type="dxa" w:w="1728"/>
          </w:tcPr>
          <w:p>
            <w:r>
              <w:t>m.gonzalez@acme.com</w:t>
            </w:r>
          </w:p>
        </w:tc>
      </w:tr>
      <w:tr>
        <w:tc>
          <w:tcPr>
            <w:tcW w:type="dxa" w:w="1728"/>
          </w:tcPr>
          <w:p>
            <w:r>
              <w:t>David Kim</w:t>
            </w:r>
          </w:p>
        </w:tc>
        <w:tc>
          <w:tcPr>
            <w:tcW w:type="dxa" w:w="1728"/>
          </w:tcPr>
          <w:p>
            <w:r>
              <w:t>VP of Sales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Chicago</w:t>
            </w:r>
          </w:p>
        </w:tc>
        <w:tc>
          <w:tcPr>
            <w:tcW w:type="dxa" w:w="1728"/>
          </w:tcPr>
          <w:p>
            <w:r>
              <w:t>d.kim@acme.com</w:t>
            </w:r>
          </w:p>
        </w:tc>
      </w:tr>
      <w:tr>
        <w:tc>
          <w:tcPr>
            <w:tcW w:type="dxa" w:w="1728"/>
          </w:tcPr>
          <w:p>
            <w:r>
              <w:t>Priya Patel</w:t>
            </w:r>
          </w:p>
        </w:tc>
        <w:tc>
          <w:tcPr>
            <w:tcW w:type="dxa" w:w="1728"/>
          </w:tcPr>
          <w:p>
            <w:r>
              <w:t>VP of Operations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Dallas</w:t>
            </w:r>
          </w:p>
        </w:tc>
        <w:tc>
          <w:tcPr>
            <w:tcW w:type="dxa" w:w="1728"/>
          </w:tcPr>
          <w:p>
            <w:r>
              <w:t>p.patel@acme.com</w:t>
            </w:r>
          </w:p>
        </w:tc>
      </w:tr>
      <w:tr>
        <w:tc>
          <w:tcPr>
            <w:tcW w:type="dxa" w:w="1728"/>
          </w:tcPr>
          <w:p>
            <w:r>
              <w:t>Thomas Weber</w:t>
            </w:r>
          </w:p>
        </w:tc>
        <w:tc>
          <w:tcPr>
            <w:tcW w:type="dxa" w:w="1728"/>
          </w:tcPr>
          <w:p>
            <w:r>
              <w:t>Head of HR</w:t>
            </w:r>
          </w:p>
        </w:tc>
        <w:tc>
          <w:tcPr>
            <w:tcW w:type="dxa" w:w="1728"/>
          </w:tcPr>
          <w:p>
            <w:r>
              <w:t>Human Resources</w:t>
            </w:r>
          </w:p>
        </w:tc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t.weber@acme.com</w:t>
            </w:r>
          </w:p>
        </w:tc>
      </w:tr>
      <w:tr>
        <w:tc>
          <w:tcPr>
            <w:tcW w:type="dxa" w:w="1728"/>
          </w:tcPr>
          <w:p>
            <w:r>
              <w:t>Aisha Mohammed</w:t>
            </w:r>
          </w:p>
        </w:tc>
        <w:tc>
          <w:tcPr>
            <w:tcW w:type="dxa" w:w="1728"/>
          </w:tcPr>
          <w:p>
            <w:r>
              <w:t>General Counsel</w:t>
            </w:r>
          </w:p>
        </w:tc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  <w:tc>
          <w:tcPr>
            <w:tcW w:type="dxa" w:w="1728"/>
          </w:tcPr>
          <w:p>
            <w:r>
              <w:t>a.mohammed@acme.com</w:t>
            </w:r>
          </w:p>
        </w:tc>
      </w:tr>
    </w:tbl>
    <w:p>
      <w:pPr>
        <w:pStyle w:val="Heading2"/>
      </w:pPr>
      <w:r>
        <w:t>Outlook</w:t>
      </w:r>
    </w:p>
    <w:p>
      <w:r>
        <w:t>Management expects revenue growth to continue in Q4, supported by the holiday season and new product launches planned for November. Capital expenditure for the quarter is budgeted at $1.2 million, primarily for warehouse automation and IT infrastructure upgrades.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