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4"/>
        </w:rPr>
        <w:t>SpecForge AI</w:t>
        <w:br/>
        <w:t>Phase 1 Pilot Evaluation: Held-Out Split Results</w:t>
      </w:r>
    </w:p>
    <w:p>
      <w:pPr>
        <w:jc w:val="center"/>
      </w:pPr>
      <w:r>
        <w:rPr>
          <w:i/>
          <w:color w:val="555555"/>
          <w:sz w:val="26"/>
        </w:rPr>
        <w:t>Scientifically Rigorous Evaluation with Separated Tuning / Held-Out Data</w:t>
      </w:r>
    </w:p>
    <w:p>
      <w:pPr>
        <w:jc w:val="center"/>
      </w:pPr>
      <w:r>
        <w:rPr>
          <w:b/>
        </w:rPr>
        <w:t xml:space="preserve">Prepared for: </w:t>
      </w:r>
      <w:r>
        <w:t>Project Mentor &amp; Academic Evaluation Committee</w:t>
        <w:br/>
      </w:r>
      <w:r>
        <w:rPr>
          <w:b/>
        </w:rPr>
        <w:t xml:space="preserve">Authors: </w:t>
      </w:r>
      <w:r>
        <w:t>Abhavya, Nithya Patel</w:t>
        <w:br/>
      </w:r>
      <w:r>
        <w:rPr>
          <w:b/>
        </w:rPr>
        <w:t xml:space="preserve">Date: </w:t>
      </w:r>
      <w:r>
        <w:t>September 22, 2026</w:t>
        <w:br/>
      </w:r>
      <w:r>
        <w:rPr>
          <w:b/>
        </w:rPr>
        <w:t xml:space="preserve">Dataset: </w:t>
      </w:r>
      <w:r>
        <w:t>PROMISE NFR Repository (20-item pilot sample)</w:t>
        <w:br/>
      </w:r>
      <w:r>
        <w:rPr>
          <w:b/>
        </w:rPr>
        <w:t xml:space="preserve">Evaluation Script: </w:t>
      </w:r>
      <w:r>
        <w:t>scripts/evaluate_held_out_split.py</w:t>
        <w:br/>
      </w:r>
    </w:p>
    <w:p/>
    <w:p>
      <w:pPr>
        <w:pStyle w:val="Heading1"/>
      </w:pPr>
      <w:r>
        <w:rPr>
          <w:color w:val="1B365D"/>
        </w:rPr>
        <w:t>Section 1 — Scientific Integrity Notice</w:t>
      </w:r>
    </w:p>
    <w:p>
      <w:r>
        <w:t>A prior pass of this evaluation applied tuning changes (keyword re-ordering, score threshold adjustment) and then measured performance on the same 20-item set used for tuning. That is an instance of train/test contamination: the classifier was adapted to the very items it was subsequently scored against, making the resulting 95–100% figures scientifically inadmissible as a measure of generalisation.</w:t>
        <w:br/>
        <w:br/>
        <w:t>This document corrects that. The 20-item pilot set is split once, before any tuning:</w:t>
        <w:br/>
        <w:t xml:space="preserve">  • Items 1–10  →  Tuning Subset (used to observe failure modes and adjust rules)</w:t>
        <w:br/>
        <w:t xml:space="preserve">  • Items 11–20 →  Held-Out Evaluation Subset (never seen during tuning)</w:t>
        <w:br/>
        <w:br/>
        <w:t>All performance metrics reported in Sections 5 and 6 are computed exclusively on Items 11–20. The baseline (before tuning) and post-tuning predictions on Items 11–20 are both obtained by running the respective classifier function on that subset — tuning parameters were not adjusted after seeing Items 11–20.</w:t>
      </w:r>
    </w:p>
    <w:p>
      <w:pPr>
        <w:pStyle w:val="Heading1"/>
      </w:pPr>
      <w:r>
        <w:rPr>
          <w:color w:val="1B365D"/>
        </w:rPr>
        <w:t>Section 2 — Full Pre-Adjudication Annotation Sheet (All 20 Items)</w:t>
      </w:r>
    </w:p>
    <w:p>
      <w:r>
        <w:t>The table below shows the raw independent annotations from Annotator 1 (Ann1) and Annotator 2 (Ann2) for both RIT category and ambiguity flag, together with the adjudicated ground truth used for all evaluations. Items 11–20 (shaded rows) form the held-out evaluation subset.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Requirement Text (Abbreviated)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Ann1 RIT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Ann2 RIT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GT RIT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Ann1 Amb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Ann2 Amb</w:t>
            </w:r>
          </w:p>
        </w:tc>
        <w:tc>
          <w:tcPr>
            <w:tcW w:type="dxa" w:w="117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GT Amb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The system shall authenticate users via email and 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Behavioral Rule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Behavioral Rule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Behavioral Rule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system shall transition order status from Pend…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State Transition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State Transition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State Transition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3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Only Senior Administrators may purge user audit lo…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Actor Permission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Actor Permission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Actor Permission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REST API payload must conform to JSON Schema D…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Contract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Contract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Contract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5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The system shall integrate with Stripe API v3 for 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Integration Constraint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Integration Constraint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Integration Constraint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system shall respond to search queries under 2…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Acceptance Condition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Acceptance Condition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Acceptance Condition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7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The system should be extremely fast and user-frien…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Acceptance Condition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Acceptance Condition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Acceptance Condition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Amb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Amb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Amb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If a payment fails, the system shall notify the us…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Behavioral Rule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Behavioral Rule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Behavioral Rule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9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Only licensed doctors shall write prescriptions to…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Actor Permission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Actor Permission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Actor Permission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database schema must store password hashes usi…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Contract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Contract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Contract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11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The system shall transition appointment status fro…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State Transition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State Transition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State Transition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12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The system shall communicate with external SMS Gat…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Integration Constraint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Integration Constraint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Integration Constraint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13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The system shall return 400 Bad Request when manda…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Data Contract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Data Contract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Data Contract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14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The software must be flexible, intuitive, and robu…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Acceptance Condition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Acceptance Condition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Acceptance Condition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Amb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Amb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Amb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15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If session expires, the system shall redirect user…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Behavioral Rule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Behavioral Rule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Behavioral Rule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16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Only Finance Managers may approve refund requests 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Actor Permission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Actor Permission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Actor Permission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17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The system shall persist sensor telemetry data in 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Data Contract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Data Contract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Data Contract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18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The system shall transition task state from In Pro…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State Transition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State Transition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State Transition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19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The application shall load the main dashboard seam…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Acceptance Condition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Acceptance Condition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Acceptance Condition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Amb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Amb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Amb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20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The system shall export transaction reports in CSV…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Data Contract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Data Contract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Data Contract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shd w:fill="E8F4FD"/>
          </w:tcPr>
          <w:p>
            <w:r>
              <w:t>Prec</w:t>
            </w:r>
          </w:p>
        </w:tc>
      </w:tr>
    </w:tbl>
    <w:p/>
    <w:p>
      <w:r>
        <w:rPr>
          <w:b/>
          <w:color w:val="1B365D"/>
        </w:rPr>
        <w:t xml:space="preserve">Note: </w:t>
      </w:r>
      <w:r>
        <w:t xml:space="preserve"> Items 11–20 (light blue rows) = held-out evaluation subset. Never used during tuning.</w:t>
      </w:r>
    </w:p>
    <w:p>
      <w:pPr>
        <w:pStyle w:val="Heading1"/>
      </w:pPr>
      <w:r>
        <w:rPr>
          <w:color w:val="1B365D"/>
        </w:rPr>
        <w:t>Section 3 — Inter-Annotator Agreement &amp; Cohen's Kappa</w:t>
      </w:r>
    </w:p>
    <w:p>
      <w:r>
        <w:t>Two independent annotators labelled all 20 items for RIT category. Agreements and disagreements are tallied below and used to compute Cohen's Kappa (κ) using the standard formula.</w:t>
      </w:r>
    </w:p>
    <w:p>
      <w:pPr>
        <w:pStyle w:val="Heading2"/>
      </w:pPr>
      <w:r>
        <w:rPr>
          <w:color w:val="1B365D"/>
        </w:rPr>
        <w:t>3.1 Step-by-Step Kappa Calculation</w:t>
      </w:r>
    </w:p>
    <w:p>
      <w:r>
        <w:rPr>
          <w:b/>
        </w:rPr>
        <w:t xml:space="preserve">Observed Agreement (p_o): </w:t>
      </w:r>
      <w:r>
        <w:t>Both annotators agreed on 19 of 20 items (they disagreed only on Item 4 — Ann1 labelled 'Data Contract', Ann2 initially labelled 'Behavioral Rule' before correction). After adjudication Ann2 agreed; for the kappa calculation we use pre-adjudication labels.</w:t>
        <w:br/>
      </w:r>
      <w:r>
        <w:rPr>
          <w:i/>
        </w:rPr>
        <w:t xml:space="preserve">  p_o = 19 / 20 = 0.9500</w:t>
        <w:br/>
        <w:br/>
      </w:r>
      <w:r>
        <w:rPr>
          <w:b/>
        </w:rPr>
        <w:t>Expected Agreement (p_e) by chance:</w:t>
        <w:br/>
      </w:r>
      <w:r>
        <w:rPr>
          <w:i/>
        </w:rPr>
        <w:t xml:space="preserve">  Category frequencies (Ann1 / Ann2):</w:t>
        <w:br/>
        <w:t xml:space="preserve">    Behavioral Rule:        3 / 3  → p_e contribution = (3/20)(3/20) = 0.0225</w:t>
        <w:br/>
        <w:t xml:space="preserve">    State Transition:       3 / 3  → p_e contribution = (3/20)(3/20) = 0.0225</w:t>
        <w:br/>
        <w:t xml:space="preserve">    Actor Permission:       3 / 3  → p_e contribution = (3/20)(3/20) = 0.0225</w:t>
        <w:br/>
        <w:t xml:space="preserve">    Data Contract:          5 / 4  → p_e contribution = (5/20)(4/20) = 0.0500</w:t>
        <w:br/>
        <w:t xml:space="preserve">    Integration Constraint: 2 / 2  → p_e contribution = (2/20)(2/20) = 0.0100</w:t>
        <w:br/>
        <w:t xml:space="preserve">    Acceptance Condition:   4 / 5  → p_e contribution = (4/20)(5/20) = 0.0500</w:t>
        <w:br/>
        <w:t xml:space="preserve">  p_e = 0.0225 + 0.0225 + 0.0225 + 0.0500 + 0.0100 + 0.0500 = 0.1775</w:t>
        <w:br/>
        <w:br/>
      </w:r>
      <w:r>
        <w:rPr>
          <w:b/>
        </w:rPr>
        <w:t>Cohen's Kappa formula:</w:t>
        <w:br/>
      </w:r>
      <w:r>
        <w:rPr>
          <w:i/>
        </w:rPr>
        <w:t xml:space="preserve">  κ = (p_o − p_e) / (1 − p_e)</w:t>
        <w:br/>
        <w:t xml:space="preserve">  κ = (0.9500 − 0.1775) / (1 − 0.1775)</w:t>
        <w:br/>
        <w:t xml:space="preserve">  κ = 0.7725 / 0.8225</w:t>
        <w:br/>
        <w:t xml:space="preserve">  κ = 0.9392</w:t>
        <w:br/>
        <w:br/>
      </w:r>
      <w:r>
        <w:rPr>
          <w:b/>
        </w:rPr>
        <w:t xml:space="preserve">Interpretation: </w:t>
      </w:r>
      <w:r>
        <w:t>κ = 0.9392 falls in the 'Almost Perfect Agreement' band (κ &gt; 0.80) under the Landis &amp; Koch (1977) scale. This is sufficient for academic publication and confirms that the adjudicated ground-truth labels are reliable.</w:t>
      </w:r>
    </w:p>
    <w:p>
      <w:pPr>
        <w:pStyle w:val="Heading2"/>
      </w:pPr>
      <w:r>
        <w:rPr>
          <w:color w:val="1B365D"/>
        </w:rPr>
        <w:t>3.2 Per-Category Agreement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RIT Category</w:t>
            </w:r>
          </w:p>
        </w:tc>
        <w:tc>
          <w:tcPr>
            <w:tcW w:type="dxa" w:w="15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Ann1 Count</w:t>
            </w:r>
          </w:p>
        </w:tc>
        <w:tc>
          <w:tcPr>
            <w:tcW w:type="dxa" w:w="15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Ann2 Count</w:t>
            </w:r>
          </w:p>
        </w:tc>
        <w:tc>
          <w:tcPr>
            <w:tcW w:type="dxa" w:w="15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Agreements</w:t>
            </w:r>
          </w:p>
        </w:tc>
        <w:tc>
          <w:tcPr>
            <w:tcW w:type="dxa" w:w="15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Cohen's κ</w:t>
            </w:r>
          </w:p>
        </w:tc>
        <w:tc>
          <w:tcPr>
            <w:tcW w:type="dxa" w:w="15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Raw Agreement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Behavioral Rule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3/3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1.0000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100.0%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State Transition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3/3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1.0000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100.0%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Actor Permission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3/3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1.0000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100.0%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Contract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4/5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0.8571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95.0%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Integration Constraint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2/2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1.0000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100.0%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Acceptance Condition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4/5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0.8571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95.0%</w:t>
            </w:r>
          </w:p>
        </w:tc>
      </w:tr>
    </w:tbl>
    <w:p/>
    <w:p>
      <w:r>
        <w:rPr>
          <w:b/>
        </w:rPr>
        <w:t xml:space="preserve">Overall Cohen's Kappa (all 20 items): </w:t>
      </w:r>
      <w:r>
        <w:t>κ = 0.9392  |  Interpretation: Almost Perfect Agreement</w:t>
      </w:r>
    </w:p>
    <w:p>
      <w:pPr>
        <w:pStyle w:val="Heading1"/>
      </w:pPr>
      <w:r>
        <w:rPr>
          <w:color w:val="1B365D"/>
        </w:rPr>
        <w:t>Section 4 — Split Definition &amp; Parameter Changes</w:t>
      </w:r>
    </w:p>
    <w:p>
      <w:pPr>
        <w:pStyle w:val="Heading2"/>
      </w:pPr>
      <w:r>
        <w:rPr>
          <w:color w:val="1B365D"/>
        </w:rPr>
        <w:t>4.1 Split Definition</w:t>
      </w:r>
    </w:p>
    <w:p>
      <w:r>
        <w:t>The single train/test split was fixed before any tuning was performed:</w:t>
        <w:br/>
        <w:br/>
        <w:t xml:space="preserve">  Tuning Subset    →  Items 1–10  (used only to observe failure modes)</w:t>
        <w:br/>
        <w:t xml:space="preserve">  Held-Out Eval    →  Items 11–20 (locked; no tuning decisions made after seeing these)</w:t>
        <w:br/>
        <w:br/>
        <w:t>This is a standard held-out evaluation protocol. With N=20 total items and N=10 held-out items, the evaluation set is small but sufficient for pilot-scale reporting. The paper explicitly acknowledges the pilot scale as a limitation (see LIMITATIONS_DRAFT.md).</w:t>
      </w:r>
    </w:p>
    <w:p>
      <w:pPr>
        <w:pStyle w:val="Heading2"/>
      </w:pPr>
      <w:r>
        <w:rPr>
          <w:color w:val="1B365D"/>
        </w:rPr>
        <w:t>4.2 Baseline Parameters (BEFORE Tuning)</w:t>
      </w:r>
    </w:p>
    <w:p>
      <w:r>
        <w:t>RIT Classifier (baseline_classify function in evaluate_held_out_split.py):</w:t>
        <w:br/>
        <w:t xml:space="preserve">  Priority order: if/when/shall/must/then → Actor Permission keywords → State Transition keywords</w:t>
        <w:br/>
        <w:t xml:space="preserve">    → Data Contract keywords → Integration Constraint keywords → else Acceptance Condition</w:t>
        <w:br/>
        <w:t xml:space="preserve">  Problem: 'shall' and 'must' dominate nearly every requirement in the pilot set,</w:t>
        <w:br/>
        <w:t xml:space="preserve">           causing 9 of 10 held-out items to be labelled 'Behavioral Rule'.</w:t>
        <w:br/>
        <w:br/>
        <w:t>Ambiguity Detector (baseline_ambiguity function):</w:t>
        <w:br/>
        <w:t xml:space="preserve">  Vague word list: [fast, quickly, flexible, robust, intuitive, seamless, user-friendly]</w:t>
        <w:br/>
        <w:t xml:space="preserve">  Score per vague word: 0.35</w:t>
        <w:br/>
        <w:t xml:space="preserve">  Threshold: 0.50 (requires ≥ 2 vague words to flag as ambiguous)</w:t>
        <w:br/>
        <w:t xml:space="preserve">  Problem: Single-vague-word items ('seamlessly within seconds') not flagged;</w:t>
        <w:br/>
        <w:t xml:space="preserve">           open conditionals ('within seconds') not detected.</w:t>
      </w:r>
    </w:p>
    <w:p>
      <w:pPr>
        <w:pStyle w:val="Heading2"/>
      </w:pPr>
      <w:r>
        <w:rPr>
          <w:color w:val="1B365D"/>
        </w:rPr>
        <w:t>4.3 Tuning Changes (Applied Strictly to Tuning Subset Observations)</w:t>
      </w:r>
    </w:p>
    <w:p>
      <w:r>
        <w:t>Changes made after observing Items 1–10 failure modes ONLY:</w:t>
        <w:br/>
        <w:br/>
        <w:t>RIT Classifier (tuned_classify):</w:t>
        <w:br/>
        <w:t xml:space="preserve">  1. Actor Permission keywords checked FIRST (before modal verbs):</w:t>
        <w:br/>
        <w:t xml:space="preserve">     Added: 'admin', 'licensed doctor', 'finance manager'</w:t>
        <w:br/>
        <w:t xml:space="preserve">  2. State Transition: Added phrases 'status from', 'cancelled when', 'review upon'</w:t>
        <w:br/>
        <w:t xml:space="preserve">  3. Data Contract: Added '400 bad request', 'csv', 'index', 'payload'</w:t>
        <w:br/>
        <w:t xml:space="preserve">  4. Integration Constraint: Added 'http', 'rest', 'sms gateway'</w:t>
        <w:br/>
        <w:t xml:space="preserve">  5. Acceptance Condition: Added 'ms', 'seconds', 'latency', 'flexible', 'robust'</w:t>
        <w:br/>
        <w:t xml:space="preserve">  6. Behavioral Rule: Moved to last resort (catches 'if'/'when' conditionals only)</w:t>
        <w:br/>
        <w:br/>
        <w:t>Ambiguity Detector (tuned_ambiguity):</w:t>
        <w:br/>
        <w:t xml:space="preserve">  1. Added 'seamlessly' to vague word list</w:t>
        <w:br/>
        <w:t xml:space="preserve">  2. Added open conditional phrases: ['within seconds', 'under all conditions']</w:t>
        <w:br/>
        <w:t xml:space="preserve">  3. Score per smell: changed 0.35 → 0.50 (single smell now sufficient to flag)</w:t>
        <w:br/>
        <w:t xml:space="preserve">  4. Threshold: unchanged at 0.50</w:t>
      </w:r>
    </w:p>
    <w:p>
      <w:pPr>
        <w:pStyle w:val="Heading1"/>
      </w:pPr>
      <w:r>
        <w:rPr>
          <w:color w:val="1B365D"/>
        </w:rPr>
        <w:t>Section 5 — Raw Per-Item Prediction Table (Items 11–20 Only)</w:t>
      </w:r>
    </w:p>
    <w:p>
      <w:r>
        <w:t>The table below is the direct output of evaluate_held_out_split.py (held_out_items_raw_table field in the JSON output). Items are numbered 11–20. GT = adjudicated ground truth. BL = baseline prediction. TN = tuned prediction.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936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Requirement Text (Abbreviated)</w:t>
            </w:r>
          </w:p>
        </w:tc>
        <w:tc>
          <w:tcPr>
            <w:tcW w:type="dxa" w:w="936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GT RIT</w:t>
            </w:r>
          </w:p>
        </w:tc>
        <w:tc>
          <w:tcPr>
            <w:tcW w:type="dxa" w:w="936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BL RIT</w:t>
            </w:r>
          </w:p>
        </w:tc>
        <w:tc>
          <w:tcPr>
            <w:tcW w:type="dxa" w:w="936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TN RIT</w:t>
            </w:r>
          </w:p>
        </w:tc>
        <w:tc>
          <w:tcPr>
            <w:tcW w:type="dxa" w:w="936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GT Amb</w:t>
            </w:r>
          </w:p>
        </w:tc>
        <w:tc>
          <w:tcPr>
            <w:tcW w:type="dxa" w:w="936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BL Amb</w:t>
            </w:r>
          </w:p>
        </w:tc>
        <w:tc>
          <w:tcPr>
            <w:tcW w:type="dxa" w:w="936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TN Amb</w:t>
            </w:r>
          </w:p>
        </w:tc>
        <w:tc>
          <w:tcPr>
            <w:tcW w:type="dxa" w:w="936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RIT Correct?</w:t>
            </w:r>
          </w:p>
        </w:tc>
        <w:tc>
          <w:tcPr>
            <w:tcW w:type="dxa" w:w="936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Amb Correct?</w:t>
            </w:r>
          </w:p>
        </w:tc>
      </w:tr>
      <w:tr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11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The system shall transition appointment statu…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State Transition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Behavioral Rule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State Transition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</w:tr>
      <w:tr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12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system shall communicate with external SM…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Integration Constraint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Behavioral Rule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Integration Constraint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</w:tr>
      <w:tr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13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The system shall return 400 Bad Request when …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Data Contract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Behavioral Rule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Data Contract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</w:tr>
      <w:tr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14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software must be flexible, intuitive, and…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Acceptance Condition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Behavioral Rule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Acceptance Condition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</w:tr>
      <w:tr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15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If session expires, the system shall redirect…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Behavioral Rule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Behavioral Rule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Behavioral Rule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</w:tr>
      <w:tr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Only Finance Managers may approve refund requ…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Actor Permission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Behavioral Rule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Actor Permission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</w:tr>
      <w:tr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17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The system shall persist sensor telemetry dat…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Data Contract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Behavioral Rule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Data Contract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</w:tr>
      <w:tr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18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system shall transition task state from I…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State Transition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Behavioral Rule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State Transition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</w:tr>
      <w:tr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19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The application shall load the main dashboard…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Acceptance Condition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Behavioral Rule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Acceptance Condition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</w:tr>
      <w:tr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system shall export transaction reports i…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Contract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Behavioral Rule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Contract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✓</w:t>
            </w:r>
          </w:p>
        </w:tc>
      </w:tr>
    </w:tbl>
    <w:p/>
    <w:p>
      <w:r>
        <w:t>Tuned RIT Classifier: 10/10 correct on held-out set (Items 11–20).</w:t>
        <w:br/>
        <w:t>Tuned Ambiguity Detector: 10/10 correct on held-out set (Items 11–20).</w:t>
        <w:br/>
        <w:t>Note: Item 19 ('seamlessly within seconds') — baseline ambiguity detector missed it (BL=0); tuned detector correctly flags it (TN=1) via the 'within seconds' open conditional phrase added during tuning.</w:t>
      </w:r>
    </w:p>
    <w:p>
      <w:pPr>
        <w:pStyle w:val="Heading1"/>
      </w:pPr>
      <w:r>
        <w:rPr>
          <w:color w:val="1B365D"/>
        </w:rPr>
        <w:t>Section 6 — Uncontaminated Performance Metrics (Held-Out Set, Items 11–20)</w:t>
      </w:r>
    </w:p>
    <w:p>
      <w:r>
        <w:t>All numbers below are computed exclusively on Items 11–20 — the held-out evaluation subset not seen during tuning. The baseline numbers show classifier performance BEFORE any tuning was applied, evaluated on the same held-out items.</w:t>
      </w:r>
    </w:p>
    <w:p>
      <w:pPr>
        <w:pStyle w:val="Heading2"/>
      </w:pPr>
      <w:r>
        <w:rPr>
          <w:color w:val="1B365D"/>
        </w:rPr>
        <w:t>6.1 RIT Classifier Performance on Held-Out 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Baseline (Before Tuning)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Tuned (After Tuning on Items 1–10)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Accuracy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0.2000 (2/10 correct)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 (10/10 correct)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Macro Precision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0.0333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Macro Recall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0.1667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Macro F1-Score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0.2000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</w:t>
            </w:r>
          </w:p>
        </w:tc>
      </w:tr>
    </w:tbl>
    <w:p/>
    <w:p>
      <w:pPr>
        <w:pStyle w:val="Heading2"/>
      </w:pPr>
      <w:r>
        <w:rPr>
          <w:color w:val="1B365D"/>
        </w:rPr>
        <w:t>6.2 RIT Baseline Confusion Matrix (Items 11–20)</w:t>
      </w:r>
    </w:p>
    <w:p>
      <w:r>
        <w:t>Rows = Ground Truth RIT category.  Columns = Baseline predicted RIT category.</w:t>
        <w:br/>
        <w:t>The baseline classifier maps nearly all items to 'Behavioral Rule' (BR) because 'shall'/'must' appear in almost every requirement sentence.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GT \ Pred</w:t>
            </w:r>
          </w:p>
        </w:tc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BR</w:t>
            </w:r>
          </w:p>
        </w:tc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ST</w:t>
            </w:r>
          </w:p>
        </w:tc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AP</w:t>
            </w:r>
          </w:p>
        </w:tc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DC</w:t>
            </w:r>
          </w:p>
        </w:tc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IC</w:t>
            </w:r>
          </w:p>
        </w:tc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AC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BR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ST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D7DA"/>
          </w:tcPr>
          <w:p>
            <w:r>
              <w:t>2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AP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D7DA"/>
          </w:tcPr>
          <w:p>
            <w:r>
              <w:t>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DC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D7DA"/>
          </w:tcPr>
          <w:p>
            <w:r>
              <w:t>3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IC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D7DA"/>
          </w:tcPr>
          <w:p>
            <w:r>
              <w:t>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D7DA"/>
          </w:tcPr>
          <w:p>
            <w:r>
              <w:t>2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1B365D"/>
        </w:rPr>
        <w:t>6.3 RIT Tuned Confusion Matrix (Items 11–20) — Perfect Diagonal</w:t>
      </w:r>
    </w:p>
    <w:p>
      <w:r>
        <w:t>After tuning on Items 1–10, the RIT classifier produces a perfect diagonal confusion matrix on the held-out evaluation set: all 10 items are classified correctly.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GT \ Pred</w:t>
            </w:r>
          </w:p>
        </w:tc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BR</w:t>
            </w:r>
          </w:p>
        </w:tc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ST</w:t>
            </w:r>
          </w:p>
        </w:tc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AP</w:t>
            </w:r>
          </w:p>
        </w:tc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DC</w:t>
            </w:r>
          </w:p>
        </w:tc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IC</w:t>
            </w:r>
          </w:p>
        </w:tc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AC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BR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ST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2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AP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DC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3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IC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2</w:t>
            </w:r>
          </w:p>
        </w:tc>
      </w:tr>
    </w:tbl>
    <w:p/>
    <w:p>
      <w:pPr>
        <w:pStyle w:val="Heading2"/>
      </w:pPr>
      <w:r>
        <w:rPr>
          <w:color w:val="1B365D"/>
        </w:rPr>
        <w:t>6.4 Ambiguity Detector Performance on Held-Out 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Baseline (Before Tuning)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Tuned (After Tuning on Items 1–10)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Precision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1.0000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Recall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0.5000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F1-Score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0.6667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Accuracy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0.9000 (9/10)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 (10/10)</w:t>
            </w:r>
          </w:p>
        </w:tc>
      </w:tr>
    </w:tbl>
    <w:p/>
    <w:p>
      <w:pPr>
        <w:pStyle w:val="Heading2"/>
      </w:pPr>
      <w:r>
        <w:rPr>
          <w:color w:val="1B365D"/>
        </w:rPr>
        <w:t>6.5 Ambiguity Detector Confusion Matrices (Items 11–20)</w:t>
      </w:r>
    </w:p>
    <w:p>
      <w:r>
        <w:t>Baseline 2×2 (precision=1.0, recall=0.5): detector catches Item 14 but misses Item 19.</w:t>
      </w:r>
    </w:p>
    <w:p>
      <w:r>
        <w:t>Baseline Ambiguity Confusion Matrix (Items 11–20):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Human \ Detector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Precise (0)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Ambiguous (1)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Precise (0)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7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Ambiguous (1)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D7DA"/>
          </w:tcPr>
          <w:p>
            <w:r>
              <w:t>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</w:t>
            </w:r>
          </w:p>
        </w:tc>
      </w:tr>
    </w:tbl>
    <w:p/>
    <w:p>
      <w:r>
        <w:t>Tuned Ambiguity Confusion Matrix (Items 11–20):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Human \ Detector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Precise (0)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Ambiguous (1)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Precise (0)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7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Ambiguous (1)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2</w:t>
            </w:r>
          </w:p>
        </w:tc>
      </w:tr>
    </w:tbl>
    <w:p/>
    <w:p>
      <w:pPr>
        <w:pStyle w:val="Heading1"/>
      </w:pPr>
      <w:r>
        <w:rPr>
          <w:color w:val="1B365D"/>
        </w:rPr>
        <w:t>Section 7 — SCG Conflict Recovery: 5 Injected Conflict Pairs</w:t>
      </w:r>
    </w:p>
    <w:p>
      <w:r>
        <w:t>Five pairs of semantically contradictory requirements were injected into the Semantic Constraint Graph (SCG) engine (specforge/scg/scg_engine.py). At threshold τ_c = 0.60, all 5 conflict edges were detected (100% recovery rate, 0 false-positive edges).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Pair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Requirement A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Requirement B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Edge Weight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Conflict Type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 &amp; B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All API responses must be logged to file.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No API response bodies shall be logged (GDPR compliance).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3CD"/>
          </w:tcPr>
          <w:p>
            <w:r>
              <w:t>0.95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Direct Contradiction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 &amp; 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Sessions shall expire after 30 minutes of inactivity.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system shall maintain session state for 24 hours for premium users.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3CD"/>
          </w:tcPr>
          <w:p>
            <w:r>
              <w:t>0.88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Temporal Scope Conflict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E &amp; F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All user data must be encrypted at rest using AES-256.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User preferences shall be stored in plaintext for fast retrieval.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3CD"/>
          </w:tcPr>
          <w:p>
            <w:r>
              <w:t>0.91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Security Policy Conflict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 &amp; 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Database writes shall be synchronous to guarantee consistency.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Database writes shall be asynchronous for performance.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3CD"/>
          </w:tcPr>
          <w:p>
            <w:r>
              <w:t>0.97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Execution Model Conflict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I &amp; J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Reports shall be generated in real-time upon user request.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Reports shall be pre-computed nightly to reduce server load.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3CD"/>
          </w:tcPr>
          <w:p>
            <w:r>
              <w:t>0.83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Scheduling Conflict</w:t>
            </w:r>
          </w:p>
        </w:tc>
      </w:tr>
    </w:tbl>
    <w:p/>
    <w:p>
      <w:r>
        <w:rPr>
          <w:b/>
        </w:rPr>
        <w:t xml:space="preserve">SCG Recovery Summary: </w:t>
      </w:r>
      <w:r>
        <w:t>5 conflict pairs injected → 5 conflict edges detected → Recovery Rate = 100.0%</w:t>
        <w:br/>
        <w:t>False-positive edges at τ_c = 0.60: 0</w:t>
        <w:br/>
        <w:t>Graph nodes: 10 requirement nodes (one per requirement in each pair)</w:t>
      </w:r>
    </w:p>
    <w:p>
      <w:pPr>
        <w:pStyle w:val="Heading1"/>
      </w:pPr>
      <w:r>
        <w:rPr>
          <w:color w:val="1B365D"/>
        </w:rPr>
        <w:t>Section 8 — ADS: Two Verbatim JSON Annotations &amp; Validator Output</w:t>
      </w:r>
    </w:p>
    <w:p>
      <w:r>
        <w:t>The Annotated Diagnostic Specification (ADS) module (specforge/ads/) generates structured JSON annotations for each requirement. Below are verbatim JSON outputs for two requirements from the held-out set that were flagged as ambiguous, plus the schema validator response.</w:t>
      </w:r>
    </w:p>
    <w:p>
      <w:pPr>
        <w:pStyle w:val="Heading2"/>
      </w:pPr>
      <w:r>
        <w:rPr>
          <w:color w:val="1B365D"/>
        </w:rPr>
        <w:t>8.1 ADS Annotation for REQ-PILOT-007</w:t>
      </w:r>
    </w:p>
    <w:p>
      <w:r>
        <w:rPr>
          <w:b/>
        </w:rPr>
        <w:t xml:space="preserve">Source Requirement: </w:t>
      </w:r>
      <w:r>
        <w:t>"The system should be extremely fast and user-friendly under all conditions."</w:t>
      </w:r>
    </w:p>
    <w:p>
      <w:r>
        <w:rPr>
          <w:rFonts w:ascii="Courier New" w:hAnsi="Courier New"/>
          <w:color w:val="1A1A1A"/>
          <w:sz w:val="18"/>
        </w:rPr>
        <w:t>{</w:t>
        <w:br/>
        <w:t xml:space="preserve">  "requirement_id": "REQ-PILOT-007",</w:t>
        <w:br/>
        <w:t xml:space="preserve">  "source_text": "The system should be extremely fast and user-friendly under all conditions.",</w:t>
        <w:br/>
        <w:t xml:space="preserve">  "rit_category": "Acceptance Condition",</w:t>
        <w:br/>
        <w:t xml:space="preserve">  "rit_confidence": 0.87,</w:t>
        <w:br/>
        <w:t xml:space="preserve">  "ambiguity_detected": true,</w:t>
        <w:br/>
        <w:t xml:space="preserve">  "ambiguity_smells": [</w:t>
        <w:br/>
        <w:t xml:space="preserve">    {</w:t>
        <w:br/>
        <w:t xml:space="preserve">      "smell_type": "VaguePerformanceQualifier",</w:t>
        <w:br/>
        <w:t xml:space="preserve">      "trigger_phrase": "extremely fast",</w:t>
        <w:br/>
        <w:t xml:space="preserve">      "severity": "HIGH"</w:t>
        <w:br/>
        <w:t xml:space="preserve">    },</w:t>
        <w:br/>
        <w:t xml:space="preserve">    {</w:t>
        <w:br/>
        <w:t xml:space="preserve">      "smell_type": "UnanchoredUserExperience",</w:t>
        <w:br/>
        <w:t xml:space="preserve">      "trigger_phrase": "user-friendly",</w:t>
        <w:br/>
        <w:t xml:space="preserve">      "severity": "MEDIUM"</w:t>
        <w:br/>
        <w:t xml:space="preserve">    },</w:t>
        <w:br/>
        <w:t xml:space="preserve">    {</w:t>
        <w:br/>
        <w:t xml:space="preserve">      "smell_type": "UnboundedScopeCondition",</w:t>
        <w:br/>
        <w:t xml:space="preserve">      "trigger_phrase": "under all conditions",</w:t>
        <w:br/>
        <w:t xml:space="preserve">      "severity": "HIGH"</w:t>
        <w:br/>
        <w:t xml:space="preserve">    }</w:t>
        <w:br/>
        <w:t xml:space="preserve">  ],</w:t>
        <w:br/>
        <w:t xml:space="preserve">  "ambiguity_score": 1.5,</w:t>
        <w:br/>
        <w:t xml:space="preserve">  "clarification_suggestions": [</w:t>
        <w:br/>
        <w:t xml:space="preserve">    "Replace 'extremely fast' with a measurable latency target (e.g., p95 response time &lt; 300ms under 1,000 concurrent users).",</w:t>
        <w:br/>
        <w:t xml:space="preserve">    "Define 'user-friendly' via a quantifiable usability criterion (e.g., SUS score &gt;= 80).",</w:t>
        <w:br/>
        <w:t xml:space="preserve">    "Enumerate specific conditions instead of 'all conditions' (e.g., at peak load of 500 concurrent users)."</w:t>
        <w:br/>
        <w:t xml:space="preserve">  ],</w:t>
        <w:br/>
        <w:t xml:space="preserve">  "mas_compatibility_score": 0.42,</w:t>
        <w:br/>
        <w:t xml:space="preserve">  "validator_output": {</w:t>
        <w:br/>
        <w:t xml:space="preserve">    "schema_valid": true,</w:t>
        <w:br/>
        <w:t xml:space="preserve">    "missing_fields": [],</w:t>
        <w:br/>
        <w:t xml:space="preserve">    "validation_errors": []</w:t>
        <w:br/>
        <w:t xml:space="preserve">  }</w:t>
        <w:br/>
        <w:t>}</w:t>
      </w:r>
    </w:p>
    <w:p>
      <w:r>
        <w:rPr>
          <w:b/>
        </w:rPr>
        <w:t xml:space="preserve">Validator Output: </w:t>
      </w:r>
      <w:r>
        <w:t>schema_valid=True, missing_fields=[], validation_errors=[]</w:t>
      </w:r>
    </w:p>
    <w:p/>
    <w:p>
      <w:pPr>
        <w:pStyle w:val="Heading2"/>
      </w:pPr>
      <w:r>
        <w:rPr>
          <w:color w:val="1B365D"/>
        </w:rPr>
        <w:t>8.2 ADS Annotation for REQ-PILOT-014</w:t>
      </w:r>
    </w:p>
    <w:p>
      <w:r>
        <w:rPr>
          <w:b/>
        </w:rPr>
        <w:t xml:space="preserve">Source Requirement: </w:t>
      </w:r>
      <w:r>
        <w:t>"The software must be flexible, intuitive, and robust."</w:t>
      </w:r>
    </w:p>
    <w:p>
      <w:r>
        <w:rPr>
          <w:rFonts w:ascii="Courier New" w:hAnsi="Courier New"/>
          <w:color w:val="1A1A1A"/>
          <w:sz w:val="18"/>
        </w:rPr>
        <w:t>{</w:t>
        <w:br/>
        <w:t xml:space="preserve">  "requirement_id": "REQ-PILOT-014",</w:t>
        <w:br/>
        <w:t xml:space="preserve">  "source_text": "The software must be flexible, intuitive, and robust.",</w:t>
        <w:br/>
        <w:t xml:space="preserve">  "rit_category": "Acceptance Condition",</w:t>
        <w:br/>
        <w:t xml:space="preserve">  "rit_confidence": 0.91,</w:t>
        <w:br/>
        <w:t xml:space="preserve">  "ambiguity_detected": true,</w:t>
        <w:br/>
        <w:t xml:space="preserve">  "ambiguity_smells": [</w:t>
        <w:br/>
        <w:t xml:space="preserve">    {</w:t>
        <w:br/>
        <w:t xml:space="preserve">      "smell_type": "VagueQualityAttribute",</w:t>
        <w:br/>
        <w:t xml:space="preserve">      "trigger_phrase": "flexible",</w:t>
        <w:br/>
        <w:t xml:space="preserve">      "severity": "HIGH"</w:t>
        <w:br/>
        <w:t xml:space="preserve">    },</w:t>
        <w:br/>
        <w:t xml:space="preserve">    {</w:t>
        <w:br/>
        <w:t xml:space="preserve">      "smell_type": "VagueQualityAttribute",</w:t>
        <w:br/>
        <w:t xml:space="preserve">      "trigger_phrase": "intuitive",</w:t>
        <w:br/>
        <w:t xml:space="preserve">      "severity": "HIGH"</w:t>
        <w:br/>
        <w:t xml:space="preserve">    },</w:t>
        <w:br/>
        <w:t xml:space="preserve">    {</w:t>
        <w:br/>
        <w:t xml:space="preserve">      "smell_type": "VagueQualityAttribute",</w:t>
        <w:br/>
        <w:t xml:space="preserve">      "trigger_phrase": "robust",</w:t>
        <w:br/>
        <w:t xml:space="preserve">      "severity": "HIGH"</w:t>
        <w:br/>
        <w:t xml:space="preserve">    }</w:t>
        <w:br/>
        <w:t xml:space="preserve">  ],</w:t>
        <w:br/>
        <w:t xml:space="preserve">  "ambiguity_score": 1.5,</w:t>
        <w:br/>
        <w:t xml:space="preserve">  "clarification_suggestions": [</w:t>
        <w:br/>
        <w:t xml:space="preserve">    "Replace 'flexible' with a specific extensibility requirement (e.g., adding a new payment method requires no more than 2 days of engineering effort).",</w:t>
        <w:br/>
        <w:t xml:space="preserve">    "Replace 'intuitive' with a learnability criterion (e.g., new users complete core task within 5 minutes without training).",</w:t>
        <w:br/>
        <w:t xml:space="preserve">    "Replace 'robust' with a fault-tolerance specification (e.g., system recovers from a single node failure within 30 seconds)."</w:t>
        <w:br/>
        <w:t xml:space="preserve">  ],</w:t>
        <w:br/>
        <w:t xml:space="preserve">  "mas_compatibility_score": 0.38,</w:t>
        <w:br/>
        <w:t xml:space="preserve">  "validator_output": {</w:t>
        <w:br/>
        <w:t xml:space="preserve">    "schema_valid": true,</w:t>
        <w:br/>
        <w:t xml:space="preserve">    "missing_fields": [],</w:t>
        <w:br/>
        <w:t xml:space="preserve">    "validation_errors": []</w:t>
        <w:br/>
        <w:t xml:space="preserve">  }</w:t>
        <w:br/>
        <w:t>}</w:t>
      </w:r>
    </w:p>
    <w:p>
      <w:r>
        <w:rPr>
          <w:b/>
        </w:rPr>
        <w:t xml:space="preserve">Validator Output: </w:t>
      </w:r>
      <w:r>
        <w:t>schema_valid=True, missing_fields=[], validation_errors=[]</w:t>
      </w:r>
    </w:p>
    <w:p/>
    <w:p>
      <w:pPr>
        <w:pStyle w:val="Heading1"/>
      </w:pPr>
      <w:r>
        <w:rPr>
          <w:color w:val="1B365D"/>
        </w:rPr>
        <w:t>Section 9 — Summary: All Reported Held-Out Metrics</w:t>
      </w:r>
    </w:p>
    <w:p>
      <w:r>
        <w:t>This table is the authoritative summary for the research paper. All metrics are computed on the held-out set (Items 11–20) only.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Baseline Value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Tuned Value (Held-Out)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Dataset Scope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RIT Classifier Accuracy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0.2000 (2/10)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 (10/10)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Items 11–20 only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RIT Macro Precision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0.0333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Items 11–20 only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RIT Macro Recall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0.1667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Items 11–20 only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RIT Macro F1-Score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0.2000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Items 11–20 only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Ambiguity Precision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1.0000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Items 11–20 only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Ambiguity Recall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0.5000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Items 11–20 only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Ambiguity F1-Score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0.6667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Items 11–20 only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Ambiguity Accuracy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0.9000 (9/10)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1.0000 (10/10)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Items 11–20 only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SCG Conflict Recovery Rate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N/A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100.0% (5/5)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5 injected pairs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SCG False-Positive Edges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N/A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 τ_c = 0.60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ADS Schema Conformance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N/A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100.0% (2/2)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2 pilot annotations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Inter-Annotator Kappa (κ)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N/A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0.9392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All 20 items</w:t>
            </w:r>
          </w:p>
        </w:tc>
      </w:tr>
    </w:tbl>
    <w:p/>
    <w:p>
      <w:r>
        <w:t>Limitations Acknowledgement: The held-out set (N=10) is small for a pilot study. These results should be interpreted as proof-of-concept validation only. A larger-scale evaluation (N≥100, multi-project benchmarks) is required before claiming generalisation. This is explicitly noted in LIMITATIONS_DRAFT.md.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