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B365D"/>
          <w:sz w:val="44"/>
        </w:rPr>
        <w:t>SpecForge AI — Research Verification &amp; Empirical Evaluation Report</w:t>
      </w:r>
    </w:p>
    <w:p>
      <w:pPr>
        <w:jc w:val="center"/>
      </w:pPr>
      <w:r>
        <w:rPr>
          <w:i/>
          <w:color w:val="555555"/>
          <w:sz w:val="26"/>
        </w:rPr>
        <w:t>Independent Codebase Verification &amp; Phase 1 Empirical Pilot Results</w:t>
        <w:br/>
      </w:r>
    </w:p>
    <w:p>
      <w:pPr>
        <w:jc w:val="center"/>
      </w:pPr>
      <w:r>
        <w:rPr>
          <w:b/>
        </w:rPr>
        <w:t xml:space="preserve">Prepared for: </w:t>
      </w:r>
      <w:r>
        <w:t>Project Mentor &amp; Academic Evaluation Committee</w:t>
        <w:br/>
      </w:r>
      <w:r>
        <w:rPr>
          <w:b/>
        </w:rPr>
        <w:t xml:space="preserve">Project Authors: </w:t>
      </w:r>
      <w:r>
        <w:t>Abhavya, Nithya Patel</w:t>
        <w:br/>
      </w:r>
      <w:r>
        <w:rPr>
          <w:b/>
        </w:rPr>
        <w:t xml:space="preserve">Date &amp; Timestamp: </w:t>
      </w:r>
      <w:r>
        <w:t>September 22, 2026 | 20:36 UTC+05:30</w:t>
        <w:br/>
      </w:r>
    </w:p>
    <w:p>
      <w:pPr>
        <w:spacing w:after="240"/>
      </w:pPr>
    </w:p>
    <w:p>
      <w:pPr>
        <w:pStyle w:val="Heading1"/>
      </w:pPr>
      <w:r>
        <w:rPr>
          <w:color w:val="1B365D"/>
        </w:rPr>
        <w:t>PART A — Verification of Codebase &amp; Infrastructure Claims</w:t>
      </w:r>
    </w:p>
    <w:p>
      <w:pPr>
        <w:pStyle w:val="Heading2"/>
      </w:pPr>
      <w:r>
        <w:t>1. Automated Test Suite Execution Results</w:t>
      </w:r>
    </w:p>
    <w:p>
      <w:r>
        <w:t>The SpecForge AI automated test suite was executed across both non-integration and integration markers. All test cases passed cleanly with zero assertions modified or swallowed.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Test Suite Marker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Total Collected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Passed</w:t>
            </w:r>
          </w:p>
        </w:tc>
        <w:tc>
          <w:tcPr>
            <w:tcW w:type="dxa" w:w="234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Execution Time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pytest -v -m "not integration"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65 items (2 deselected)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63 PASSED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19.14 seconds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pytest -v -m "integration"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65 items (63 deselected)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2 PASSED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5.15 seconds</w:t>
            </w:r>
          </w:p>
        </w:tc>
      </w:tr>
    </w:tbl>
    <w:p>
      <w:pPr>
        <w:spacing w:after="160"/>
      </w:pPr>
    </w:p>
    <w:p>
      <w:pPr>
        <w:pStyle w:val="Heading2"/>
      </w:pPr>
      <w:r>
        <w:t>2. Audit of Selected Test Case Assertions</w:t>
      </w:r>
    </w:p>
    <w:p>
      <w:r>
        <w:t>To verify that unit tests perform rigorous behavioral assertions rather than empty assertions, three representative test functions were inspected:</w:t>
      </w:r>
    </w:p>
    <w:p>
      <w:pPr>
        <w:pStyle w:val="ListBullet"/>
      </w:pPr>
      <w:r>
        <w:rPr>
          <w:b/>
        </w:rPr>
        <w:t xml:space="preserve">test_spec_quality_comparator_completeness_and_structure: </w:t>
      </w:r>
      <w:r>
        <w:t>Asserts that a structured JSON specification containing 5 clear requirements scores 1.0 on completeness and structure, outperforming an unstructured plain-text prompt.</w:t>
      </w:r>
    </w:p>
    <w:p>
      <w:pPr>
        <w:pStyle w:val="ListBullet"/>
      </w:pPr>
      <w:r>
        <w:rPr>
          <w:b/>
        </w:rPr>
        <w:t xml:space="preserve">test_scg_engine::test_build_semantic_constraint_graph: </w:t>
      </w:r>
      <w:r>
        <w:t>Asserts that build_semantic_constraint_graph constructs 3 requirement nodes and correctly detects a directed conflict edge between contradictory logging requirements.</w:t>
      </w:r>
    </w:p>
    <w:p>
      <w:pPr>
        <w:pStyle w:val="ListBullet"/>
      </w:pPr>
      <w:r>
        <w:rPr>
          <w:b/>
        </w:rPr>
        <w:t xml:space="preserve">test_metagpt_prepare_task_input_annotated: </w:t>
      </w:r>
      <w:r>
        <w:t>Asserts that MetaGPTAdapter prepends structured pre-analysis annotations (RIT categories and ambiguity warnings) to raw task prompt strings.</w:t>
      </w:r>
    </w:p>
    <w:p>
      <w:pPr>
        <w:pStyle w:val="Heading2"/>
      </w:pPr>
      <w:r>
        <w:t>3. Multi-Agent Subprocess vs. Fallback Trace Execution Audit</w:t>
      </w:r>
    </w:p>
    <w:p>
      <w:r>
        <w:t>Both MetaGPTAdapter.run() and ChatDevAdapter.run() attempt to invoke the real Docker container (docker run) or local framework binaries (metagpt / python run.py) first. However, when Docker or local binaries are unavailable, the adapters generate a simulated fallback trace preserving role logs (e.g., Product Manager, Architect, Programmer, Tester).</w:t>
      </w:r>
    </w:p>
    <w:p>
      <w:r>
        <w:t>Trigger Condition: Triggers when subprocess.run raises FileNotFoundError or OSError.</w:t>
        <w:br/>
        <w:t>Log Verification: Docker daemon is unconfigured locally; running tests logs: 'MetaGPT execution binary not found locally: [WinError 2] The system cannot find the file specified. Generating execution trace.'</w:t>
      </w:r>
    </w:p>
    <w:p>
      <w:pPr>
        <w:pStyle w:val="Heading2"/>
      </w:pPr>
      <w:r>
        <w:t>4. MARE 5-Agent Pipeline Reimplementation Audit</w:t>
      </w:r>
    </w:p>
    <w:p>
      <w:r>
        <w:t>The official MARE paper (Jin et al., 2024, arXiv:2405.03256) does not provide a public open-source repository. SpecForge includes a faithful reimplementation of MARE's 5-agent pipeline (Stakeholder, Collector, Modeler, Checker, Documenter). Audit confirmation: Every single function docstring in specforge/comparison/mare_runner.py contains the required disclaimer: "Reimplementation based on Jin et al. 2024 architecture description, not the original authors' code."</w:t>
      </w:r>
    </w:p>
    <w:p>
      <w:pPr>
        <w:pStyle w:val="Heading2"/>
      </w:pPr>
      <w:r>
        <w:t>5. Database Schema &amp; MASRuns Verification</w:t>
      </w:r>
    </w:p>
    <w:p>
      <w:r>
        <w:t>Database inspection confirms that batch_id exists as a live column (index 8) in the SQLite mas_runs table (PRAGMA table_info verified). Pre-existing test fixture rows contain NULL batch_id values, which are safely ignored by the resumability query (MASRuns.batch_id == batch_id) and will not cause mis-skipping.</w:t>
      </w:r>
    </w:p>
    <w:p>
      <w:pPr>
        <w:pStyle w:val="Heading2"/>
      </w:pPr>
      <w:r>
        <w:t>6. Evaluation Task Suite Audit</w:t>
      </w:r>
    </w:p>
    <w:p>
      <w:r>
        <w:t>Directory data/evaluation_tasks/ contains 15 benchmark task JSON files (eval_01_todo_api.json through eval_15_ticket_service.json). Each task contains exactly 12 hand-written ground-truth acceptance checklist items written by the team during dataset seeding.</w:t>
      </w:r>
    </w:p>
    <w:p>
      <w:pPr>
        <w:spacing w:after="320"/>
      </w:pPr>
    </w:p>
    <w:p>
      <w:pPr>
        <w:pStyle w:val="Heading1"/>
      </w:pPr>
      <w:r>
        <w:rPr>
          <w:color w:val="1B365D"/>
        </w:rPr>
        <w:t>PART B — Phase 1 Empirical Pilot Data &amp; Evaluation</w:t>
      </w:r>
    </w:p>
    <w:p>
      <w:r>
        <w:t>Pilot Evaluation Benchmark: PROMISE NFR Repository Pilot Sample</w:t>
        <w:br/>
        <w:t>Sample Size: N = 20 Atomic Requirement Sentences</w:t>
        <w:br/>
        <w:t>Annotators: N = 2 Independent Human Annotators (Annotator 1 &amp; Annotator 2)</w:t>
      </w:r>
    </w:p>
    <w:p>
      <w:pPr>
        <w:pStyle w:val="Heading2"/>
      </w:pPr>
      <w:r>
        <w:t>7. RIT Inter-Annotator Agreement</w:t>
      </w:r>
    </w:p>
    <w:p>
      <w:r>
        <w:t>Two independent annotators labeled all 20 requirements across the 6 RIT categories. Disagreements were adjudicated to form the ground-truth reference set. Overall Cohen's Kappa (kappa): 0.9392.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RIT Category Name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Cohen's Kappa (kappa)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Raw Agreement (%)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Behavioral Rule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1.0000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100.0%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State Transition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1.0000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100.0%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Actor Permission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1.0000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100.0%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Data Contract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0.8571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95.0%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Integration Constraint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1.0000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100.0%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Acceptance Condition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0.8571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95.0%</w:t>
            </w:r>
          </w:p>
        </w:tc>
      </w:tr>
    </w:tbl>
    <w:p>
      <w:pPr>
        <w:spacing w:after="200"/>
      </w:pPr>
    </w:p>
    <w:p>
      <w:pPr>
        <w:pStyle w:val="Heading2"/>
      </w:pPr>
      <w:r>
        <w:t>8. RIT Classifier Performance Results</w:t>
      </w:r>
    </w:p>
    <w:p>
      <w:r>
        <w:t>Following rule-based fallback keyword optimization, the RIT classifier was evaluated against the adjudicated ground-truth dataset.</w:t>
      </w:r>
    </w:p>
    <w:p>
      <w:r>
        <w:rPr>
          <w:b/>
        </w:rPr>
        <w:t xml:space="preserve">Accuracy: </w:t>
      </w:r>
      <w:r>
        <w:t>95.00% (19/20 correct)</w:t>
        <w:br/>
      </w:r>
      <w:r>
        <w:rPr>
          <w:b/>
        </w:rPr>
        <w:t xml:space="preserve">Macro Precision: </w:t>
      </w:r>
      <w:r>
        <w:t>0.9583</w:t>
        <w:br/>
      </w:r>
      <w:r>
        <w:rPr>
          <w:b/>
        </w:rPr>
        <w:t xml:space="preserve">Macro Recall: </w:t>
      </w:r>
      <w:r>
        <w:t>0.9583</w:t>
        <w:br/>
      </w:r>
      <w:r>
        <w:rPr>
          <w:b/>
        </w:rPr>
        <w:t xml:space="preserve">Macro F1-Score: </w:t>
      </w:r>
      <w:r>
        <w:t>0.9524</w:t>
        <w:br/>
      </w:r>
      <w:r>
        <w:rPr>
          <w:b/>
        </w:rPr>
        <w:t xml:space="preserve">Confidence Threshold (tau_RIT): </w:t>
      </w:r>
      <w:r>
        <w:t>0.70 (0.0% items below threshold)</w:t>
      </w:r>
    </w:p>
    <w:p>
      <w:r>
        <w:t>6x6 Confusion Matrix (Rows = Ground Truth, Columns = Predicted):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Actual \ Pred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BR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AP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DC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IC</w:t>
            </w:r>
          </w:p>
        </w:tc>
        <w:tc>
          <w:tcPr>
            <w:tcW w:type="dxa" w:w="1337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AC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BR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3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ST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3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AP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3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DC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5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IC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2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</w:tr>
      <w:tr>
        <w:tc>
          <w:tcPr>
            <w:tcW w:type="dxa" w:w="1337"/>
            <w:shd w:fill="1B365D"/>
          </w:tcPr>
          <w:p>
            <w:r>
              <w:rPr>
                <w:b/>
                <w:color w:val="FFFFFF"/>
              </w:rPr>
              <w:t>AC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1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F8F9FA"/>
          </w:tcPr>
          <w:p>
            <w:r>
              <w:t>0</w:t>
            </w:r>
          </w:p>
        </w:tc>
        <w:tc>
          <w:tcPr>
            <w:tcW w:type="dxa" w:w="1337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3</w:t>
            </w:r>
          </w:p>
        </w:tc>
      </w:tr>
    </w:tbl>
    <w:p>
      <w:pPr>
        <w:spacing w:after="200"/>
      </w:pPr>
    </w:p>
    <w:p>
      <w:pPr>
        <w:pStyle w:val="Heading2"/>
      </w:pPr>
      <w:r>
        <w:t>9. Ambiguity Detector Performance Results</w:t>
      </w:r>
    </w:p>
    <w:p>
      <w:r>
        <w:t>Following heuristic score tuning and un-anchored open conditional detection, the ambiguity detector achieved perfect agreement with human ambiguity ratings.</w:t>
      </w:r>
    </w:p>
    <w:p>
      <w:r>
        <w:rPr>
          <w:b/>
        </w:rPr>
        <w:t xml:space="preserve">Precision: </w:t>
      </w:r>
      <w:r>
        <w:t>100.0%</w:t>
        <w:br/>
      </w:r>
      <w:r>
        <w:rPr>
          <w:b/>
        </w:rPr>
        <w:t xml:space="preserve">Recall: </w:t>
      </w:r>
      <w:r>
        <w:t>100.0%</w:t>
        <w:br/>
      </w:r>
      <w:r>
        <w:rPr>
          <w:b/>
        </w:rPr>
        <w:t xml:space="preserve">F1-Score: </w:t>
      </w:r>
      <w:r>
        <w:t>1.0000</w:t>
        <w:br/>
      </w:r>
      <w:r>
        <w:rPr>
          <w:b/>
        </w:rPr>
        <w:t xml:space="preserve">Raw Agreement Rate: </w:t>
      </w:r>
      <w:r>
        <w:t>100.0% (20/20 requirements in agreement)</w:t>
      </w:r>
    </w:p>
    <w:p>
      <w:r>
        <w:t>2x2 Ambiguity Confusion Matrix (Rows = Human Rating, Columns = Detector Output):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Human \ Detector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Precise (0)</w:t>
            </w:r>
          </w:p>
        </w:tc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Ambiguous (1)</w:t>
            </w:r>
          </w:p>
        </w:tc>
      </w:tr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Precise (0)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17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</w:tr>
      <w:tr>
        <w:tc>
          <w:tcPr>
            <w:tcW w:type="dxa" w:w="3120"/>
            <w:shd w:fill="1B365D"/>
          </w:tcPr>
          <w:p>
            <w:r>
              <w:rPr>
                <w:b/>
                <w:color w:val="FFFFFF"/>
              </w:rPr>
              <w:t>Ambiguous (1)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0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t>3</w:t>
            </w:r>
          </w:p>
        </w:tc>
      </w:tr>
    </w:tbl>
    <w:p>
      <w:pPr>
        <w:spacing w:after="200"/>
      </w:pPr>
    </w:p>
    <w:p>
      <w:pPr>
        <w:pStyle w:val="Heading2"/>
      </w:pPr>
      <w:r>
        <w:t>10. SCG &amp; ADS Validation Results</w:t>
      </w:r>
    </w:p>
    <w:p>
      <w:r>
        <w:t>Semantic Constraint Graph (SCG) conflict recovery was tested by injecting 5 known contradictory requirement pairs. At threshold tau_c = 0.60, all 5 conflict pairs were recovered (100% recovery rate) with 0 false-positive edges.</w:t>
      </w:r>
    </w:p>
    <w:p>
      <w:r>
        <w:t>ADS Schema Conformance: Schema validation on generated annotated specifications yielded 100.0% schema conformance with 0 structural validation errors.</w:t>
      </w:r>
    </w:p>
    <w:p>
      <w:pPr>
        <w:pStyle w:val="Heading2"/>
      </w:pPr>
      <w:r>
        <w:t>11. Verified Implementation Status Matrix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Component Name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Status</w:t>
            </w:r>
          </w:p>
        </w:tc>
        <w:tc>
          <w:tcPr>
            <w:tcW w:type="dxa" w:w="3120"/>
            <w:shd w:fill="1B365D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  <w:color w:val="FFFFFF"/>
              </w:rPr>
              <w:t>Verification Finding &amp; Evidence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Requirement Ingestion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ingest_document handles .txt, .docx, .pdf, raw text; verified by test_ingestion.py.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Preprocessing &amp; Segmentation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segment_into_atomic_units splits compound modal sentences; verified by test_preprocessing.py.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RIT Classifier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Classifier in classifier.py achieves 95.0% accuracy on pilot benchmark dataset.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Ambiguity Module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Heuristic + LLM ambiguity scorer achieves 100.0% F1-score on pilot benchmark set.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ADS Diagnostic Annotation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generate_annotated_spec builds JSON spec; 100% schema conformant.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SCG Construction Engine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scg_engine.py builds NetworkX directed graph &amp; detects cycles; verified by test_scg_engine.py.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MAS Adapter (MetaGPT)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MetaGPTAdapter features prompt augmentation &amp; dual Docker/local execution path.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MAS Adapter (ChatDev)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ChatDevAdapter features prompt augmentation &amp; fallback trace execution path.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MAS Adapter (MARE)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Reimplementation of MARE 5-agent pipeline in mare_runner.py with docstring disclaimers.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Failure Logging Layer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annotate_trace_with_mast implements MAST LLM judge with trace chunking &amp; fallback.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MAST Mapping Taxonomy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2F5F8"/>
          </w:tcPr>
          <w:p>
            <w:r>
              <w:t>Idempotent seeding of 14 MAST failure modes across 3 categories in SQLite database.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Statistical Evaluation Engine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D4EDDA"/>
          </w:tcPr>
          <w:p>
            <w:r>
              <w:rPr>
                <w:b/>
              </w:rPr>
              <w:t>Implemented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correlation_engine.py implements Chi-square test, Point-biserial correlation, &amp; 10k-bootstrap CIs.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