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2</w:t>
      </w:r>
    </w:p>
    <w:p>
      <w:pPr>
        <w:jc w:val="center"/>
      </w:pPr>
      <w:r>
        <w:rPr>
          <w:b/>
          <w:sz w:val="26"/>
        </w:rPr>
        <w:t>Access Rule Analysis &amp; Planning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2 – Access Rule Analysis &amp; Planning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Convert the requirements into a clear access matrix and plan the ACL behavior before configuration.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2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Define allowed field values (example: Public, Internal, Restricted).</w:t>
      </w:r>
    </w:p>
    <w:p>
      <w:pPr>
        <w:pStyle w:val="ListBullet"/>
      </w:pPr>
      <w:r>
        <w:t>Map each field value to approved roles or ownership rules.</w:t>
      </w:r>
    </w:p>
    <w:p>
      <w:pPr>
        <w:pStyle w:val="ListBullet"/>
      </w:pPr>
      <w:r>
        <w:t>Decide whether access is controlled at table/record level or field level.</w:t>
      </w:r>
    </w:p>
    <w:p>
      <w:pPr>
        <w:pStyle w:val="ListBullet"/>
      </w:pPr>
      <w:r>
        <w:t>Define default-deny behavior for blank or unexpected values.</w:t>
      </w:r>
    </w:p>
    <w:p>
      <w:pPr>
        <w:pStyle w:val="ListBullet"/>
      </w:pPr>
      <w:r>
        <w:t>Prepare backlog, sprint estimates, risks, and dependencies.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US-201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access matrix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Map field values to users, roles, and expected access.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2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US-202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Plan ACL approach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Read ACL and identify required conditions/roles.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US-203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Plan test cases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Prepare positive, negative, and edge-case scenarios.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7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Walk through every access-matrix row and verify that the rule is unambiguous and testable.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Field-value access matrix</w:t>
      </w:r>
    </w:p>
    <w:p>
      <w:pPr>
        <w:pStyle w:val="ListBullet"/>
      </w:pPr>
      <w:r>
        <w:t>ACL implementation plan</w:t>
      </w:r>
    </w:p>
    <w:p>
      <w:pPr>
        <w:pStyle w:val="ListBullet"/>
      </w:pPr>
      <w:r>
        <w:t>Sprint backlog and risk list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2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