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4</w:t>
      </w:r>
    </w:p>
    <w:p>
      <w:pPr>
        <w:jc w:val="center"/>
      </w:pPr>
      <w:r>
        <w:rPr>
          <w:b/>
          <w:sz w:val="26"/>
        </w:rPr>
        <w:t>ACL Configuration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4 – ACL Configuration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Configure the ServiceNow Access Control record for the target table and the approved operation.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4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Create or update the target table's Read ACL as specified.</w:t>
      </w:r>
    </w:p>
    <w:p>
      <w:pPr>
        <w:pStyle w:val="ListBullet"/>
      </w:pPr>
      <w:r>
        <w:t>Configure roles and conditions according to the approved matrix.</w:t>
      </w:r>
    </w:p>
    <w:p>
      <w:pPr>
        <w:pStyle w:val="ListBullet"/>
      </w:pPr>
      <w:r>
        <w:t>Check ACL scope, order, inheritance, and existing rules.</w:t>
      </w:r>
    </w:p>
    <w:p>
      <w:pPr>
        <w:pStyle w:val="ListBullet"/>
      </w:pPr>
      <w:r>
        <w:t>Avoid broad roles or conditions that unintentionally grant access.</w:t>
      </w:r>
    </w:p>
    <w:p>
      <w:pPr>
        <w:pStyle w:val="ListBullet"/>
      </w:pPr>
      <w:r>
        <w:t>Save the configuration in the development instance.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US-401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Create Read ACL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Set the target table and Read operation.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4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US-402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Configure criteria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Apply approved roles and conditions.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US-403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ACL interaction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Check inheritance and existing access rules.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7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Verify that the ACL is attached to the intended table and operation and that no unrelated table or operation was changed.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Configured ACL record</w:t>
      </w:r>
    </w:p>
    <w:p>
      <w:pPr>
        <w:pStyle w:val="ListBullet"/>
      </w:pPr>
      <w:r>
        <w:t>Configuration screenshots</w:t>
      </w:r>
    </w:p>
    <w:p>
      <w:pPr>
        <w:pStyle w:val="ListBullet"/>
      </w:pPr>
      <w:r>
        <w:t>ACL review checklist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4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