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36"/>
          <w:szCs w:val="36"/>
        </w:rPr>
        <w:t xml:space="preserve">CASE SUMMARY</w:t>
      </w:r>
    </w:p>
    <w:p>
      <w:pPr>
        <w:spacing w:after="80"/>
        <w:jc w:val="center"/>
      </w:pPr>
      <w:r>
        <w:rPr>
          <w:rFonts w:ascii="Arial" w:cs="Arial" w:eastAsia="Arial" w:hAnsi="Arial"/>
          <w:b/>
          <w:bCs/>
          <w:color w:val="2E74B5"/>
          <w:sz w:val="26"/>
          <w:szCs w:val="26"/>
        </w:rPr>
        <w:t xml:space="preserve">Forecasting of Selected International Stock Indices Returns</w:t>
      </w:r>
    </w:p>
    <w:p>
      <w:pPr>
        <w:spacing w:after="80"/>
        <w:jc w:val="center"/>
      </w:pPr>
      <w:r>
        <w:rPr>
          <w:rFonts w:ascii="Arial" w:cs="Arial" w:eastAsia="Arial" w:hAnsi="Arial"/>
          <w:b/>
          <w:bCs/>
          <w:color w:val="2E74B5"/>
          <w:sz w:val="26"/>
          <w:szCs w:val="26"/>
        </w:rPr>
        <w:t xml:space="preserve">Using ARIMA Model</w:t>
      </w:r>
    </w:p>
    <w:p>
      <w:pPr>
        <w:pBdr>
          <w:bottom w:val="single" w:color="1F4E79" w:sz="6" w:space="1"/>
        </w:pBdr>
        <w:spacing w:after="60"/>
        <w:jc w:val="center"/>
      </w:pPr>
      <w:r>
        <w:rPr>
          <w:rFonts w:ascii="Arial" w:cs="Arial" w:eastAsia="Arial" w:hAnsi="Arial"/>
          <w:i/>
          <w:iCs/>
          <w:color w:val="555555"/>
          <w:sz w:val="18"/>
          <w:szCs w:val="18"/>
        </w:rPr>
        <w:t xml:space="preserve">Author: Nagendra Marisetty | REVA Business School, REVA University, Bangalore, Karnataka, India</w:t>
      </w:r>
    </w:p>
    <w:p>
      <w:pPr>
        <w:spacing w:after="300"/>
        <w:jc w:val="center"/>
      </w:pPr>
      <w:r>
        <w:rPr>
          <w:rFonts w:ascii="Arial" w:cs="Arial" w:eastAsia="Arial" w:hAnsi="Arial"/>
          <w:color w:val="777777"/>
          <w:sz w:val="18"/>
          <w:szCs w:val="18"/>
        </w:rPr>
        <w:t xml:space="preserve">Published: International Journal of Development Research, Vol. 14, Issue 07, pp. 66083–66091, July 2024</w:t>
      </w:r>
    </w:p>
    <w:p>
      <w:pPr>
        <w:pStyle w:val="Heading1"/>
        <w:pBdr>
          <w:bottom w:val="single" w:color="1F4E79" w:sz="6" w:space="1"/>
        </w:pBdr>
        <w:spacing w:after="180" w:before="360"/>
      </w:pPr>
      <w:r>
        <w:rPr>
          <w:rFonts w:ascii="Arial" w:cs="Arial" w:eastAsia="Arial" w:hAnsi="Arial"/>
          <w:b/>
          <w:bCs/>
          <w:color w:val="1F4E79"/>
          <w:sz w:val="28"/>
          <w:szCs w:val="28"/>
        </w:rPr>
        <w:t xml:space="preserve">1. Overview of the Study</w:t>
      </w:r>
    </w:p>
    <w:p>
      <w:pPr>
        <w:spacing w:after="120"/>
        <w:jc w:val="both"/>
      </w:pPr>
      <w:r>
        <w:rPr>
          <w:rFonts w:ascii="Arial" w:cs="Arial" w:eastAsia="Arial" w:hAnsi="Arial"/>
          <w:sz w:val="22"/>
          <w:szCs w:val="22"/>
        </w:rPr>
        <w:t xml:space="preserve">This research investigates the application of the Autoregressive Integrated Moving Average (ARIMA) model to forecast monthly returns of five major international stock indices over a 10-year historical period. The study follows the Box-Jenkins methodology from data collection and stationarity testing through model specification, validation, and forecast generation.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Research Objective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Forecast monthly returns of FTSE 100, HANG SENG, NIKKEI 225, NIFTY 50, and S&amp;P 500 using ARIMA models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Yahoo Finance — daily closing prices over 10 years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Methodology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Box-Jenkins ARIMA (ADF/ADF-GLS/KPSS stationarity tests, ACF/PACF analysis, MLE parameter estimation)</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Gretl statistical software</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 Period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January 2024 – June 2024 (out-of-sample testing)</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Performance Metrics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AIC, SC, RMSE, MAE, MPE, MAPE, Ljung-Box, ARCH-LM, Belsley-Kuh-Welsch</w:t>
            </w:r>
          </w:p>
        </w:tc>
      </w:tr>
    </w:tbl>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2. Key Concepts &amp; Background</w:t>
      </w:r>
    </w:p>
    <w:p>
      <w:pPr>
        <w:pStyle w:val="Heading2"/>
        <w:spacing w:after="120" w:before="240"/>
      </w:pPr>
      <w:r>
        <w:rPr>
          <w:rFonts w:ascii="Arial" w:cs="Arial" w:eastAsia="Arial" w:hAnsi="Arial"/>
          <w:b/>
          <w:bCs/>
          <w:color w:val="2E74B5"/>
          <w:sz w:val="24"/>
          <w:szCs w:val="24"/>
        </w:rPr>
        <w:t xml:space="preserve">2.1 What is ARIMA?</w:t>
      </w:r>
    </w:p>
    <w:p>
      <w:pPr>
        <w:spacing w:after="120"/>
        <w:jc w:val="both"/>
      </w:pPr>
      <w:r>
        <w:rPr>
          <w:rFonts w:ascii="Arial" w:cs="Arial" w:eastAsia="Arial" w:hAnsi="Arial"/>
          <w:sz w:val="22"/>
          <w:szCs w:val="22"/>
        </w:rPr>
        <w:t xml:space="preserve">ARIMA stands for Autoregressive Integrated Moving Average. It was first formalised by George Box and Gwilym Jenkins in 1976 and remains the most widely used univariate time series forecasting framework. The model is parameterised as ARIMA(p, d, q):</w:t>
      </w:r>
    </w:p>
    <w:p>
      <w:pPr>
        <w:pStyle w:val="ListParagraph"/>
        <w:numPr>
          <w:ilvl w:val="0"/>
          <w:numId w:val="2"/>
        </w:numPr>
        <w:spacing w:after="60"/>
      </w:pPr>
      <w:r>
        <w:rPr>
          <w:rFonts w:ascii="Arial" w:cs="Arial" w:eastAsia="Arial" w:hAnsi="Arial"/>
          <w:b/>
          <w:bCs/>
          <w:sz w:val="22"/>
          <w:szCs w:val="22"/>
        </w:rPr>
        <w:t xml:space="preserve">p — Autoregressive order: </w:t>
      </w:r>
      <w:r>
        <w:rPr>
          <w:rFonts w:ascii="Arial" w:cs="Arial" w:eastAsia="Arial" w:hAnsi="Arial"/>
          <w:sz w:val="22"/>
          <w:szCs w:val="22"/>
        </w:rPr>
        <w:t xml:space="preserve">number of lagged observations used as predictors</w:t>
      </w:r>
    </w:p>
    <w:p>
      <w:pPr>
        <w:pStyle w:val="ListParagraph"/>
        <w:numPr>
          <w:ilvl w:val="0"/>
          <w:numId w:val="2"/>
        </w:numPr>
        <w:spacing w:after="60"/>
      </w:pPr>
      <w:r>
        <w:rPr>
          <w:rFonts w:ascii="Arial" w:cs="Arial" w:eastAsia="Arial" w:hAnsi="Arial"/>
          <w:b/>
          <w:bCs/>
          <w:sz w:val="22"/>
          <w:szCs w:val="22"/>
        </w:rPr>
        <w:t xml:space="preserve">d — Integration order: </w:t>
      </w:r>
      <w:r>
        <w:rPr>
          <w:rFonts w:ascii="Arial" w:cs="Arial" w:eastAsia="Arial" w:hAnsi="Arial"/>
          <w:sz w:val="22"/>
          <w:szCs w:val="22"/>
        </w:rPr>
        <w:t xml:space="preserve">number of times the series is differenced to achieve stationarity</w:t>
      </w:r>
    </w:p>
    <w:p>
      <w:pPr>
        <w:pStyle w:val="ListParagraph"/>
        <w:numPr>
          <w:ilvl w:val="0"/>
          <w:numId w:val="2"/>
        </w:numPr>
        <w:spacing w:after="60"/>
      </w:pPr>
      <w:r>
        <w:rPr>
          <w:rFonts w:ascii="Arial" w:cs="Arial" w:eastAsia="Arial" w:hAnsi="Arial"/>
          <w:b/>
          <w:bCs/>
          <w:sz w:val="22"/>
          <w:szCs w:val="22"/>
        </w:rPr>
        <w:t xml:space="preserve">q — Moving average order: </w:t>
      </w:r>
      <w:r>
        <w:rPr>
          <w:rFonts w:ascii="Arial" w:cs="Arial" w:eastAsia="Arial" w:hAnsi="Arial"/>
          <w:sz w:val="22"/>
          <w:szCs w:val="22"/>
        </w:rPr>
        <w:t xml:space="preserve">number of lagged forecast errors in the prediction equation</w:t>
      </w:r>
    </w:p>
    <w:p>
      <w:pPr>
        <w:spacing w:after="100"/>
      </w:pPr>
      <w:r>
        <w:t xml:space="preserve"/>
      </w:r>
    </w:p>
    <w:p>
      <w:pPr>
        <w:spacing w:after="120"/>
        <w:jc w:val="both"/>
      </w:pPr>
      <w:r>
        <w:rPr>
          <w:rFonts w:ascii="Arial" w:cs="Arial" w:eastAsia="Arial" w:hAnsi="Arial"/>
          <w:sz w:val="22"/>
          <w:szCs w:val="22"/>
        </w:rPr>
        <w:t xml:space="preserve">The general ARIMA equation is:</w:t>
      </w:r>
    </w:p>
    <w:p>
      <w:pPr>
        <w:spacing w:after="180" w:before="120"/>
        <w:jc w:val="center"/>
      </w:pPr>
      <w:r>
        <w:rPr>
          <w:rFonts w:ascii="Courier New" w:cs="Courier New" w:eastAsia="Courier New" w:hAnsi="Courier New"/>
          <w:b/>
          <w:bCs/>
          <w:color w:val="1F4E79"/>
          <w:sz w:val="22"/>
          <w:szCs w:val="22"/>
        </w:rPr>
        <w:t xml:space="preserve">Yₜ = c + φ₁Yₜ₋₁ + φ₂Yₜ₋₂ + … + φ₝Yₜ₋₝ + θ₁εₜ₋₁ + θ₂εₜ₋₂ + … + θᵤεₜ₋ᵤ + εₜ</w:t>
      </w:r>
    </w:p>
    <w:p>
      <w:pPr>
        <w:spacing w:after="100"/>
      </w:pPr>
      <w:r>
        <w:t xml:space="preserve"/>
      </w:r>
    </w:p>
    <w:p>
      <w:pPr>
        <w:pStyle w:val="Heading2"/>
        <w:spacing w:after="120" w:before="240"/>
      </w:pPr>
      <w:r>
        <w:rPr>
          <w:rFonts w:ascii="Arial" w:cs="Arial" w:eastAsia="Arial" w:hAnsi="Arial"/>
          <w:b/>
          <w:bCs/>
          <w:color w:val="2E74B5"/>
          <w:sz w:val="24"/>
          <w:szCs w:val="24"/>
        </w:rPr>
        <w:t xml:space="preserve">2.2 Why ARIMA for Stock Index Forecasting?</w:t>
      </w:r>
    </w:p>
    <w:p>
      <w:pPr>
        <w:pStyle w:val="ListParagraph"/>
        <w:numPr>
          <w:ilvl w:val="0"/>
          <w:numId w:val="3"/>
        </w:numPr>
        <w:spacing w:after="80"/>
      </w:pPr>
      <w:r>
        <w:rPr>
          <w:rFonts w:ascii="Arial" w:cs="Arial" w:eastAsia="Arial" w:hAnsi="Arial"/>
          <w:b w:val="false"/>
          <w:bCs w:val="false"/>
          <w:sz w:val="22"/>
          <w:szCs w:val="22"/>
        </w:rPr>
        <w:t xml:space="preserve">Captures temporal dependencies in sequential financial data</w:t>
      </w:r>
    </w:p>
    <w:p>
      <w:pPr>
        <w:pStyle w:val="ListParagraph"/>
        <w:numPr>
          <w:ilvl w:val="0"/>
          <w:numId w:val="3"/>
        </w:numPr>
        <w:spacing w:after="80"/>
      </w:pPr>
      <w:r>
        <w:rPr>
          <w:rFonts w:ascii="Arial" w:cs="Arial" w:eastAsia="Arial" w:hAnsi="Arial"/>
          <w:b w:val="false"/>
          <w:bCs w:val="false"/>
          <w:sz w:val="22"/>
          <w:szCs w:val="22"/>
        </w:rPr>
        <w:t xml:space="preserve">Handles non-stationarity through differencing</w:t>
      </w:r>
    </w:p>
    <w:p>
      <w:pPr>
        <w:pStyle w:val="ListParagraph"/>
        <w:numPr>
          <w:ilvl w:val="0"/>
          <w:numId w:val="3"/>
        </w:numPr>
        <w:spacing w:after="80"/>
      </w:pPr>
      <w:r>
        <w:rPr>
          <w:rFonts w:ascii="Arial" w:cs="Arial" w:eastAsia="Arial" w:hAnsi="Arial"/>
          <w:b w:val="false"/>
          <w:bCs w:val="false"/>
          <w:sz w:val="22"/>
          <w:szCs w:val="22"/>
        </w:rPr>
        <w:t xml:space="preserve">Flexible parameter structure accommodates varied autocorrelation patterns</w:t>
      </w:r>
    </w:p>
    <w:p>
      <w:pPr>
        <w:pStyle w:val="ListParagraph"/>
        <w:numPr>
          <w:ilvl w:val="0"/>
          <w:numId w:val="3"/>
        </w:numPr>
        <w:spacing w:after="80"/>
      </w:pPr>
      <w:r>
        <w:rPr>
          <w:rFonts w:ascii="Arial" w:cs="Arial" w:eastAsia="Arial" w:hAnsi="Arial"/>
          <w:b w:val="false"/>
          <w:bCs w:val="false"/>
          <w:sz w:val="22"/>
          <w:szCs w:val="22"/>
        </w:rPr>
        <w:t xml:space="preserve">Well-established validation diagnostics (Ljung-Box, ARCH-LM, Q-Q plots)</w:t>
      </w:r>
    </w:p>
    <w:p>
      <w:pPr>
        <w:pStyle w:val="ListParagraph"/>
        <w:numPr>
          <w:ilvl w:val="0"/>
          <w:numId w:val="3"/>
        </w:numPr>
        <w:spacing w:after="80"/>
      </w:pPr>
      <w:r>
        <w:rPr>
          <w:rFonts w:ascii="Arial" w:cs="Arial" w:eastAsia="Arial" w:hAnsi="Arial"/>
          <w:b w:val="false"/>
          <w:bCs w:val="false"/>
          <w:sz w:val="22"/>
          <w:szCs w:val="22"/>
        </w:rPr>
        <w:t xml:space="preserve">Widely benchmarked in prior literature on equities, inflation, energy, and real estate</w:t>
      </w:r>
    </w:p>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3. Methodology — Step-by-Step</w:t>
      </w:r>
    </w:p>
    <w:p>
      <w:pPr>
        <w:pStyle w:val="Heading2"/>
        <w:spacing w:after="120" w:before="240"/>
      </w:pPr>
      <w:r>
        <w:rPr>
          <w:rFonts w:ascii="Arial" w:cs="Arial" w:eastAsia="Arial" w:hAnsi="Arial"/>
          <w:b/>
          <w:bCs/>
          <w:color w:val="2E74B5"/>
          <w:sz w:val="24"/>
          <w:szCs w:val="24"/>
        </w:rPr>
        <w:t xml:space="preserve">Step 1: Data Collection &amp; Preprocessing</w:t>
      </w:r>
    </w:p>
    <w:p>
      <w:pPr>
        <w:pStyle w:val="ListParagraph"/>
        <w:numPr>
          <w:ilvl w:val="0"/>
          <w:numId w:val="3"/>
        </w:numPr>
        <w:spacing w:after="80"/>
      </w:pPr>
      <w:r>
        <w:rPr>
          <w:rFonts w:ascii="Arial" w:cs="Arial" w:eastAsia="Arial" w:hAnsi="Arial"/>
          <w:b w:val="false"/>
          <w:bCs w:val="false"/>
          <w:sz w:val="22"/>
          <w:szCs w:val="22"/>
        </w:rPr>
        <w:t xml:space="preserve">Historical daily closing prices sourced from Yahoo Finance for all five indices</w:t>
      </w:r>
    </w:p>
    <w:p>
      <w:pPr>
        <w:pStyle w:val="ListParagraph"/>
        <w:numPr>
          <w:ilvl w:val="0"/>
          <w:numId w:val="3"/>
        </w:numPr>
        <w:spacing w:after="80"/>
      </w:pPr>
      <w:r>
        <w:rPr>
          <w:rFonts w:ascii="Arial" w:cs="Arial" w:eastAsia="Arial" w:hAnsi="Arial"/>
          <w:b w:val="false"/>
          <w:bCs w:val="false"/>
          <w:sz w:val="22"/>
          <w:szCs w:val="22"/>
        </w:rPr>
        <w:t xml:space="preserve">10-year time window to capture diverse market cycles including 2008 crisis, COVID-19 disruption</w:t>
      </w:r>
    </w:p>
    <w:p>
      <w:pPr>
        <w:pStyle w:val="ListParagraph"/>
        <w:numPr>
          <w:ilvl w:val="0"/>
          <w:numId w:val="3"/>
        </w:numPr>
        <w:spacing w:after="80"/>
      </w:pPr>
      <w:r>
        <w:rPr>
          <w:rFonts w:ascii="Arial" w:cs="Arial" w:eastAsia="Arial" w:hAnsi="Arial"/>
          <w:b w:val="false"/>
          <w:bCs w:val="false"/>
          <w:sz w:val="22"/>
          <w:szCs w:val="22"/>
        </w:rPr>
        <w:t xml:space="preserve">Missing values handled via interpolation; log-transformation applied to stabilise variance</w:t>
      </w:r>
    </w:p>
    <w:p>
      <w:pPr>
        <w:pStyle w:val="ListParagraph"/>
        <w:numPr>
          <w:ilvl w:val="0"/>
          <w:numId w:val="3"/>
        </w:numPr>
        <w:spacing w:after="80"/>
      </w:pPr>
      <w:r>
        <w:rPr>
          <w:rFonts w:ascii="Arial" w:cs="Arial" w:eastAsia="Arial" w:hAnsi="Arial"/>
          <w:b w:val="false"/>
          <w:bCs w:val="false"/>
          <w:sz w:val="22"/>
          <w:szCs w:val="22"/>
        </w:rPr>
        <w:t xml:space="preserve">Data split: 80% training set, 20% testing set for out-of-sample evaluation</w:t>
      </w:r>
    </w:p>
    <w:p>
      <w:pPr>
        <w:spacing w:after="100"/>
      </w:pPr>
      <w:r>
        <w:t xml:space="preserve"/>
      </w:r>
    </w:p>
    <w:p>
      <w:pPr>
        <w:pStyle w:val="Heading2"/>
        <w:spacing w:after="120" w:before="240"/>
      </w:pPr>
      <w:r>
        <w:rPr>
          <w:rFonts w:ascii="Arial" w:cs="Arial" w:eastAsia="Arial" w:hAnsi="Arial"/>
          <w:b/>
          <w:bCs/>
          <w:color w:val="2E74B5"/>
          <w:sz w:val="24"/>
          <w:szCs w:val="24"/>
        </w:rPr>
        <w:t xml:space="preserve">Step 2: Stationarity Testing</w:t>
      </w:r>
    </w:p>
    <w:p>
      <w:pPr>
        <w:spacing w:after="120"/>
        <w:jc w:val="both"/>
      </w:pPr>
      <w:r>
        <w:rPr>
          <w:rFonts w:ascii="Arial" w:cs="Arial" w:eastAsia="Arial" w:hAnsi="Arial"/>
          <w:sz w:val="22"/>
          <w:szCs w:val="22"/>
        </w:rPr>
        <w:t xml:space="preserve">Three complementary unit root tests were applied to each return series:</w:t>
      </w:r>
    </w:p>
    <w:p>
      <w:pPr>
        <w:pStyle w:val="ListParagraph"/>
        <w:numPr>
          <w:ilvl w:val="0"/>
          <w:numId w:val="2"/>
        </w:numPr>
        <w:spacing w:after="60"/>
      </w:pPr>
      <w:r>
        <w:rPr>
          <w:rFonts w:ascii="Arial" w:cs="Arial" w:eastAsia="Arial" w:hAnsi="Arial"/>
          <w:b/>
          <w:bCs/>
          <w:sz w:val="22"/>
          <w:szCs w:val="22"/>
        </w:rPr>
        <w:t xml:space="preserve">ADF Test (12 lags): </w:t>
      </w:r>
      <w:r>
        <w:rPr>
          <w:rFonts w:ascii="Arial" w:cs="Arial" w:eastAsia="Arial" w:hAnsi="Arial"/>
          <w:sz w:val="22"/>
          <w:szCs w:val="22"/>
        </w:rPr>
        <w:t xml:space="preserve">Tests null hypothesis of unit root (non-stationarity)</w:t>
      </w:r>
    </w:p>
    <w:p>
      <w:pPr>
        <w:pStyle w:val="ListParagraph"/>
        <w:numPr>
          <w:ilvl w:val="0"/>
          <w:numId w:val="2"/>
        </w:numPr>
        <w:spacing w:after="60"/>
      </w:pPr>
      <w:r>
        <w:rPr>
          <w:rFonts w:ascii="Arial" w:cs="Arial" w:eastAsia="Arial" w:hAnsi="Arial"/>
          <w:b/>
          <w:bCs/>
          <w:sz w:val="22"/>
          <w:szCs w:val="22"/>
        </w:rPr>
        <w:t xml:space="preserve">ADF-GLS Test (12 lags): </w:t>
      </w:r>
      <w:r>
        <w:rPr>
          <w:rFonts w:ascii="Arial" w:cs="Arial" w:eastAsia="Arial" w:hAnsi="Arial"/>
          <w:sz w:val="22"/>
          <w:szCs w:val="22"/>
        </w:rPr>
        <w:t xml:space="preserve">Detrended variant, more powerful in small samples</w:t>
      </w:r>
    </w:p>
    <w:p>
      <w:pPr>
        <w:pStyle w:val="ListParagraph"/>
        <w:numPr>
          <w:ilvl w:val="0"/>
          <w:numId w:val="2"/>
        </w:numPr>
        <w:spacing w:after="60"/>
      </w:pPr>
      <w:r>
        <w:rPr>
          <w:rFonts w:ascii="Arial" w:cs="Arial" w:eastAsia="Arial" w:hAnsi="Arial"/>
          <w:b/>
          <w:bCs/>
          <w:sz w:val="22"/>
          <w:szCs w:val="22"/>
        </w:rPr>
        <w:t xml:space="preserve">KPSS Test (4 lags): </w:t>
      </w:r>
      <w:r>
        <w:rPr>
          <w:rFonts w:ascii="Arial" w:cs="Arial" w:eastAsia="Arial" w:hAnsi="Arial"/>
          <w:sz w:val="22"/>
          <w:szCs w:val="22"/>
        </w:rPr>
        <w:t xml:space="preserve">Tests null hypothesis of stationarity — complementary to ADF</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00"/>
        <w:gridCol w:w="1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Index</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ADF Statistic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ADF-GLS Statistic</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KPSS Statistic</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Stationarity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FTSE 100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-11.8093*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-8.40228*</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0.0465</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Stationary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HANG SENG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-11.6921*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-8.58538*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0.0474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Stationary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NIKKEI 225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-11.3212*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-5.08264*</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0.0325</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Stationary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NIFTY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-11.2318*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-8.62505*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0.0446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Stationary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S&amp;P 500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-9.43711*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-8.98395*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0.0436</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Stationary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All five indices showed strong stationarity across all three tests (p &lt; 0.01 for ADF and ADF-GLS; KPSS statistics well above 0.10 threshold). This confirms suitability for ARIMA modelling without any additional differencing required (d = 0 in all best models).</w:t>
            </w:r>
          </w:p>
        </w:tc>
      </w:tr>
    </w:tbl>
    <w:p>
      <w:pPr>
        <w:spacing w:after="100"/>
      </w:pPr>
      <w:r>
        <w:t xml:space="preserve"/>
      </w:r>
    </w:p>
    <w:p>
      <w:pPr>
        <w:pStyle w:val="Heading2"/>
        <w:spacing w:after="120" w:before="240"/>
      </w:pPr>
      <w:r>
        <w:rPr>
          <w:rFonts w:ascii="Arial" w:cs="Arial" w:eastAsia="Arial" w:hAnsi="Arial"/>
          <w:b/>
          <w:bCs/>
          <w:color w:val="2E74B5"/>
          <w:sz w:val="24"/>
          <w:szCs w:val="24"/>
        </w:rPr>
        <w:t xml:space="preserve">Step 3: ACF &amp; PACF Analysis</w:t>
      </w:r>
    </w:p>
    <w:p>
      <w:pPr>
        <w:pStyle w:val="ListParagraph"/>
        <w:numPr>
          <w:ilvl w:val="0"/>
          <w:numId w:val="3"/>
        </w:numPr>
        <w:spacing w:after="80"/>
      </w:pPr>
      <w:r>
        <w:rPr>
          <w:rFonts w:ascii="Arial" w:cs="Arial" w:eastAsia="Arial" w:hAnsi="Arial"/>
          <w:b w:val="false"/>
          <w:bCs w:val="false"/>
          <w:sz w:val="22"/>
          <w:szCs w:val="22"/>
        </w:rPr>
        <w:t xml:space="preserve">Autocorrelation Function (ACF) and Partial Autocorrelation Function (PACF) plots computed at up to 20 lags for all indices</w:t>
      </w:r>
    </w:p>
    <w:p>
      <w:pPr>
        <w:pStyle w:val="ListParagraph"/>
        <w:numPr>
          <w:ilvl w:val="0"/>
          <w:numId w:val="3"/>
        </w:numPr>
        <w:spacing w:after="80"/>
      </w:pPr>
      <w:r>
        <w:rPr>
          <w:rFonts w:ascii="Arial" w:cs="Arial" w:eastAsia="Arial" w:hAnsi="Arial"/>
          <w:b w:val="false"/>
          <w:bCs w:val="false"/>
          <w:sz w:val="22"/>
          <w:szCs w:val="22"/>
        </w:rPr>
        <w:t xml:space="preserve">FTSE 100: Significant spikes at early lags in ACF; PACF suggests AR(2) process</w:t>
      </w:r>
    </w:p>
    <w:p>
      <w:pPr>
        <w:pStyle w:val="ListParagraph"/>
        <w:numPr>
          <w:ilvl w:val="0"/>
          <w:numId w:val="3"/>
        </w:numPr>
        <w:spacing w:after="80"/>
      </w:pPr>
      <w:r>
        <w:rPr>
          <w:rFonts w:ascii="Arial" w:cs="Arial" w:eastAsia="Arial" w:hAnsi="Arial"/>
          <w:b w:val="false"/>
          <w:bCs w:val="false"/>
          <w:sz w:val="22"/>
          <w:szCs w:val="22"/>
        </w:rPr>
        <w:t xml:space="preserve">HANG SENG: More dispersed pattern; gradual decline in ACF</w:t>
      </w:r>
    </w:p>
    <w:p>
      <w:pPr>
        <w:pStyle w:val="ListParagraph"/>
        <w:numPr>
          <w:ilvl w:val="0"/>
          <w:numId w:val="3"/>
        </w:numPr>
        <w:spacing w:after="80"/>
      </w:pPr>
      <w:r>
        <w:rPr>
          <w:rFonts w:ascii="Arial" w:cs="Arial" w:eastAsia="Arial" w:hAnsi="Arial"/>
          <w:b w:val="false"/>
          <w:bCs w:val="false"/>
          <w:sz w:val="22"/>
          <w:szCs w:val="22"/>
        </w:rPr>
        <w:t xml:space="preserve">NIKKEI 225 &amp; NIFTY 50: Prominent PACF spike at lag 1, supporting AR(1) process</w:t>
      </w:r>
    </w:p>
    <w:p>
      <w:pPr>
        <w:pStyle w:val="ListParagraph"/>
        <w:numPr>
          <w:ilvl w:val="0"/>
          <w:numId w:val="3"/>
        </w:numPr>
        <w:spacing w:after="80"/>
      </w:pPr>
      <w:r>
        <w:rPr>
          <w:rFonts w:ascii="Arial" w:cs="Arial" w:eastAsia="Arial" w:hAnsi="Arial"/>
          <w:b w:val="false"/>
          <w:bCs w:val="false"/>
          <w:sz w:val="22"/>
          <w:szCs w:val="22"/>
        </w:rPr>
        <w:t xml:space="preserve">S&amp;P 500: Persistent ACF pattern with significant PACF spike at lag 1; higher-order model tested</w:t>
      </w:r>
    </w:p>
    <w:p>
      <w:pPr>
        <w:spacing w:after="100"/>
      </w:pPr>
      <w:r>
        <w:t xml:space="preserve"/>
      </w:r>
    </w:p>
    <w:p>
      <w:pPr>
        <w:pStyle w:val="Heading2"/>
        <w:spacing w:after="120" w:before="240"/>
      </w:pPr>
      <w:r>
        <w:rPr>
          <w:rFonts w:ascii="Arial" w:cs="Arial" w:eastAsia="Arial" w:hAnsi="Arial"/>
          <w:b/>
          <w:bCs/>
          <w:color w:val="2E74B5"/>
          <w:sz w:val="24"/>
          <w:szCs w:val="24"/>
        </w:rPr>
        <w:t xml:space="preserve">Step 4: Model Specification, Estimation &amp; Selection</w:t>
      </w:r>
    </w:p>
    <w:p>
      <w:pPr>
        <w:pStyle w:val="ListParagraph"/>
        <w:numPr>
          <w:ilvl w:val="0"/>
          <w:numId w:val="3"/>
        </w:numPr>
        <w:spacing w:after="80"/>
      </w:pPr>
      <w:r>
        <w:rPr>
          <w:rFonts w:ascii="Arial" w:cs="Arial" w:eastAsia="Arial" w:hAnsi="Arial"/>
          <w:b w:val="false"/>
          <w:bCs w:val="false"/>
          <w:sz w:val="22"/>
          <w:szCs w:val="22"/>
        </w:rPr>
        <w:t xml:space="preserve">Multiple ARIMA configurations tested per index (e.g., (1,0,1), (2,0,1), (2,0,2), (3,0,3))</w:t>
      </w:r>
    </w:p>
    <w:p>
      <w:pPr>
        <w:pStyle w:val="ListParagraph"/>
        <w:numPr>
          <w:ilvl w:val="0"/>
          <w:numId w:val="3"/>
        </w:numPr>
        <w:spacing w:after="80"/>
      </w:pPr>
      <w:r>
        <w:rPr>
          <w:rFonts w:ascii="Arial" w:cs="Arial" w:eastAsia="Arial" w:hAnsi="Arial"/>
          <w:b w:val="false"/>
          <w:bCs w:val="false"/>
          <w:sz w:val="22"/>
          <w:szCs w:val="22"/>
        </w:rPr>
        <w:t xml:space="preserve">Parameters estimated via Maximum Likelihood Estimation (MLE)</w:t>
      </w:r>
    </w:p>
    <w:p>
      <w:pPr>
        <w:pStyle w:val="ListParagraph"/>
        <w:numPr>
          <w:ilvl w:val="0"/>
          <w:numId w:val="3"/>
        </w:numPr>
        <w:spacing w:after="80"/>
      </w:pPr>
      <w:r>
        <w:rPr>
          <w:rFonts w:ascii="Arial" w:cs="Arial" w:eastAsia="Arial" w:hAnsi="Arial"/>
          <w:b w:val="false"/>
          <w:bCs w:val="false"/>
          <w:sz w:val="22"/>
          <w:szCs w:val="22"/>
        </w:rPr>
        <w:t xml:space="preserve">Model selection based on lowest AIC and SC, alongside RMSE and MAE on test set</w:t>
      </w:r>
    </w:p>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4. Results — Best ARIMA Models &amp; Performance</w:t>
      </w:r>
    </w:p>
    <w:p>
      <w:pPr>
        <w:spacing w:after="120"/>
        <w:jc w:val="both"/>
      </w:pPr>
      <w:r>
        <w:rPr>
          <w:rFonts w:ascii="Arial" w:cs="Arial" w:eastAsia="Arial" w:hAnsi="Arial"/>
          <w:sz w:val="22"/>
          <w:szCs w:val="22"/>
        </w:rPr>
        <w:t xml:space="preserve">The table below summarises the best-performing ARIMA specification for each index and its key accuracy metrics: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1200"/>
        <w:gridCol w:w="1200"/>
        <w:gridCol w:w="1500"/>
        <w:gridCol w:w="150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Index</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ARIMA Model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AIC</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FTSE 100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ARIMA (2,0,1)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641.09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3.31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134.61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HANG SENG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ARIMA (1,0,1)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767.94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139.12</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NIKKEI 225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ARIMA (1,0,1)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712.68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4.51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3.42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146.64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NIFTY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ARIMA (1,0,1)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719.86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164.75</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S&amp;P 500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ARIMA (3,0,3)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694.50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3.99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536.08</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Lower AIC and RMSE indicate better model fit. FTSE 100 achieved the lowest RMSE (3.31) among all indices. S&amp;P 500 recorded an exceptionally high MAPE (536.08), reflecting its high inherent volatility despite the comparatively low RMSE.</w:t>
            </w:r>
          </w:p>
        </w:tc>
      </w:tr>
    </w:tbl>
    <w:p>
      <w:pPr>
        <w:spacing w:after="100"/>
      </w:pPr>
      <w:r>
        <w:t xml:space="preserve"/>
      </w:r>
    </w:p>
    <w:p>
      <w:pPr>
        <w:pStyle w:val="Heading2"/>
        <w:spacing w:after="120" w:before="240"/>
      </w:pPr>
      <w:r>
        <w:rPr>
          <w:rFonts w:ascii="Arial" w:cs="Arial" w:eastAsia="Arial" w:hAnsi="Arial"/>
          <w:b/>
          <w:bCs/>
          <w:color w:val="2E74B5"/>
          <w:sz w:val="24"/>
          <w:szCs w:val="24"/>
        </w:rPr>
        <w:t xml:space="preserve">4.1 Index-by-Index Findings</w:t>
      </w:r>
    </w:p>
    <w:p>
      <w:pPr>
        <w:spacing w:after="60" w:before="120"/>
      </w:pPr>
      <w:r>
        <w:rPr>
          <w:rFonts w:ascii="Arial" w:cs="Arial" w:eastAsia="Arial" w:hAnsi="Arial"/>
          <w:b/>
          <w:bCs/>
          <w:sz w:val="22"/>
          <w:szCs w:val="22"/>
          <w:u w:val="single"/>
        </w:rPr>
        <w:t xml:space="preserve">FTSE 100</w:t>
      </w:r>
    </w:p>
    <w:p>
      <w:pPr>
        <w:pStyle w:val="ListParagraph"/>
        <w:numPr>
          <w:ilvl w:val="0"/>
          <w:numId w:val="3"/>
        </w:numPr>
        <w:spacing w:after="80"/>
      </w:pPr>
      <w:r>
        <w:rPr>
          <w:rFonts w:ascii="Arial" w:cs="Arial" w:eastAsia="Arial" w:hAnsi="Arial"/>
          <w:b w:val="false"/>
          <w:bCs w:val="false"/>
          <w:sz w:val="22"/>
          <w:szCs w:val="22"/>
        </w:rPr>
        <w:t xml:space="preserve">Best model: ARIMA(2,0,1) with significant parameters φ₁ = −0.9819, φ₂ = −0.2070, θ₁ = 1.0000</w:t>
      </w:r>
    </w:p>
    <w:p>
      <w:pPr>
        <w:pStyle w:val="ListParagraph"/>
        <w:numPr>
          <w:ilvl w:val="0"/>
          <w:numId w:val="3"/>
        </w:numPr>
        <w:spacing w:after="80"/>
      </w:pPr>
      <w:r>
        <w:rPr>
          <w:rFonts w:ascii="Arial" w:cs="Arial" w:eastAsia="Arial" w:hAnsi="Arial"/>
          <w:b w:val="false"/>
          <w:bCs w:val="false"/>
          <w:sz w:val="22"/>
          <w:szCs w:val="22"/>
        </w:rPr>
        <w:t xml:space="preserve">Lowest AIC (641.09) and RMSE (3.31) across all five indices — best overall fit</w:t>
      </w:r>
    </w:p>
    <w:p>
      <w:pPr>
        <w:pStyle w:val="ListParagraph"/>
        <w:numPr>
          <w:ilvl w:val="0"/>
          <w:numId w:val="3"/>
        </w:numPr>
        <w:spacing w:after="80"/>
      </w:pPr>
      <w:r>
        <w:rPr>
          <w:rFonts w:ascii="Arial" w:cs="Arial" w:eastAsia="Arial" w:hAnsi="Arial"/>
          <w:b w:val="false"/>
          <w:bCs w:val="false"/>
          <w:sz w:val="22"/>
          <w:szCs w:val="22"/>
        </w:rPr>
        <w:t xml:space="preserve">Forecast errors: Overestimated Jan-24 (error: −2.943) but more accurate in Apr/May 2024</w:t>
      </w:r>
    </w:p>
    <w:p>
      <w:pPr>
        <w:pStyle w:val="ListParagraph"/>
        <w:numPr>
          <w:ilvl w:val="0"/>
          <w:numId w:val="3"/>
        </w:numPr>
        <w:spacing w:after="80"/>
      </w:pPr>
      <w:r>
        <w:rPr>
          <w:rFonts w:ascii="Arial" w:cs="Arial" w:eastAsia="Arial" w:hAnsi="Arial"/>
          <w:b w:val="false"/>
          <w:bCs w:val="false"/>
          <w:sz w:val="22"/>
          <w:szCs w:val="22"/>
        </w:rPr>
        <w:t xml:space="preserve">Moderate MAPE of 134.61 — reflects relatively stable market structure</w:t>
      </w:r>
    </w:p>
    <w:p>
      <w:pPr>
        <w:spacing w:after="100"/>
      </w:pPr>
      <w:r>
        <w:t xml:space="preserve"/>
      </w:r>
    </w:p>
    <w:p>
      <w:pPr>
        <w:spacing w:after="60" w:before="120"/>
      </w:pPr>
      <w:r>
        <w:rPr>
          <w:rFonts w:ascii="Arial" w:cs="Arial" w:eastAsia="Arial" w:hAnsi="Arial"/>
          <w:b/>
          <w:bCs/>
          <w:sz w:val="22"/>
          <w:szCs w:val="22"/>
          <w:u w:val="single"/>
        </w:rPr>
        <w:t xml:space="preserve">HANG SENG</w:t>
      </w:r>
    </w:p>
    <w:p>
      <w:pPr>
        <w:pStyle w:val="ListParagraph"/>
        <w:numPr>
          <w:ilvl w:val="0"/>
          <w:numId w:val="3"/>
        </w:numPr>
        <w:spacing w:after="80"/>
      </w:pPr>
      <w:r>
        <w:rPr>
          <w:rFonts w:ascii="Arial" w:cs="Arial" w:eastAsia="Arial" w:hAnsi="Arial"/>
          <w:b w:val="false"/>
          <w:bCs w:val="false"/>
          <w:sz w:val="22"/>
          <w:szCs w:val="22"/>
        </w:rPr>
        <w:t xml:space="preserve">Best model: ARIMA(1,0,1) with φ₁ = 0.9464 and θ₁ = −0.9999</w:t>
      </w:r>
    </w:p>
    <w:p>
      <w:pPr>
        <w:pStyle w:val="ListParagraph"/>
        <w:numPr>
          <w:ilvl w:val="0"/>
          <w:numId w:val="3"/>
        </w:numPr>
        <w:spacing w:after="80"/>
      </w:pPr>
      <w:r>
        <w:rPr>
          <w:rFonts w:ascii="Arial" w:cs="Arial" w:eastAsia="Arial" w:hAnsi="Arial"/>
          <w:b w:val="false"/>
          <w:bCs w:val="false"/>
          <w:sz w:val="22"/>
          <w:szCs w:val="22"/>
        </w:rPr>
        <w:t xml:space="preserve">Highest RMSE (5.71) and AIC (767.94) — worst fit among all indices</w:t>
      </w:r>
    </w:p>
    <w:p>
      <w:pPr>
        <w:pStyle w:val="ListParagraph"/>
        <w:numPr>
          <w:ilvl w:val="0"/>
          <w:numId w:val="3"/>
        </w:numPr>
        <w:spacing w:after="80"/>
      </w:pPr>
      <w:r>
        <w:rPr>
          <w:rFonts w:ascii="Arial" w:cs="Arial" w:eastAsia="Arial" w:hAnsi="Arial"/>
          <w:b w:val="false"/>
          <w:bCs w:val="false"/>
          <w:sz w:val="22"/>
          <w:szCs w:val="22"/>
        </w:rPr>
        <w:t xml:space="preserve">Severe underestimation in Jan-24 (error: −10.404) and Apr-24 (error: 6.483)</w:t>
      </w:r>
    </w:p>
    <w:p>
      <w:pPr>
        <w:pStyle w:val="ListParagraph"/>
        <w:numPr>
          <w:ilvl w:val="0"/>
          <w:numId w:val="3"/>
        </w:numPr>
        <w:spacing w:after="80"/>
      </w:pPr>
      <w:r>
        <w:rPr>
          <w:rFonts w:ascii="Arial" w:cs="Arial" w:eastAsia="Arial" w:hAnsi="Arial"/>
          <w:b w:val="false"/>
          <w:bCs w:val="false"/>
          <w:sz w:val="22"/>
          <w:szCs w:val="22"/>
        </w:rPr>
        <w:t xml:space="preserve">Higher complexity models (2,0,1) and (2,0,2) offered no meaningful improvement</w:t>
      </w:r>
    </w:p>
    <w:p>
      <w:pPr>
        <w:spacing w:after="100"/>
      </w:pPr>
      <w:r>
        <w:t xml:space="preserve"/>
      </w:r>
    </w:p>
    <w:p>
      <w:pPr>
        <w:spacing w:after="60" w:before="120"/>
      </w:pPr>
      <w:r>
        <w:rPr>
          <w:rFonts w:ascii="Arial" w:cs="Arial" w:eastAsia="Arial" w:hAnsi="Arial"/>
          <w:b/>
          <w:bCs/>
          <w:sz w:val="22"/>
          <w:szCs w:val="22"/>
          <w:u w:val="single"/>
        </w:rPr>
        <w:t xml:space="preserve">NIKKEI 225</w:t>
      </w:r>
    </w:p>
    <w:p>
      <w:pPr>
        <w:pStyle w:val="ListParagraph"/>
        <w:numPr>
          <w:ilvl w:val="0"/>
          <w:numId w:val="3"/>
        </w:numPr>
        <w:spacing w:after="80"/>
      </w:pPr>
      <w:r>
        <w:rPr>
          <w:rFonts w:ascii="Arial" w:cs="Arial" w:eastAsia="Arial" w:hAnsi="Arial"/>
          <w:b w:val="false"/>
          <w:bCs w:val="false"/>
          <w:sz w:val="22"/>
          <w:szCs w:val="22"/>
        </w:rPr>
        <w:t xml:space="preserve">Best model: ARIMA(1,0,1) with significant φ₁ = 0.84283 and θ₁ = −1.0000</w:t>
      </w:r>
    </w:p>
    <w:p>
      <w:pPr>
        <w:pStyle w:val="ListParagraph"/>
        <w:numPr>
          <w:ilvl w:val="0"/>
          <w:numId w:val="3"/>
        </w:numPr>
        <w:spacing w:after="80"/>
      </w:pPr>
      <w:r>
        <w:rPr>
          <w:rFonts w:ascii="Arial" w:cs="Arial" w:eastAsia="Arial" w:hAnsi="Arial"/>
          <w:b w:val="false"/>
          <w:bCs w:val="false"/>
          <w:sz w:val="22"/>
          <w:szCs w:val="22"/>
        </w:rPr>
        <w:t xml:space="preserve">Significant underestimation in Jan-24 and Feb-24 (errors: 8.539 and 7.916)</w:t>
      </w:r>
    </w:p>
    <w:p>
      <w:pPr>
        <w:pStyle w:val="ListParagraph"/>
        <w:numPr>
          <w:ilvl w:val="0"/>
          <w:numId w:val="3"/>
        </w:numPr>
        <w:spacing w:after="80"/>
      </w:pPr>
      <w:r>
        <w:rPr>
          <w:rFonts w:ascii="Arial" w:cs="Arial" w:eastAsia="Arial" w:hAnsi="Arial"/>
          <w:b w:val="false"/>
          <w:bCs w:val="false"/>
          <w:sz w:val="22"/>
          <w:szCs w:val="22"/>
        </w:rPr>
        <w:t xml:space="preserve">Performance improved toward May–June 2024 (errors: 0.147 and 2.658)</w:t>
      </w:r>
    </w:p>
    <w:p>
      <w:pPr>
        <w:pStyle w:val="ListParagraph"/>
        <w:numPr>
          <w:ilvl w:val="0"/>
          <w:numId w:val="3"/>
        </w:numPr>
        <w:spacing w:after="80"/>
      </w:pPr>
      <w:r>
        <w:rPr>
          <w:rFonts w:ascii="Arial" w:cs="Arial" w:eastAsia="Arial" w:hAnsi="Arial"/>
          <w:b w:val="false"/>
          <w:bCs w:val="false"/>
          <w:sz w:val="22"/>
          <w:szCs w:val="22"/>
        </w:rPr>
        <w:t xml:space="preserve">Increased model complexity did not improve predictions — a consistent finding</w:t>
      </w:r>
    </w:p>
    <w:p>
      <w:pPr>
        <w:spacing w:after="100"/>
      </w:pPr>
      <w:r>
        <w:t xml:space="preserve"/>
      </w:r>
    </w:p>
    <w:p>
      <w:pPr>
        <w:spacing w:after="60" w:before="120"/>
      </w:pPr>
      <w:r>
        <w:rPr>
          <w:rFonts w:ascii="Arial" w:cs="Arial" w:eastAsia="Arial" w:hAnsi="Arial"/>
          <w:b/>
          <w:bCs/>
          <w:sz w:val="22"/>
          <w:szCs w:val="22"/>
          <w:u w:val="single"/>
        </w:rPr>
        <w:t xml:space="preserve">NIFTY 50</w:t>
      </w:r>
    </w:p>
    <w:p>
      <w:pPr>
        <w:pStyle w:val="ListParagraph"/>
        <w:numPr>
          <w:ilvl w:val="0"/>
          <w:numId w:val="3"/>
        </w:numPr>
        <w:spacing w:after="80"/>
      </w:pPr>
      <w:r>
        <w:rPr>
          <w:rFonts w:ascii="Arial" w:cs="Arial" w:eastAsia="Arial" w:hAnsi="Arial"/>
          <w:b w:val="false"/>
          <w:bCs w:val="false"/>
          <w:sz w:val="22"/>
          <w:szCs w:val="22"/>
        </w:rPr>
        <w:t xml:space="preserve">Best model: ARIMA(1,0,1) with φ₁ = 0.8878 and θ₁ = −1.0000</w:t>
      </w:r>
    </w:p>
    <w:p>
      <w:pPr>
        <w:pStyle w:val="ListParagraph"/>
        <w:numPr>
          <w:ilvl w:val="0"/>
          <w:numId w:val="3"/>
        </w:numPr>
        <w:spacing w:after="80"/>
      </w:pPr>
      <w:r>
        <w:rPr>
          <w:rFonts w:ascii="Arial" w:cs="Arial" w:eastAsia="Arial" w:hAnsi="Arial"/>
          <w:b w:val="false"/>
          <w:bCs w:val="false"/>
          <w:sz w:val="22"/>
          <w:szCs w:val="22"/>
        </w:rPr>
        <w:t xml:space="preserve">Most consistent forecast accuracy among emerging-market indices</w:t>
      </w:r>
    </w:p>
    <w:p>
      <w:pPr>
        <w:pStyle w:val="ListParagraph"/>
        <w:numPr>
          <w:ilvl w:val="0"/>
          <w:numId w:val="3"/>
        </w:numPr>
        <w:spacing w:after="80"/>
      </w:pPr>
      <w:r>
        <w:rPr>
          <w:rFonts w:ascii="Arial" w:cs="Arial" w:eastAsia="Arial" w:hAnsi="Arial"/>
          <w:b w:val="false"/>
          <w:bCs w:val="false"/>
          <w:sz w:val="22"/>
          <w:szCs w:val="22"/>
        </w:rPr>
        <w:t xml:space="preserve">Notable deviations in Jun-24 (error: 6.026) but smaller errors across other months</w:t>
      </w:r>
    </w:p>
    <w:p>
      <w:pPr>
        <w:pStyle w:val="ListParagraph"/>
        <w:numPr>
          <w:ilvl w:val="0"/>
          <w:numId w:val="3"/>
        </w:numPr>
        <w:spacing w:after="80"/>
      </w:pPr>
      <w:r>
        <w:rPr>
          <w:rFonts w:ascii="Arial" w:cs="Arial" w:eastAsia="Arial" w:hAnsi="Arial"/>
          <w:b w:val="false"/>
          <w:bCs w:val="false"/>
          <w:sz w:val="22"/>
          <w:szCs w:val="22"/>
        </w:rPr>
        <w:t xml:space="preserve">Highest normality deviation (statistic: 43.574) but no autocorrelation in residuals</w:t>
      </w:r>
    </w:p>
    <w:p>
      <w:pPr>
        <w:spacing w:after="100"/>
      </w:pPr>
      <w:r>
        <w:t xml:space="preserve"/>
      </w:r>
    </w:p>
    <w:p>
      <w:pPr>
        <w:spacing w:after="60" w:before="120"/>
      </w:pPr>
      <w:r>
        <w:rPr>
          <w:rFonts w:ascii="Arial" w:cs="Arial" w:eastAsia="Arial" w:hAnsi="Arial"/>
          <w:b/>
          <w:bCs/>
          <w:sz w:val="22"/>
          <w:szCs w:val="22"/>
          <w:u w:val="single"/>
        </w:rPr>
        <w:t xml:space="preserve">S&amp;P 500</w:t>
      </w:r>
    </w:p>
    <w:p>
      <w:pPr>
        <w:pStyle w:val="ListParagraph"/>
        <w:numPr>
          <w:ilvl w:val="0"/>
          <w:numId w:val="3"/>
        </w:numPr>
        <w:spacing w:after="80"/>
      </w:pPr>
      <w:r>
        <w:rPr>
          <w:rFonts w:ascii="Arial" w:cs="Arial" w:eastAsia="Arial" w:hAnsi="Arial"/>
          <w:b w:val="false"/>
          <w:bCs w:val="false"/>
          <w:sz w:val="22"/>
          <w:szCs w:val="22"/>
        </w:rPr>
        <w:t xml:space="preserve">Best model: ARIMA(3,0,3) with all six AR and MA parameters statistically significant</w:t>
      </w:r>
    </w:p>
    <w:p>
      <w:pPr>
        <w:pStyle w:val="ListParagraph"/>
        <w:numPr>
          <w:ilvl w:val="0"/>
          <w:numId w:val="3"/>
        </w:numPr>
        <w:spacing w:after="80"/>
      </w:pPr>
      <w:r>
        <w:rPr>
          <w:rFonts w:ascii="Arial" w:cs="Arial" w:eastAsia="Arial" w:hAnsi="Arial"/>
          <w:b w:val="false"/>
          <w:bCs w:val="false"/>
          <w:sz w:val="22"/>
          <w:szCs w:val="22"/>
        </w:rPr>
        <w:t xml:space="preserve">Second-lowest RMSE (3.99) but exceptionally high MAPE (−360.7 / 536.08)</w:t>
      </w:r>
    </w:p>
    <w:p>
      <w:pPr>
        <w:pStyle w:val="ListParagraph"/>
        <w:numPr>
          <w:ilvl w:val="0"/>
          <w:numId w:val="3"/>
        </w:numPr>
        <w:spacing w:after="80"/>
      </w:pPr>
      <w:r>
        <w:rPr>
          <w:rFonts w:ascii="Arial" w:cs="Arial" w:eastAsia="Arial" w:hAnsi="Arial"/>
          <w:b w:val="false"/>
          <w:bCs w:val="false"/>
          <w:sz w:val="22"/>
          <w:szCs w:val="22"/>
        </w:rPr>
        <w:t xml:space="preserve">Highly accurate in Apr-24 and Jun-24; larger errors in Jan-24 and May-24</w:t>
      </w:r>
    </w:p>
    <w:p>
      <w:pPr>
        <w:pStyle w:val="ListParagraph"/>
        <w:numPr>
          <w:ilvl w:val="0"/>
          <w:numId w:val="3"/>
        </w:numPr>
        <w:spacing w:after="80"/>
      </w:pPr>
      <w:r>
        <w:rPr>
          <w:rFonts w:ascii="Arial" w:cs="Arial" w:eastAsia="Arial" w:hAnsi="Arial"/>
          <w:b w:val="false"/>
          <w:bCs w:val="false"/>
          <w:sz w:val="22"/>
          <w:szCs w:val="22"/>
        </w:rPr>
        <w:t xml:space="preserve">High volatility is the primary driver of prediction uncertainty</w:t>
      </w:r>
    </w:p>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5. Residual Diagnostics</w:t>
      </w:r>
    </w:p>
    <w:p>
      <w:pPr>
        <w:spacing w:after="120"/>
        <w:jc w:val="both"/>
      </w:pPr>
      <w:r>
        <w:rPr>
          <w:rFonts w:ascii="Arial" w:cs="Arial" w:eastAsia="Arial" w:hAnsi="Arial"/>
          <w:sz w:val="22"/>
          <w:szCs w:val="22"/>
        </w:rPr>
        <w:t xml:space="preserve">Residual analysis evaluated four statistical properties across all five indices: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Index</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Normality
(Stat / p)</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Autocorrelation
(Ljung-Box p)</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 Effect
(LM p)</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Collinearity
(BKW)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FTSE 100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18.341 / 0.0001*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5.131 / 0.823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20.177 / 0.064</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0.213 — 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HANG SENG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11.317 / 0.0034*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9.260 / 0.508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18.057 / 0.114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0.831 — None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NIKKEI 225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8.221 / 0.0164*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14.943 / 0.134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10.542 / 0.569</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0.977 — 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NIFTY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43.574 / 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14.629 / 0.146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3.490 / 0.991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0.825 — None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S&amp;P 500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6.097 / 0.0474*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8.956 / 0.176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7.955 / 0.789</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19"/>
                <w:szCs w:val="19"/>
              </w:rPr>
              <w:t xml:space="preserve">0.139 — None</w:t>
            </w:r>
          </w:p>
        </w:tc>
      </w:tr>
    </w:tbl>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Non-normality: All residuals show significant non-normality (p &lt; 0.05), suggesting fat-tailed error distributions common in financial returns</w:t>
      </w:r>
    </w:p>
    <w:p>
      <w:pPr>
        <w:pStyle w:val="ListParagraph"/>
        <w:numPr>
          <w:ilvl w:val="0"/>
          <w:numId w:val="3"/>
        </w:numPr>
        <w:spacing w:after="80"/>
      </w:pPr>
      <w:r>
        <w:rPr>
          <w:rFonts w:ascii="Arial" w:cs="Arial" w:eastAsia="Arial" w:hAnsi="Arial"/>
          <w:b w:val="false"/>
          <w:bCs w:val="false"/>
          <w:sz w:val="22"/>
          <w:szCs w:val="22"/>
        </w:rPr>
        <w:t xml:space="preserve">No autocorrelation: All Ljung-Box p-values are well above 0.05, confirming residuals are white noise — models are adequately specified</w:t>
      </w:r>
    </w:p>
    <w:p>
      <w:pPr>
        <w:pStyle w:val="ListParagraph"/>
        <w:numPr>
          <w:ilvl w:val="0"/>
          <w:numId w:val="3"/>
        </w:numPr>
        <w:spacing w:after="80"/>
      </w:pPr>
      <w:r>
        <w:rPr>
          <w:rFonts w:ascii="Arial" w:cs="Arial" w:eastAsia="Arial" w:hAnsi="Arial"/>
          <w:b w:val="false"/>
          <w:bCs w:val="false"/>
          <w:sz w:val="22"/>
          <w:szCs w:val="22"/>
        </w:rPr>
        <w:t xml:space="preserve">ARCH effects: Marginal evidence in FTSE 100 (p = 0.064) and HANG SENG (p = 0.114) suggests potential volatility clustering — a GARCH extension may improve these</w:t>
      </w:r>
    </w:p>
    <w:p>
      <w:pPr>
        <w:pStyle w:val="ListParagraph"/>
        <w:numPr>
          <w:ilvl w:val="0"/>
          <w:numId w:val="3"/>
        </w:numPr>
        <w:spacing w:after="80"/>
      </w:pPr>
      <w:r>
        <w:rPr>
          <w:rFonts w:ascii="Arial" w:cs="Arial" w:eastAsia="Arial" w:hAnsi="Arial"/>
          <w:b w:val="false"/>
          <w:bCs w:val="false"/>
          <w:sz w:val="22"/>
          <w:szCs w:val="22"/>
        </w:rPr>
        <w:t xml:space="preserve">No collinearity: Belsley-Kuh-Welsch values are low for all indices, confirming parameter estimates are reliable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The absence of autocorrelation in residuals is the most critical diagnostic. It confirms that the selected ARIMA models have successfully captured all systematic temporal patterns in the data, leaving only random noise.</w:t>
            </w:r>
          </w:p>
        </w:tc>
      </w:tr>
    </w:tbl>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6. Key Findings &amp; Critical Points to Note</w:t>
      </w:r>
    </w:p>
    <w:p>
      <w:pPr>
        <w:pStyle w:val="Heading2"/>
        <w:spacing w:after="120" w:before="240"/>
      </w:pPr>
      <w:r>
        <w:rPr>
          <w:rFonts w:ascii="Arial" w:cs="Arial" w:eastAsia="Arial" w:hAnsi="Arial"/>
          <w:b/>
          <w:bCs/>
          <w:color w:val="2E74B5"/>
          <w:sz w:val="24"/>
          <w:szCs w:val="24"/>
        </w:rPr>
        <w:t xml:space="preserve">6.1 Core Findings</w:t>
      </w:r>
    </w:p>
    <w:p>
      <w:pPr>
        <w:pStyle w:val="ListParagraph"/>
        <w:numPr>
          <w:ilvl w:val="0"/>
          <w:numId w:val="3"/>
        </w:numPr>
        <w:spacing w:after="80"/>
      </w:pPr>
      <w:r>
        <w:rPr>
          <w:rFonts w:ascii="Arial" w:cs="Arial" w:eastAsia="Arial" w:hAnsi="Arial"/>
          <w:b/>
          <w:bCs/>
          <w:sz w:val="22"/>
          <w:szCs w:val="22"/>
        </w:rPr>
        <w:t xml:space="preserve">All five indices are stationary at the returns level (d = 0), eliminating the need for differencing in the best-fit models</w:t>
      </w:r>
    </w:p>
    <w:p>
      <w:pPr>
        <w:pStyle w:val="ListParagraph"/>
        <w:numPr>
          <w:ilvl w:val="0"/>
          <w:numId w:val="3"/>
        </w:numPr>
        <w:spacing w:after="80"/>
      </w:pPr>
      <w:r>
        <w:rPr>
          <w:rFonts w:ascii="Arial" w:cs="Arial" w:eastAsia="Arial" w:hAnsi="Arial"/>
          <w:b/>
          <w:bCs/>
          <w:sz w:val="22"/>
          <w:szCs w:val="22"/>
        </w:rPr>
        <w:t xml:space="preserve">FTSE 100 is the most predictable index; HANG SENG is the least predictable</w:t>
      </w:r>
    </w:p>
    <w:p>
      <w:pPr>
        <w:pStyle w:val="ListParagraph"/>
        <w:numPr>
          <w:ilvl w:val="0"/>
          <w:numId w:val="3"/>
        </w:numPr>
        <w:spacing w:after="80"/>
      </w:pPr>
      <w:r>
        <w:rPr>
          <w:rFonts w:ascii="Arial" w:cs="Arial" w:eastAsia="Arial" w:hAnsi="Arial"/>
          <w:b/>
          <w:bCs/>
          <w:sz w:val="22"/>
          <w:szCs w:val="22"/>
        </w:rPr>
        <w:t xml:space="preserve">S&amp;P 500 requires the most complex specification (ARIMA 3,0,3) due to its diverse market dynamics</w:t>
      </w:r>
    </w:p>
    <w:p>
      <w:pPr>
        <w:pStyle w:val="ListParagraph"/>
        <w:numPr>
          <w:ilvl w:val="0"/>
          <w:numId w:val="3"/>
        </w:numPr>
        <w:spacing w:after="80"/>
      </w:pPr>
      <w:r>
        <w:rPr>
          <w:rFonts w:ascii="Arial" w:cs="Arial" w:eastAsia="Arial" w:hAnsi="Arial"/>
          <w:b/>
          <w:bCs/>
          <w:sz w:val="22"/>
          <w:szCs w:val="22"/>
        </w:rPr>
        <w:t xml:space="preserve">Increasing model complexity beyond the optimal does not improve predictive accuracy — a key takeaway</w:t>
      </w:r>
    </w:p>
    <w:p>
      <w:pPr>
        <w:pStyle w:val="ListParagraph"/>
        <w:numPr>
          <w:ilvl w:val="0"/>
          <w:numId w:val="3"/>
        </w:numPr>
        <w:spacing w:after="80"/>
      </w:pPr>
      <w:r>
        <w:rPr>
          <w:rFonts w:ascii="Arial" w:cs="Arial" w:eastAsia="Arial" w:hAnsi="Arial"/>
          <w:b/>
          <w:bCs/>
          <w:sz w:val="22"/>
          <w:szCs w:val="22"/>
        </w:rPr>
        <w:t xml:space="preserve">All best models produce residuals with no serial autocorrelation, validating model adequacy</w:t>
      </w:r>
    </w:p>
    <w:p>
      <w:pPr>
        <w:spacing w:after="100"/>
      </w:pPr>
      <w:r>
        <w:t xml:space="preserve"/>
      </w:r>
    </w:p>
    <w:p>
      <w:pPr>
        <w:pStyle w:val="Heading2"/>
        <w:spacing w:after="120" w:before="240"/>
      </w:pPr>
      <w:r>
        <w:rPr>
          <w:rFonts w:ascii="Arial" w:cs="Arial" w:eastAsia="Arial" w:hAnsi="Arial"/>
          <w:b/>
          <w:bCs/>
          <w:color w:val="2E74B5"/>
          <w:sz w:val="24"/>
          <w:szCs w:val="24"/>
        </w:rPr>
        <w:t xml:space="preserve">6.2 Important Points to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Point 1 — Stationarity of Returns (Not Prices): The study models returns (percentage changes), not raw price levels. Raw prices are non-stationary; returns are stationary. This distinction is fundamental to correct ARIMA application.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Point 2 — MAPE Interpretation for S&amp;P 500: The extremely high MAPE (536.08) for S&amp;P 500 does not mean the model is unusable. MAPE is inflated when actual values are close to zero (which can occur with monthly returns near 0%). RMSE (3.99) is a more reliable measure here.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Point 3 — ARCH Effects Signal Need for GARCH Extension: FTSE 100 and HANG SENG show marginal ARCH effects in residuals. This means volatility is not constant over time. A GARCH or EGARCH model layered on top of ARIMA (ARIMA-GARCH) would better capture these volatility clusters.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Point 4 — Non-Normality of Residuals: While all residuals are non-normal, this is expected in financial time series (leptokurtosis / fat tails). It does not invalidate the model but suggests confidence intervals in forecasts may understate true uncertainty.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thick" w:color="FFC000" w:sz="12"/>
              <w:bottom w:val="single" w:color="FFC000" w:sz="4"/>
              <w:right w:val="single" w:color="FFC000" w:sz="4"/>
            </w:tcBorders>
            <w:shd w:fill="FFF9E6" w:val="clear"/>
            <w:tcMar>
              <w:top w:type="dxa" w:w="100"/>
              <w:left w:type="dxa" w:w="180"/>
              <w:bottom w:type="dxa" w:w="100"/>
              <w:right w:type="dxa" w:w="120"/>
            </w:tcMar>
          </w:tcPr>
          <w:p>
            <w:pPr>
              <w:spacing w:after="0"/>
            </w:pPr>
            <w:r>
              <w:rPr>
                <w:rFonts w:ascii="Arial" w:cs="Arial" w:eastAsia="Arial" w:hAnsi="Arial"/>
                <w:b/>
                <w:bCs/>
                <w:color w:val="7B4F00"/>
                <w:sz w:val="22"/>
                <w:szCs w:val="22"/>
              </w:rPr>
              <w:t xml:space="preserve">📌 NOTE: </w:t>
            </w:r>
            <w:r>
              <w:rPr>
                <w:rFonts w:ascii="Arial" w:cs="Arial" w:eastAsia="Arial" w:hAnsi="Arial"/>
                <w:color w:val="3D2B00"/>
                <w:sz w:val="22"/>
                <w:szCs w:val="22"/>
              </w:rPr>
              <w:t xml:space="preserve">Point 5 — Short Forecast Horizon Limitation: ARIMA models are most reliable for short-term forecasting. The widening confidence intervals visible in Chart 2 of the paper confirm that prediction uncertainty grows rapidly beyond 1–2 periods ahead.</w:t>
            </w:r>
          </w:p>
        </w:tc>
      </w:tr>
    </w:tbl>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7. Comparative Analysis Across Indices</w:t>
      </w:r>
    </w:p>
    <w:p>
      <w:pPr>
        <w:spacing w:after="120"/>
        <w:jc w:val="both"/>
      </w:pPr>
      <w:r>
        <w:rPr>
          <w:rFonts w:ascii="Arial" w:cs="Arial" w:eastAsia="Arial" w:hAnsi="Arial"/>
          <w:sz w:val="22"/>
          <w:szCs w:val="22"/>
        </w:rPr>
        <w:t xml:space="preserve">The five indices can be ranked by ARIMA model predictability based on RMSE and forecast error consistency: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500"/>
        <w:gridCol w:w="2200"/>
        <w:gridCol w:w="30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Index</w:t>
            </w:r>
          </w:p>
        </w:tc>
        <w:tc>
          <w:tcPr>
            <w:tcW w:type="dxa" w:w="15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RMSE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Predictability</w:t>
            </w:r>
          </w:p>
        </w:tc>
        <w:tc>
          <w:tcPr>
            <w:tcW w:type="dxa" w:w="30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Reason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FTSE 100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3.31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Highest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Stable, lower volatility market; well-fitted ARIMA(2,0,1)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S&amp;P 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3.99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Complex dynamics but rich ARIMA(3,0,3) captures patterns well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NIKKEI 225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4.51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Moderate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Regional factors &amp; yen dynamics add unpredictability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NIFTY 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4.66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Moderate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Emerging market characteristics; corporate earnings volatility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HANG SENG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5.71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Lowest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Highest RMSE; geopolitical &amp; China-related uncertainty</w:t>
            </w:r>
          </w:p>
        </w:tc>
      </w:tr>
    </w:tbl>
    <w:p>
      <w:pPr>
        <w:spacing w:after="80"/>
      </w:pPr>
      <w:r>
        <w:rPr>
          <w:rFonts w:ascii="Arial" w:cs="Arial" w:eastAsia="Arial" w:hAnsi="Arial"/>
          <w:i/>
          <w:iCs/>
          <w:color w:val="666666"/>
          <w:sz w:val="18"/>
          <w:szCs w:val="18"/>
        </w:rPr>
        <w:t xml:space="preserve">* S&amp;P 500 high predictability refers to RMSE only; MAPE is distorted by near-zero return months</w:t>
      </w:r>
    </w:p>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8. Limitations of the Study</w:t>
      </w:r>
    </w:p>
    <w:p>
      <w:pPr>
        <w:pStyle w:val="ListParagraph"/>
        <w:numPr>
          <w:ilvl w:val="0"/>
          <w:numId w:val="3"/>
        </w:numPr>
        <w:spacing w:after="80"/>
      </w:pPr>
      <w:r>
        <w:rPr>
          <w:rFonts w:ascii="Arial" w:cs="Arial" w:eastAsia="Arial" w:hAnsi="Arial"/>
          <w:b w:val="false"/>
          <w:bCs w:val="false"/>
          <w:sz w:val="22"/>
          <w:szCs w:val="22"/>
        </w:rPr>
        <w:t xml:space="preserve">ARIMA captures only linear relationships; non-linearities in financial markets are ignored</w:t>
      </w:r>
    </w:p>
    <w:p>
      <w:pPr>
        <w:pStyle w:val="ListParagraph"/>
        <w:numPr>
          <w:ilvl w:val="0"/>
          <w:numId w:val="3"/>
        </w:numPr>
        <w:spacing w:after="80"/>
      </w:pPr>
      <w:r>
        <w:rPr>
          <w:rFonts w:ascii="Arial" w:cs="Arial" w:eastAsia="Arial" w:hAnsi="Arial"/>
          <w:b w:val="false"/>
          <w:bCs w:val="false"/>
          <w:sz w:val="22"/>
          <w:szCs w:val="22"/>
        </w:rPr>
        <w:t xml:space="preserve">No exogenous variables incorporated (e.g., interest rates, macroeconomic indicators, sentiment data)</w:t>
      </w:r>
    </w:p>
    <w:p>
      <w:pPr>
        <w:pStyle w:val="ListParagraph"/>
        <w:numPr>
          <w:ilvl w:val="0"/>
          <w:numId w:val="3"/>
        </w:numPr>
        <w:spacing w:after="80"/>
      </w:pPr>
      <w:r>
        <w:rPr>
          <w:rFonts w:ascii="Arial" w:cs="Arial" w:eastAsia="Arial" w:hAnsi="Arial"/>
          <w:b w:val="false"/>
          <w:bCs w:val="false"/>
          <w:sz w:val="22"/>
          <w:szCs w:val="22"/>
        </w:rPr>
        <w:t xml:space="preserve">Monthly return forecasting has limited granularity for intraday or weekly trading strategies</w:t>
      </w:r>
    </w:p>
    <w:p>
      <w:pPr>
        <w:pStyle w:val="ListParagraph"/>
        <w:numPr>
          <w:ilvl w:val="0"/>
          <w:numId w:val="3"/>
        </w:numPr>
        <w:spacing w:after="80"/>
      </w:pPr>
      <w:r>
        <w:rPr>
          <w:rFonts w:ascii="Arial" w:cs="Arial" w:eastAsia="Arial" w:hAnsi="Arial"/>
          <w:b w:val="false"/>
          <w:bCs w:val="false"/>
          <w:sz w:val="22"/>
          <w:szCs w:val="22"/>
        </w:rPr>
        <w:t xml:space="preserve">Residual non-normality suggests confidence intervals may underestimate forecast uncertainty</w:t>
      </w:r>
    </w:p>
    <w:p>
      <w:pPr>
        <w:pStyle w:val="ListParagraph"/>
        <w:numPr>
          <w:ilvl w:val="0"/>
          <w:numId w:val="3"/>
        </w:numPr>
        <w:spacing w:after="80"/>
      </w:pPr>
      <w:r>
        <w:rPr>
          <w:rFonts w:ascii="Arial" w:cs="Arial" w:eastAsia="Arial" w:hAnsi="Arial"/>
          <w:b w:val="false"/>
          <w:bCs w:val="false"/>
          <w:sz w:val="22"/>
          <w:szCs w:val="22"/>
        </w:rPr>
        <w:t xml:space="preserve">COVID-19 and other structural breaks may violate the stationarity assumption over certain sub-periods</w:t>
      </w:r>
    </w:p>
    <w:p>
      <w:pPr>
        <w:pStyle w:val="ListParagraph"/>
        <w:numPr>
          <w:ilvl w:val="0"/>
          <w:numId w:val="3"/>
        </w:numPr>
        <w:spacing w:after="80"/>
      </w:pPr>
      <w:r>
        <w:rPr>
          <w:rFonts w:ascii="Arial" w:cs="Arial" w:eastAsia="Arial" w:hAnsi="Arial"/>
          <w:b w:val="false"/>
          <w:bCs w:val="false"/>
          <w:sz w:val="22"/>
          <w:szCs w:val="22"/>
        </w:rPr>
        <w:t xml:space="preserve">GARCH-family models not explored despite evidence of potential ARCH effects in FTSE 100 and HANG SENG</w:t>
      </w:r>
    </w:p>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9. Future Research Directions</w:t>
      </w:r>
    </w:p>
    <w:p>
      <w:pPr>
        <w:pStyle w:val="ListParagraph"/>
        <w:numPr>
          <w:ilvl w:val="0"/>
          <w:numId w:val="3"/>
        </w:numPr>
        <w:spacing w:after="80"/>
      </w:pPr>
      <w:r>
        <w:rPr>
          <w:rFonts w:ascii="Arial" w:cs="Arial" w:eastAsia="Arial" w:hAnsi="Arial"/>
          <w:b w:val="false"/>
          <w:bCs w:val="false"/>
          <w:sz w:val="22"/>
          <w:szCs w:val="22"/>
        </w:rPr>
        <w:t xml:space="preserve">Hybrid ARIMA-LSTM or ARIMA-GARCH models to capture non-linearities and volatility clustering</w:t>
      </w:r>
    </w:p>
    <w:p>
      <w:pPr>
        <w:pStyle w:val="ListParagraph"/>
        <w:numPr>
          <w:ilvl w:val="0"/>
          <w:numId w:val="3"/>
        </w:numPr>
        <w:spacing w:after="80"/>
      </w:pPr>
      <w:r>
        <w:rPr>
          <w:rFonts w:ascii="Arial" w:cs="Arial" w:eastAsia="Arial" w:hAnsi="Arial"/>
          <w:b w:val="false"/>
          <w:bCs w:val="false"/>
          <w:sz w:val="22"/>
          <w:szCs w:val="22"/>
        </w:rPr>
        <w:t xml:space="preserve">Incorporate macroeconomic inputs (VAR / ARIMAX) to improve exogenous factor sensitivity</w:t>
      </w:r>
    </w:p>
    <w:p>
      <w:pPr>
        <w:pStyle w:val="ListParagraph"/>
        <w:numPr>
          <w:ilvl w:val="0"/>
          <w:numId w:val="3"/>
        </w:numPr>
        <w:spacing w:after="80"/>
      </w:pPr>
      <w:r>
        <w:rPr>
          <w:rFonts w:ascii="Arial" w:cs="Arial" w:eastAsia="Arial" w:hAnsi="Arial"/>
          <w:b w:val="false"/>
          <w:bCs w:val="false"/>
          <w:sz w:val="22"/>
          <w:szCs w:val="22"/>
        </w:rPr>
        <w:t xml:space="preserve">Apply Seasonal ARIMA (SARIMA) to capture calendar-based patterns (e.g., January effect)</w:t>
      </w:r>
    </w:p>
    <w:p>
      <w:pPr>
        <w:pStyle w:val="ListParagraph"/>
        <w:numPr>
          <w:ilvl w:val="0"/>
          <w:numId w:val="3"/>
        </w:numPr>
        <w:spacing w:after="80"/>
      </w:pPr>
      <w:r>
        <w:rPr>
          <w:rFonts w:ascii="Arial" w:cs="Arial" w:eastAsia="Arial" w:hAnsi="Arial"/>
          <w:b w:val="false"/>
          <w:bCs w:val="false"/>
          <w:sz w:val="22"/>
          <w:szCs w:val="22"/>
        </w:rPr>
        <w:t xml:space="preserve">Explore ensemble forecasting methods that combine ARIMA with machine learning outputs</w:t>
      </w:r>
    </w:p>
    <w:p>
      <w:pPr>
        <w:pStyle w:val="ListParagraph"/>
        <w:numPr>
          <w:ilvl w:val="0"/>
          <w:numId w:val="3"/>
        </w:numPr>
        <w:spacing w:after="80"/>
      </w:pPr>
      <w:r>
        <w:rPr>
          <w:rFonts w:ascii="Arial" w:cs="Arial" w:eastAsia="Arial" w:hAnsi="Arial"/>
          <w:b w:val="false"/>
          <w:bCs w:val="false"/>
          <w:sz w:val="22"/>
          <w:szCs w:val="22"/>
        </w:rPr>
        <w:t xml:space="preserve">Sentiment analysis integration from news and social media as additional predictors</w:t>
      </w:r>
    </w:p>
    <w:p>
      <w:pPr>
        <w:pStyle w:val="ListParagraph"/>
        <w:numPr>
          <w:ilvl w:val="0"/>
          <w:numId w:val="3"/>
        </w:numPr>
        <w:spacing w:after="80"/>
      </w:pPr>
      <w:r>
        <w:rPr>
          <w:rFonts w:ascii="Arial" w:cs="Arial" w:eastAsia="Arial" w:hAnsi="Arial"/>
          <w:b w:val="false"/>
          <w:bCs w:val="false"/>
          <w:sz w:val="22"/>
          <w:szCs w:val="22"/>
        </w:rPr>
        <w:t xml:space="preserve">Sub-period analysis (pre/during/post COVID-19) to test model stability across structural breaks</w:t>
      </w:r>
    </w:p>
    <w:p>
      <w:pPr>
        <w:spacing w:after="100"/>
      </w:pPr>
      <w:r>
        <w:t xml:space="preserve"/>
      </w:r>
    </w:p>
    <w:p>
      <w:pPr>
        <w:pStyle w:val="Heading1"/>
        <w:pBdr>
          <w:bottom w:val="single" w:color="1F4E79" w:sz="6" w:space="1"/>
        </w:pBdr>
        <w:spacing w:after="180" w:before="360"/>
      </w:pPr>
      <w:r>
        <w:rPr>
          <w:rFonts w:ascii="Arial" w:cs="Arial" w:eastAsia="Arial" w:hAnsi="Arial"/>
          <w:b/>
          <w:bCs/>
          <w:color w:val="1F4E79"/>
          <w:sz w:val="28"/>
          <w:szCs w:val="28"/>
        </w:rPr>
        <w:t xml:space="preserve">10. Conclusion</w:t>
      </w:r>
    </w:p>
    <w:p>
      <w:pPr>
        <w:spacing w:after="120"/>
        <w:jc w:val="both"/>
      </w:pPr>
      <w:r>
        <w:rPr>
          <w:rFonts w:ascii="Arial" w:cs="Arial" w:eastAsia="Arial" w:hAnsi="Arial"/>
          <w:sz w:val="22"/>
          <w:szCs w:val="22"/>
        </w:rPr>
        <w:t xml:space="preserve">This study confirms that ARIMA models offer a robust and interpretable framework for forecasting international stock index returns. All five indices were found to be stationary at the returns level, and the best-fit ARIMA specifications produced residuals free of serial autocorrelation — the key criterion for a valid time series model.</w:t>
      </w:r>
    </w:p>
    <w:p>
      <w:pPr>
        <w:spacing w:after="100"/>
      </w:pPr>
      <w:r>
        <w:t xml:space="preserve"/>
      </w:r>
    </w:p>
    <w:p>
      <w:pPr>
        <w:spacing w:after="120"/>
        <w:jc w:val="both"/>
      </w:pPr>
      <w:r>
        <w:rPr>
          <w:rFonts w:ascii="Arial" w:cs="Arial" w:eastAsia="Arial" w:hAnsi="Arial"/>
          <w:sz w:val="22"/>
          <w:szCs w:val="22"/>
        </w:rPr>
        <w:t xml:space="preserve">The FTSE 100 demonstrated the best predictive performance with ARIMA(2,0,1), while the HANG SENG proved most challenging due to its elevated volatility. The S&amp;P 500 required the most complex model (ARIMA 3,0,3) but achieved strong RMSE performance. A consistent finding across indices is that increasing model complexity beyond the optimal specification does not yield better predictions.</w:t>
      </w:r>
    </w:p>
    <w:p>
      <w:pPr>
        <w:spacing w:after="100"/>
      </w:pPr>
      <w:r>
        <w:t xml:space="preserve"/>
      </w:r>
    </w:p>
    <w:p>
      <w:pPr>
        <w:spacing w:after="120"/>
        <w:jc w:val="both"/>
      </w:pPr>
      <w:r>
        <w:rPr>
          <w:rFonts w:ascii="Arial" w:cs="Arial" w:eastAsia="Arial" w:hAnsi="Arial"/>
          <w:sz w:val="22"/>
          <w:szCs w:val="22"/>
        </w:rPr>
        <w:t xml:space="preserve">While ARIMA models provide a strong foundation, future research incorporating hybrid machine learning approaches, GARCH volatility modelling, and macroeconomic covariates is recommended — particularly for high-volatility indices like HANG SENG and NIKKEI 225. The insights from this study are directly actionable for portfolio managers, risk analysts, and policymakers navigating global equity markets.</w:t>
      </w:r>
    </w:p>
    <w:p>
      <w:pPr>
        <w:spacing w:after="100"/>
      </w:pPr>
      <w:r>
        <w:t xml:space="preserve"/>
      </w:r>
    </w:p>
    <w:p>
      <w:pPr>
        <w:pBdr>
          <w:top w:val="single" w:color="AAAAAA" w:sz="4" w:space="1"/>
        </w:pBdr>
        <w:spacing w:before="360"/>
        <w:jc w:val="center"/>
      </w:pPr>
      <w:r>
        <w:rPr>
          <w:rFonts w:ascii="Arial" w:cs="Arial" w:eastAsia="Arial" w:hAnsi="Arial"/>
          <w:i/>
          <w:iCs/>
          <w:color w:val="777777"/>
          <w:sz w:val="16"/>
          <w:szCs w:val="16"/>
        </w:rPr>
        <w:t xml:space="preserve">Case Summary prepared from: Marisetty, N. (2024). Forecasting of Selected International Stock Indices Returns by using ARIMA Model. International Journal of Development Research, 14(07), 66083–66091. https://doi.org/10.37118/ijdr.28098.07.2024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2026-05-28T17:37:25.847Z</dcterms:created>
  <dcterms:modified xsi:type="dcterms:W3CDTF">2026-05-28T17:37:25.847Z</dcterms:modified>
</cp:coreProperties>
</file>

<file path=docProps/custom.xml><?xml version="1.0" encoding="utf-8"?>
<Properties xmlns="http://schemas.openxmlformats.org/officeDocument/2006/custom-properties" xmlns:vt="http://schemas.openxmlformats.org/officeDocument/2006/docPropsVTypes"/>
</file>