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WA02177388</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AKSHINTALA,SIVARAMAKRISHNA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RAVI KUMAR AKSHINTALA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18-Aug-1992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1/403A BALAMUDHALI STREET KELAMBAKKAM, CHENNAI TN 603103</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AKSHINTALA,SIVARAMAKRISHNA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RAVI KUMAR AKSHINTALA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18-Aug-1992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1/403A BALAMUDHALI STREET KELAMBAKKAM, CHENNAI TN 603103</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