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HEALTHCARE OPERATIONS INTELLIGENCE</w:t>
      </w:r>
    </w:p>
    <w:p>
      <w:pPr>
        <w:jc w:val="center"/>
      </w:pPr>
      <w:r>
        <w:rPr>
          <w:b/>
          <w:sz w:val="30"/>
        </w:rPr>
        <w:t>Enhanced Healthcare Data Analysis, Operational Insights and Exploratory ML</w:t>
      </w:r>
    </w:p>
    <w:p>
      <w:pPr>
        <w:jc w:val="center"/>
      </w:pPr>
      <w:r>
        <w:rPr>
          <w:sz w:val="22"/>
        </w:rPr>
        <w:br/>
        <w:t>IBM SkillsBuild Data Analytics with AI Internship 2026</w:t>
      </w:r>
      <w:r>
        <w:rPr>
          <w:sz w:val="22"/>
        </w:rPr>
        <w:br/>
        <w:t>Student: Nitin Kohli</w:t>
      </w:r>
      <w:r>
        <w:rPr>
          <w:sz w:val="20"/>
        </w:rPr>
        <w:br/>
        <w:br/>
        <w:t>Source dataset: synthetic healthcare data for educational purposes</w:t>
      </w:r>
    </w:p>
    <w:p>
      <w:r>
        <w:drawing>
          <wp:inline xmlns:a="http://schemas.openxmlformats.org/drawingml/2006/main" xmlns:pic="http://schemas.openxmlformats.org/drawingml/2006/picture">
            <wp:extent cx="6309360" cy="312668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3126684"/>
                    </a:xfrm>
                    <a:prstGeom prst="rect"/>
                  </pic:spPr>
                </pic:pic>
              </a:graphicData>
            </a:graphic>
          </wp:inline>
        </w:drawing>
      </w:r>
    </w:p>
    <w:p>
      <w:pPr>
        <w:jc w:val="center"/>
      </w:pPr>
      <w:r>
        <w:rPr>
          <w:i/>
          <w:sz w:val="16"/>
        </w:rPr>
        <w:t>Figure 1. Enhanced project architecture.</w:t>
      </w:r>
    </w:p>
    <w:tbl>
      <w:tblPr>
        <w:tblW w:type="auto" w:w="0"/>
        <w:tblLook w:firstColumn="1" w:firstRow="1" w:lastColumn="0" w:lastRow="0" w:noHBand="0" w:noVBand="1" w:val="04A0"/>
      </w:tblPr>
      <w:tblGrid>
        <w:gridCol w:w="10224"/>
      </w:tblGrid>
      <w:tr>
        <w:tc>
          <w:tcPr>
            <w:tcW w:type="dxa" w:w="10224"/>
            <w:shd w:fill="EEF5FB"/>
          </w:tcPr>
          <w:p>
            <w:r>
              <w:rPr>
                <w:b/>
                <w:sz w:val="21"/>
              </w:rPr>
              <w:t>Healthcare disclaimer</w:t>
              <w:br/>
            </w:r>
            <w:r>
              <w:rPr>
                <w:sz w:val="19"/>
              </w:rPr>
              <w:t>This project uses synthetic healthcare data. It is intended for education and analytics practice only and must not be used for diagnosis, treatment, triage, or clinical decision-making.</w:t>
            </w:r>
          </w:p>
        </w:tc>
      </w:tr>
    </w:tbl>
    <w:p/>
    <w:p>
      <w:r>
        <w:br w:type="page"/>
      </w:r>
    </w:p>
    <w:p>
      <w:pPr>
        <w:pStyle w:val="Heading1"/>
      </w:pPr>
      <w:r>
        <w:t>1. Executive Summary</w:t>
      </w:r>
    </w:p>
    <w:p>
      <w:r>
        <w:t>This project transforms the original Healthcare Data Analysis and Patient Insights notebook into a reusable Healthcare Operations Intelligence product. The original work analyzed 150,500 raw rows, removed 500 duplicate records, cleaned data-quality issues, performed exploratory analysis, answered healthcare-focused questions, and evaluated a Decision Tree model. The enhanced version retains those core findings while adding a reusable data pipeline, row-level quality auditing, an interactive Streamlit dashboard, a transparent department Operations Load Index, quantitative synthetic-leakage detection, and a four-model exploratory ML benchmark.</w:t>
      </w:r>
    </w:p>
    <w:p>
      <w:r>
        <w:t>The cleaned dataset contains 150,000 records and 14 original columns. The average patient age is 49.05 years, the busiest department is Dermatology with 24,447 records, and 37.28% of records have a chronic-condition label of Yes. The strong symptom-to-department association is explicitly audited rather than silently used to inflate model performance.</w:t>
      </w:r>
    </w:p>
    <w:tbl>
      <w:tblPr>
        <w:tblW w:type="auto" w:w="0"/>
        <w:tblLook w:firstColumn="1" w:firstRow="1" w:lastColumn="0" w:lastRow="0" w:noHBand="0" w:noVBand="1" w:val="04A0"/>
      </w:tblPr>
      <w:tblGrid>
        <w:gridCol w:w="10224"/>
      </w:tblGrid>
      <w:tr>
        <w:tc>
          <w:tcPr>
            <w:tcW w:type="dxa" w:w="10224"/>
            <w:shd w:fill="EEF5FB"/>
          </w:tcPr>
          <w:p>
            <w:r>
              <w:rPr>
                <w:b/>
                <w:sz w:val="21"/>
              </w:rPr>
              <w:t>Main project value</w:t>
              <w:br/>
            </w:r>
            <w:r>
              <w:rPr>
                <w:sz w:val="19"/>
              </w:rPr>
              <w:t>The deliverable is not only a notebook. It is a reproducible analytics system: raw data -&gt; auditable cleaning -&gt; analytics -&gt; operational views -&gt; ML audit -&gt; dashboard -&gt; report.</w:t>
            </w:r>
          </w:p>
        </w:tc>
      </w:tr>
    </w:tbl>
    <w:p/>
    <w:p>
      <w:pPr>
        <w:pStyle w:val="Heading1"/>
      </w:pPr>
      <w:r>
        <w:t>2. Baseline Project Retained and Enhanced</w:t>
      </w:r>
    </w:p>
    <w:p>
      <w:r>
        <w:t>The submitted baseline notebook and report were used as the factual starting point. Their terminology, core findings and dataset were retained so that the enhanced project remains traceable to the internship requirement.</w:t>
      </w:r>
    </w:p>
    <w:tbl>
      <w:tblPr>
        <w:tblStyle w:val="TableGrid"/>
        <w:tblW w:type="auto" w:w="0"/>
        <w:tblLook w:firstColumn="1" w:firstRow="1" w:lastColumn="0" w:lastRow="0" w:noHBand="0" w:noVBand="1" w:val="04A0"/>
      </w:tblPr>
      <w:tblGrid>
        <w:gridCol w:w="5112"/>
        <w:gridCol w:w="5112"/>
      </w:tblGrid>
      <w:tr>
        <w:trPr>
          <w:tblHeader w:val="true"/>
        </w:trPr>
        <w:tc>
          <w:tcPr>
            <w:tcW w:type="dxa" w:w="3168"/>
            <w:vAlign w:val="center"/>
            <w:shd w:fill="D9EAF7"/>
          </w:tcPr>
          <w:p>
            <w:r>
              <w:rPr>
                <w:b/>
                <w:sz w:val="17"/>
              </w:rPr>
              <w:t>Baseline approach</w:t>
            </w:r>
          </w:p>
        </w:tc>
        <w:tc>
          <w:tcPr>
            <w:tcW w:type="dxa" w:w="6768"/>
            <w:vAlign w:val="center"/>
            <w:shd w:fill="D9EAF7"/>
          </w:tcPr>
          <w:p>
            <w:r>
              <w:rPr>
                <w:b/>
                <w:sz w:val="17"/>
              </w:rPr>
              <w:t>Enhanced project</w:t>
            </w:r>
          </w:p>
        </w:tc>
      </w:tr>
      <w:tr>
        <w:tc>
          <w:tcPr>
            <w:tcW w:type="dxa" w:w="3168"/>
            <w:vAlign w:val="center"/>
          </w:tcPr>
          <w:p>
            <w:r>
              <w:rPr>
                <w:sz w:val="17"/>
              </w:rPr>
              <w:t>Static notebook</w:t>
            </w:r>
          </w:p>
        </w:tc>
        <w:tc>
          <w:tcPr>
            <w:tcW w:type="dxa" w:w="6768"/>
            <w:vAlign w:val="center"/>
          </w:tcPr>
          <w:p>
            <w:r>
              <w:rPr>
                <w:sz w:val="17"/>
              </w:rPr>
              <w:t>Reusable pipeline + notebook + Streamlit dashboard</w:t>
            </w:r>
          </w:p>
        </w:tc>
      </w:tr>
      <w:tr>
        <w:tc>
          <w:tcPr>
            <w:tcW w:type="dxa" w:w="3168"/>
            <w:vAlign w:val="center"/>
          </w:tcPr>
          <w:p>
            <w:r>
              <w:rPr>
                <w:sz w:val="17"/>
              </w:rPr>
              <w:t>Cleaning cells</w:t>
            </w:r>
          </w:p>
        </w:tc>
        <w:tc>
          <w:tcPr>
            <w:tcW w:type="dxa" w:w="6768"/>
            <w:vAlign w:val="center"/>
          </w:tcPr>
          <w:p>
            <w:r>
              <w:rPr>
                <w:sz w:val="17"/>
              </w:rPr>
              <w:t>Cleaning module + issue flags + quality report</w:t>
            </w:r>
          </w:p>
        </w:tc>
      </w:tr>
      <w:tr>
        <w:tc>
          <w:tcPr>
            <w:tcW w:type="dxa" w:w="3168"/>
            <w:vAlign w:val="center"/>
          </w:tcPr>
          <w:p>
            <w:r>
              <w:rPr>
                <w:sz w:val="17"/>
              </w:rPr>
              <w:t>Fixed EDA</w:t>
            </w:r>
          </w:p>
        </w:tc>
        <w:tc>
          <w:tcPr>
            <w:tcW w:type="dxa" w:w="6768"/>
            <w:vAlign w:val="center"/>
          </w:tcPr>
          <w:p>
            <w:r>
              <w:rPr>
                <w:sz w:val="17"/>
              </w:rPr>
              <w:t>Filterable cohort and department exploration</w:t>
            </w:r>
          </w:p>
        </w:tc>
      </w:tr>
      <w:tr>
        <w:tc>
          <w:tcPr>
            <w:tcW w:type="dxa" w:w="3168"/>
            <w:vAlign w:val="center"/>
          </w:tcPr>
          <w:p>
            <w:r>
              <w:rPr>
                <w:sz w:val="17"/>
              </w:rPr>
              <w:t>Single Decision Tree</w:t>
            </w:r>
          </w:p>
        </w:tc>
        <w:tc>
          <w:tcPr>
            <w:tcW w:type="dxa" w:w="6768"/>
            <w:vAlign w:val="center"/>
          </w:tcPr>
          <w:p>
            <w:r>
              <w:rPr>
                <w:sz w:val="17"/>
              </w:rPr>
              <w:t>Majority baseline + Logistic Regression + Decision Tree + Random Forest</w:t>
            </w:r>
          </w:p>
        </w:tc>
      </w:tr>
      <w:tr>
        <w:tc>
          <w:tcPr>
            <w:tcW w:type="dxa" w:w="3168"/>
            <w:vAlign w:val="center"/>
          </w:tcPr>
          <w:p>
            <w:r>
              <w:rPr>
                <w:sz w:val="17"/>
              </w:rPr>
              <w:t>Narrative leakage explanation</w:t>
            </w:r>
          </w:p>
        </w:tc>
        <w:tc>
          <w:tcPr>
            <w:tcW w:type="dxa" w:w="6768"/>
            <w:vAlign w:val="center"/>
          </w:tcPr>
          <w:p>
            <w:r>
              <w:rPr>
                <w:sz w:val="17"/>
              </w:rPr>
              <w:t>Cramer's V + symptom lookup audit</w:t>
            </w:r>
          </w:p>
        </w:tc>
      </w:tr>
      <w:tr>
        <w:tc>
          <w:tcPr>
            <w:tcW w:type="dxa" w:w="3168"/>
            <w:vAlign w:val="center"/>
          </w:tcPr>
          <w:p>
            <w:r>
              <w:rPr>
                <w:sz w:val="17"/>
              </w:rPr>
              <w:t>Operational observations</w:t>
            </w:r>
          </w:p>
        </w:tc>
        <w:tc>
          <w:tcPr>
            <w:tcW w:type="dxa" w:w="6768"/>
            <w:vAlign w:val="center"/>
          </w:tcPr>
          <w:p>
            <w:r>
              <w:rPr>
                <w:sz w:val="17"/>
              </w:rPr>
              <w:t>Transparent Operations Load Index with adjustable weights</w:t>
            </w:r>
          </w:p>
        </w:tc>
      </w:tr>
      <w:tr>
        <w:tc>
          <w:tcPr>
            <w:tcW w:type="dxa" w:w="3168"/>
            <w:vAlign w:val="center"/>
          </w:tcPr>
          <w:p>
            <w:r>
              <w:rPr>
                <w:sz w:val="17"/>
              </w:rPr>
              <w:t>Manual outputs</w:t>
            </w:r>
          </w:p>
        </w:tc>
        <w:tc>
          <w:tcPr>
            <w:tcW w:type="dxa" w:w="6768"/>
            <w:vAlign w:val="center"/>
          </w:tcPr>
          <w:p>
            <w:r>
              <w:rPr>
                <w:sz w:val="17"/>
              </w:rPr>
              <w:t>Generated CSV/JSON/PNG artifacts</w:t>
            </w:r>
          </w:p>
        </w:tc>
      </w:tr>
      <w:tr>
        <w:tc>
          <w:tcPr>
            <w:tcW w:type="dxa" w:w="3168"/>
            <w:vAlign w:val="center"/>
          </w:tcPr>
          <w:p>
            <w:r>
              <w:rPr>
                <w:sz w:val="17"/>
              </w:rPr>
              <w:t>One-time work</w:t>
            </w:r>
          </w:p>
        </w:tc>
        <w:tc>
          <w:tcPr>
            <w:tcW w:type="dxa" w:w="6768"/>
            <w:vAlign w:val="center"/>
          </w:tcPr>
          <w:p>
            <w:r>
              <w:rPr>
                <w:sz w:val="17"/>
              </w:rPr>
              <w:t>Reproducible build script + automated tests</w:t>
            </w:r>
          </w:p>
        </w:tc>
      </w:tr>
    </w:tbl>
    <w:p/>
    <w:p>
      <w:pPr>
        <w:pStyle w:val="Heading1"/>
      </w:pPr>
      <w:r>
        <w:t>3. Problem Statement</w:t>
      </w:r>
    </w:p>
    <w:p>
      <w:r>
        <w:t>Healthcare facilities can generate large amounts of structured patient information. Without a systematic analysis workflow, patterns in demographics, symptoms, department workloads, vital-sign measurements, severity labels and chronic-condition fields can be difficult to inspect consistently. The project therefore asks: how can a synthetic patient dataset be converted into a transparent, reusable analytical product that surfaces operational patterns, validates data quality and evaluates whether non-symptom features contain useful predictive signal for department assignment?</w:t>
      </w:r>
    </w:p>
    <w:p>
      <w:r>
        <w:t>The project does not attempt to diagnose patients or recommend treatment.</w:t>
      </w:r>
    </w:p>
    <w:p>
      <w:pPr>
        <w:pStyle w:val="Heading1"/>
      </w:pPr>
      <w:r>
        <w:t>4. Objectives</w:t>
      </w:r>
    </w:p>
    <w:p>
      <w:pPr>
        <w:pStyle w:val="ListNumber"/>
      </w:pPr>
      <w:r>
        <w:t>Audit the raw dataset for duplicates, missing values, category inconsistencies and invalid numeric values.</w:t>
      </w:r>
    </w:p>
    <w:p>
      <w:pPr>
        <w:pStyle w:val="ListNumber"/>
      </w:pPr>
      <w:r>
        <w:t>Clean the dataset without overwriting the original raw file.</w:t>
      </w:r>
    </w:p>
    <w:p>
      <w:pPr>
        <w:pStyle w:val="ListNumber"/>
      </w:pPr>
      <w:r>
        <w:t>Describe the patient population, symptoms, severity, chronic-condition mix and department workload.</w:t>
      </w:r>
    </w:p>
    <w:p>
      <w:pPr>
        <w:pStyle w:val="ListNumber"/>
      </w:pPr>
      <w:r>
        <w:t>Add cohort analysis using age groups and duration/pain bands.</w:t>
      </w:r>
    </w:p>
    <w:p>
      <w:pPr>
        <w:pStyle w:val="ListNumber"/>
      </w:pPr>
      <w:r>
        <w:t>Create a transparent, operationally focused department index with visible components.</w:t>
      </w:r>
    </w:p>
    <w:p>
      <w:pPr>
        <w:pStyle w:val="ListNumber"/>
      </w:pPr>
      <w:r>
        <w:t>Quantify the unusually strong synthetic relationship between symptoms and departments.</w:t>
      </w:r>
    </w:p>
    <w:p>
      <w:pPr>
        <w:pStyle w:val="ListNumber"/>
      </w:pPr>
      <w:r>
        <w:t>Benchmark multiple ML models using the department target while excluding the high-leakage symptom feature.</w:t>
      </w:r>
    </w:p>
    <w:p>
      <w:pPr>
        <w:pStyle w:val="ListNumber"/>
      </w:pPr>
      <w:r>
        <w:t>Expose findings through an interactive dashboard.</w:t>
      </w:r>
    </w:p>
    <w:p>
      <w:pPr>
        <w:pStyle w:val="ListNumber"/>
      </w:pPr>
      <w:r>
        <w:t>Produce reproducible artifacts, tests, a report and GitHub-ready documentation.</w:t>
      </w:r>
    </w:p>
    <w:p>
      <w:pPr>
        <w:pStyle w:val="Heading1"/>
      </w:pPr>
      <w:r>
        <w:t>5. Dataset and Data Dictionary</w:t>
      </w:r>
    </w:p>
    <w:p>
      <w:r>
        <w:t>The raw CSV contains 150,500 rows and 14 columns. After cleaning, 150,000 unique patient rows remain. The data is explicitly synthetic and exists for educational analytics.</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2232"/>
            <w:vAlign w:val="center"/>
            <w:shd w:fill="D9EAF7"/>
          </w:tcPr>
          <w:p>
            <w:r>
              <w:rPr>
                <w:b/>
                <w:sz w:val="17"/>
              </w:rPr>
              <w:t>Column</w:t>
            </w:r>
          </w:p>
        </w:tc>
        <w:tc>
          <w:tcPr>
            <w:tcW w:type="dxa" w:w="1656"/>
            <w:vAlign w:val="center"/>
            <w:shd w:fill="D9EAF7"/>
          </w:tcPr>
          <w:p>
            <w:r>
              <w:rPr>
                <w:b/>
                <w:sz w:val="17"/>
              </w:rPr>
              <w:t>Type</w:t>
            </w:r>
          </w:p>
        </w:tc>
        <w:tc>
          <w:tcPr>
            <w:tcW w:type="dxa" w:w="6048"/>
            <w:vAlign w:val="center"/>
            <w:shd w:fill="D9EAF7"/>
          </w:tcPr>
          <w:p>
            <w:r>
              <w:rPr>
                <w:b/>
                <w:sz w:val="17"/>
              </w:rPr>
              <w:t>Description</w:t>
            </w:r>
          </w:p>
        </w:tc>
      </w:tr>
      <w:tr>
        <w:tc>
          <w:tcPr>
            <w:tcW w:type="dxa" w:w="2232"/>
            <w:vAlign w:val="center"/>
          </w:tcPr>
          <w:p>
            <w:r>
              <w:rPr>
                <w:sz w:val="17"/>
              </w:rPr>
              <w:t>patient_id</w:t>
            </w:r>
          </w:p>
        </w:tc>
        <w:tc>
          <w:tcPr>
            <w:tcW w:type="dxa" w:w="1656"/>
            <w:vAlign w:val="center"/>
          </w:tcPr>
          <w:p>
            <w:r>
              <w:rPr>
                <w:sz w:val="17"/>
              </w:rPr>
              <w:t>Integer</w:t>
            </w:r>
          </w:p>
        </w:tc>
        <w:tc>
          <w:tcPr>
            <w:tcW w:type="dxa" w:w="6048"/>
            <w:vAlign w:val="center"/>
          </w:tcPr>
          <w:p>
            <w:r>
              <w:rPr>
                <w:sz w:val="17"/>
              </w:rPr>
              <w:t>Patient identifier</w:t>
            </w:r>
          </w:p>
        </w:tc>
      </w:tr>
      <w:tr>
        <w:tc>
          <w:tcPr>
            <w:tcW w:type="dxa" w:w="2232"/>
            <w:vAlign w:val="center"/>
          </w:tcPr>
          <w:p>
            <w:r>
              <w:rPr>
                <w:sz w:val="17"/>
              </w:rPr>
              <w:t>age</w:t>
            </w:r>
          </w:p>
        </w:tc>
        <w:tc>
          <w:tcPr>
            <w:tcW w:type="dxa" w:w="1656"/>
            <w:vAlign w:val="center"/>
          </w:tcPr>
          <w:p>
            <w:r>
              <w:rPr>
                <w:sz w:val="17"/>
              </w:rPr>
              <w:t>Numeric</w:t>
            </w:r>
          </w:p>
        </w:tc>
        <w:tc>
          <w:tcPr>
            <w:tcW w:type="dxa" w:w="6048"/>
            <w:vAlign w:val="center"/>
          </w:tcPr>
          <w:p>
            <w:r>
              <w:rPr>
                <w:sz w:val="17"/>
              </w:rPr>
              <w:t>Age in years</w:t>
            </w:r>
          </w:p>
        </w:tc>
      </w:tr>
      <w:tr>
        <w:tc>
          <w:tcPr>
            <w:tcW w:type="dxa" w:w="2232"/>
            <w:vAlign w:val="center"/>
          </w:tcPr>
          <w:p>
            <w:r>
              <w:rPr>
                <w:sz w:val="17"/>
              </w:rPr>
              <w:t>gender</w:t>
            </w:r>
          </w:p>
        </w:tc>
        <w:tc>
          <w:tcPr>
            <w:tcW w:type="dxa" w:w="1656"/>
            <w:vAlign w:val="center"/>
          </w:tcPr>
          <w:p>
            <w:r>
              <w:rPr>
                <w:sz w:val="17"/>
              </w:rPr>
              <w:t>Categorical</w:t>
            </w:r>
          </w:p>
        </w:tc>
        <w:tc>
          <w:tcPr>
            <w:tcW w:type="dxa" w:w="6048"/>
            <w:vAlign w:val="center"/>
          </w:tcPr>
          <w:p>
            <w:r>
              <w:rPr>
                <w:sz w:val="17"/>
              </w:rPr>
              <w:t>Male / Female</w:t>
            </w:r>
          </w:p>
        </w:tc>
      </w:tr>
      <w:tr>
        <w:tc>
          <w:tcPr>
            <w:tcW w:type="dxa" w:w="2232"/>
            <w:vAlign w:val="center"/>
          </w:tcPr>
          <w:p>
            <w:r>
              <w:rPr>
                <w:sz w:val="17"/>
              </w:rPr>
              <w:t>symptoms</w:t>
            </w:r>
          </w:p>
        </w:tc>
        <w:tc>
          <w:tcPr>
            <w:tcW w:type="dxa" w:w="1656"/>
            <w:vAlign w:val="center"/>
          </w:tcPr>
          <w:p>
            <w:r>
              <w:rPr>
                <w:sz w:val="17"/>
              </w:rPr>
              <w:t>Categorical</w:t>
            </w:r>
          </w:p>
        </w:tc>
        <w:tc>
          <w:tcPr>
            <w:tcW w:type="dxa" w:w="6048"/>
            <w:vAlign w:val="center"/>
          </w:tcPr>
          <w:p>
            <w:r>
              <w:rPr>
                <w:sz w:val="17"/>
              </w:rPr>
              <w:t>Primary reported symptom</w:t>
            </w:r>
          </w:p>
        </w:tc>
      </w:tr>
      <w:tr>
        <w:tc>
          <w:tcPr>
            <w:tcW w:type="dxa" w:w="2232"/>
            <w:vAlign w:val="center"/>
          </w:tcPr>
          <w:p>
            <w:r>
              <w:rPr>
                <w:sz w:val="17"/>
              </w:rPr>
              <w:t>temperature</w:t>
            </w:r>
          </w:p>
        </w:tc>
        <w:tc>
          <w:tcPr>
            <w:tcW w:type="dxa" w:w="1656"/>
            <w:vAlign w:val="center"/>
          </w:tcPr>
          <w:p>
            <w:r>
              <w:rPr>
                <w:sz w:val="17"/>
              </w:rPr>
              <w:t>Numeric</w:t>
            </w:r>
          </w:p>
        </w:tc>
        <w:tc>
          <w:tcPr>
            <w:tcW w:type="dxa" w:w="6048"/>
            <w:vAlign w:val="center"/>
          </w:tcPr>
          <w:p>
            <w:r>
              <w:rPr>
                <w:sz w:val="17"/>
              </w:rPr>
              <w:t>Body temperature in degrees F</w:t>
            </w:r>
          </w:p>
        </w:tc>
      </w:tr>
      <w:tr>
        <w:tc>
          <w:tcPr>
            <w:tcW w:type="dxa" w:w="2232"/>
            <w:vAlign w:val="center"/>
          </w:tcPr>
          <w:p>
            <w:r>
              <w:rPr>
                <w:sz w:val="17"/>
              </w:rPr>
              <w:t>duration_days</w:t>
            </w:r>
          </w:p>
        </w:tc>
        <w:tc>
          <w:tcPr>
            <w:tcW w:type="dxa" w:w="1656"/>
            <w:vAlign w:val="center"/>
          </w:tcPr>
          <w:p>
            <w:r>
              <w:rPr>
                <w:sz w:val="17"/>
              </w:rPr>
              <w:t>Numeric</w:t>
            </w:r>
          </w:p>
        </w:tc>
        <w:tc>
          <w:tcPr>
            <w:tcW w:type="dxa" w:w="6048"/>
            <w:vAlign w:val="center"/>
          </w:tcPr>
          <w:p>
            <w:r>
              <w:rPr>
                <w:sz w:val="17"/>
              </w:rPr>
              <w:t>Reported symptom duration</w:t>
            </w:r>
          </w:p>
        </w:tc>
      </w:tr>
      <w:tr>
        <w:tc>
          <w:tcPr>
            <w:tcW w:type="dxa" w:w="2232"/>
            <w:vAlign w:val="center"/>
          </w:tcPr>
          <w:p>
            <w:r>
              <w:rPr>
                <w:sz w:val="17"/>
              </w:rPr>
              <w:t>bp_systolic</w:t>
            </w:r>
          </w:p>
        </w:tc>
        <w:tc>
          <w:tcPr>
            <w:tcW w:type="dxa" w:w="1656"/>
            <w:vAlign w:val="center"/>
          </w:tcPr>
          <w:p>
            <w:r>
              <w:rPr>
                <w:sz w:val="17"/>
              </w:rPr>
              <w:t>Numeric</w:t>
            </w:r>
          </w:p>
        </w:tc>
        <w:tc>
          <w:tcPr>
            <w:tcW w:type="dxa" w:w="6048"/>
            <w:vAlign w:val="center"/>
          </w:tcPr>
          <w:p>
            <w:r>
              <w:rPr>
                <w:sz w:val="17"/>
              </w:rPr>
              <w:t>Systolic BP value in the source dataset</w:t>
            </w:r>
          </w:p>
        </w:tc>
      </w:tr>
      <w:tr>
        <w:tc>
          <w:tcPr>
            <w:tcW w:type="dxa" w:w="2232"/>
            <w:vAlign w:val="center"/>
          </w:tcPr>
          <w:p>
            <w:r>
              <w:rPr>
                <w:sz w:val="17"/>
              </w:rPr>
              <w:t>bp_diastolic</w:t>
            </w:r>
          </w:p>
        </w:tc>
        <w:tc>
          <w:tcPr>
            <w:tcW w:type="dxa" w:w="1656"/>
            <w:vAlign w:val="center"/>
          </w:tcPr>
          <w:p>
            <w:r>
              <w:rPr>
                <w:sz w:val="17"/>
              </w:rPr>
              <w:t>Numeric</w:t>
            </w:r>
          </w:p>
        </w:tc>
        <w:tc>
          <w:tcPr>
            <w:tcW w:type="dxa" w:w="6048"/>
            <w:vAlign w:val="center"/>
          </w:tcPr>
          <w:p>
            <w:r>
              <w:rPr>
                <w:sz w:val="17"/>
              </w:rPr>
              <w:t>Diastolic BP value in the source dataset</w:t>
            </w:r>
          </w:p>
        </w:tc>
      </w:tr>
      <w:tr>
        <w:tc>
          <w:tcPr>
            <w:tcW w:type="dxa" w:w="2232"/>
            <w:vAlign w:val="center"/>
          </w:tcPr>
          <w:p>
            <w:r>
              <w:rPr>
                <w:sz w:val="17"/>
              </w:rPr>
              <w:t>heart_rate</w:t>
            </w:r>
          </w:p>
        </w:tc>
        <w:tc>
          <w:tcPr>
            <w:tcW w:type="dxa" w:w="1656"/>
            <w:vAlign w:val="center"/>
          </w:tcPr>
          <w:p>
            <w:r>
              <w:rPr>
                <w:sz w:val="17"/>
              </w:rPr>
              <w:t>Numeric</w:t>
            </w:r>
          </w:p>
        </w:tc>
        <w:tc>
          <w:tcPr>
            <w:tcW w:type="dxa" w:w="6048"/>
            <w:vAlign w:val="center"/>
          </w:tcPr>
          <w:p>
            <w:r>
              <w:rPr>
                <w:sz w:val="17"/>
              </w:rPr>
              <w:t>Heart rate</w:t>
            </w:r>
          </w:p>
        </w:tc>
      </w:tr>
      <w:tr>
        <w:tc>
          <w:tcPr>
            <w:tcW w:type="dxa" w:w="2232"/>
            <w:vAlign w:val="center"/>
          </w:tcPr>
          <w:p>
            <w:r>
              <w:rPr>
                <w:sz w:val="17"/>
              </w:rPr>
              <w:t>oxygen_saturation</w:t>
            </w:r>
          </w:p>
        </w:tc>
        <w:tc>
          <w:tcPr>
            <w:tcW w:type="dxa" w:w="1656"/>
            <w:vAlign w:val="center"/>
          </w:tcPr>
          <w:p>
            <w:r>
              <w:rPr>
                <w:sz w:val="17"/>
              </w:rPr>
              <w:t>Numeric</w:t>
            </w:r>
          </w:p>
        </w:tc>
        <w:tc>
          <w:tcPr>
            <w:tcW w:type="dxa" w:w="6048"/>
            <w:vAlign w:val="center"/>
          </w:tcPr>
          <w:p>
            <w:r>
              <w:rPr>
                <w:sz w:val="17"/>
              </w:rPr>
              <w:t>Oxygen saturation</w:t>
            </w:r>
          </w:p>
        </w:tc>
      </w:tr>
      <w:tr>
        <w:tc>
          <w:tcPr>
            <w:tcW w:type="dxa" w:w="2232"/>
            <w:vAlign w:val="center"/>
          </w:tcPr>
          <w:p>
            <w:r>
              <w:rPr>
                <w:sz w:val="17"/>
              </w:rPr>
              <w:t>pain_level</w:t>
            </w:r>
          </w:p>
        </w:tc>
        <w:tc>
          <w:tcPr>
            <w:tcW w:type="dxa" w:w="1656"/>
            <w:vAlign w:val="center"/>
          </w:tcPr>
          <w:p>
            <w:r>
              <w:rPr>
                <w:sz w:val="17"/>
              </w:rPr>
              <w:t>Numeric</w:t>
            </w:r>
          </w:p>
        </w:tc>
        <w:tc>
          <w:tcPr>
            <w:tcW w:type="dxa" w:w="6048"/>
            <w:vAlign w:val="center"/>
          </w:tcPr>
          <w:p>
            <w:r>
              <w:rPr>
                <w:sz w:val="17"/>
              </w:rPr>
              <w:t>Self-reported pain scale 0-10</w:t>
            </w:r>
          </w:p>
        </w:tc>
      </w:tr>
      <w:tr>
        <w:tc>
          <w:tcPr>
            <w:tcW w:type="dxa" w:w="2232"/>
            <w:vAlign w:val="center"/>
          </w:tcPr>
          <w:p>
            <w:r>
              <w:rPr>
                <w:sz w:val="17"/>
              </w:rPr>
              <w:t>symptom_severity</w:t>
            </w:r>
          </w:p>
        </w:tc>
        <w:tc>
          <w:tcPr>
            <w:tcW w:type="dxa" w:w="1656"/>
            <w:vAlign w:val="center"/>
          </w:tcPr>
          <w:p>
            <w:r>
              <w:rPr>
                <w:sz w:val="17"/>
              </w:rPr>
              <w:t>Categorical</w:t>
            </w:r>
          </w:p>
        </w:tc>
        <w:tc>
          <w:tcPr>
            <w:tcW w:type="dxa" w:w="6048"/>
            <w:vAlign w:val="center"/>
          </w:tcPr>
          <w:p>
            <w:r>
              <w:rPr>
                <w:sz w:val="17"/>
              </w:rPr>
              <w:t>Mild / Moderate / Severe</w:t>
            </w:r>
          </w:p>
        </w:tc>
      </w:tr>
      <w:tr>
        <w:tc>
          <w:tcPr>
            <w:tcW w:type="dxa" w:w="2232"/>
            <w:vAlign w:val="center"/>
          </w:tcPr>
          <w:p>
            <w:r>
              <w:rPr>
                <w:sz w:val="17"/>
              </w:rPr>
              <w:t>chronic_condition</w:t>
            </w:r>
          </w:p>
        </w:tc>
        <w:tc>
          <w:tcPr>
            <w:tcW w:type="dxa" w:w="1656"/>
            <w:vAlign w:val="center"/>
          </w:tcPr>
          <w:p>
            <w:r>
              <w:rPr>
                <w:sz w:val="17"/>
              </w:rPr>
              <w:t>Categorical</w:t>
            </w:r>
          </w:p>
        </w:tc>
        <w:tc>
          <w:tcPr>
            <w:tcW w:type="dxa" w:w="6048"/>
            <w:vAlign w:val="center"/>
          </w:tcPr>
          <w:p>
            <w:r>
              <w:rPr>
                <w:sz w:val="17"/>
              </w:rPr>
              <w:t>Yes / No</w:t>
            </w:r>
          </w:p>
        </w:tc>
      </w:tr>
      <w:tr>
        <w:tc>
          <w:tcPr>
            <w:tcW w:type="dxa" w:w="2232"/>
            <w:vAlign w:val="center"/>
          </w:tcPr>
          <w:p>
            <w:r>
              <w:rPr>
                <w:sz w:val="17"/>
              </w:rPr>
              <w:t>department</w:t>
            </w:r>
          </w:p>
        </w:tc>
        <w:tc>
          <w:tcPr>
            <w:tcW w:type="dxa" w:w="1656"/>
            <w:vAlign w:val="center"/>
          </w:tcPr>
          <w:p>
            <w:r>
              <w:rPr>
                <w:sz w:val="17"/>
              </w:rPr>
              <w:t>Categorical</w:t>
            </w:r>
          </w:p>
        </w:tc>
        <w:tc>
          <w:tcPr>
            <w:tcW w:type="dxa" w:w="6048"/>
            <w:vAlign w:val="center"/>
          </w:tcPr>
          <w:p>
            <w:r>
              <w:rPr>
                <w:sz w:val="17"/>
              </w:rPr>
              <w:t>One of 9 hospital departments</w:t>
            </w:r>
          </w:p>
        </w:tc>
      </w:tr>
    </w:tbl>
    <w:p>
      <w:pPr>
        <w:pStyle w:val="Heading1"/>
      </w:pPr>
      <w:r>
        <w:t>6. Data Quality Audit</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312"/>
            <w:vAlign w:val="center"/>
            <w:shd w:fill="D9EAF7"/>
          </w:tcPr>
          <w:p>
            <w:r>
              <w:rPr>
                <w:b/>
                <w:sz w:val="17"/>
              </w:rPr>
              <w:t>Quality metric</w:t>
            </w:r>
          </w:p>
        </w:tc>
        <w:tc>
          <w:tcPr>
            <w:tcW w:type="dxa" w:w="1872"/>
            <w:vAlign w:val="center"/>
            <w:shd w:fill="D9EAF7"/>
          </w:tcPr>
          <w:p>
            <w:r>
              <w:rPr>
                <w:b/>
                <w:sz w:val="17"/>
              </w:rPr>
              <w:t>Value</w:t>
            </w:r>
          </w:p>
        </w:tc>
        <w:tc>
          <w:tcPr>
            <w:tcW w:type="dxa" w:w="4752"/>
            <w:vAlign w:val="center"/>
            <w:shd w:fill="D9EAF7"/>
          </w:tcPr>
          <w:p>
            <w:r>
              <w:rPr>
                <w:b/>
                <w:sz w:val="17"/>
              </w:rPr>
              <w:t>Treatment / interpretation</w:t>
            </w:r>
          </w:p>
        </w:tc>
      </w:tr>
      <w:tr>
        <w:tc>
          <w:tcPr>
            <w:tcW w:type="dxa" w:w="3312"/>
            <w:vAlign w:val="center"/>
          </w:tcPr>
          <w:p>
            <w:r>
              <w:rPr>
                <w:sz w:val="17"/>
              </w:rPr>
              <w:t>Raw rows</w:t>
            </w:r>
          </w:p>
        </w:tc>
        <w:tc>
          <w:tcPr>
            <w:tcW w:type="dxa" w:w="1872"/>
            <w:vAlign w:val="center"/>
          </w:tcPr>
          <w:p>
            <w:r>
              <w:rPr>
                <w:sz w:val="17"/>
              </w:rPr>
              <w:t>150,500</w:t>
            </w:r>
          </w:p>
        </w:tc>
        <w:tc>
          <w:tcPr>
            <w:tcW w:type="dxa" w:w="4752"/>
            <w:vAlign w:val="center"/>
          </w:tcPr>
          <w:p>
            <w:r>
              <w:rPr>
                <w:sz w:val="17"/>
              </w:rPr>
              <w:t>150,500</w:t>
            </w:r>
          </w:p>
        </w:tc>
      </w:tr>
      <w:tr>
        <w:tc>
          <w:tcPr>
            <w:tcW w:type="dxa" w:w="3312"/>
            <w:vAlign w:val="center"/>
          </w:tcPr>
          <w:p>
            <w:r>
              <w:rPr>
                <w:sz w:val="17"/>
              </w:rPr>
              <w:t>Exact duplicates removed</w:t>
            </w:r>
          </w:p>
        </w:tc>
        <w:tc>
          <w:tcPr>
            <w:tcW w:type="dxa" w:w="1872"/>
            <w:vAlign w:val="center"/>
          </w:tcPr>
          <w:p>
            <w:r>
              <w:rPr>
                <w:sz w:val="17"/>
              </w:rPr>
              <w:t>500</w:t>
            </w:r>
          </w:p>
        </w:tc>
        <w:tc>
          <w:tcPr>
            <w:tcW w:type="dxa" w:w="4752"/>
            <w:vAlign w:val="center"/>
          </w:tcPr>
          <w:p>
            <w:r>
              <w:rPr>
                <w:sz w:val="17"/>
              </w:rPr>
              <w:t>500</w:t>
            </w:r>
          </w:p>
        </w:tc>
      </w:tr>
      <w:tr>
        <w:tc>
          <w:tcPr>
            <w:tcW w:type="dxa" w:w="3312"/>
            <w:vAlign w:val="center"/>
          </w:tcPr>
          <w:p>
            <w:r>
              <w:rPr>
                <w:sz w:val="17"/>
              </w:rPr>
              <w:t>Raw missing cells</w:t>
            </w:r>
          </w:p>
        </w:tc>
        <w:tc>
          <w:tcPr>
            <w:tcW w:type="dxa" w:w="1872"/>
            <w:vAlign w:val="center"/>
          </w:tcPr>
          <w:p>
            <w:r>
              <w:rPr>
                <w:sz w:val="17"/>
              </w:rPr>
              <w:t>16,402</w:t>
            </w:r>
          </w:p>
        </w:tc>
        <w:tc>
          <w:tcPr>
            <w:tcW w:type="dxa" w:w="4752"/>
            <w:vAlign w:val="center"/>
          </w:tcPr>
          <w:p>
            <w:r>
              <w:rPr>
                <w:sz w:val="17"/>
              </w:rPr>
              <w:t>0.778% of all cells</w:t>
            </w:r>
          </w:p>
        </w:tc>
      </w:tr>
      <w:tr>
        <w:tc>
          <w:tcPr>
            <w:tcW w:type="dxa" w:w="3312"/>
            <w:vAlign w:val="center"/>
          </w:tcPr>
          <w:p>
            <w:r>
              <w:rPr>
                <w:sz w:val="17"/>
              </w:rPr>
              <w:t>Oxygen &gt; 100</w:t>
            </w:r>
          </w:p>
        </w:tc>
        <w:tc>
          <w:tcPr>
            <w:tcW w:type="dxa" w:w="1872"/>
            <w:vAlign w:val="center"/>
          </w:tcPr>
          <w:p>
            <w:r>
              <w:rPr>
                <w:sz w:val="17"/>
              </w:rPr>
              <w:t>6,246</w:t>
            </w:r>
          </w:p>
        </w:tc>
        <w:tc>
          <w:tcPr>
            <w:tcW w:type="dxa" w:w="4752"/>
            <w:vAlign w:val="center"/>
          </w:tcPr>
          <w:p>
            <w:r>
              <w:rPr>
                <w:sz w:val="17"/>
              </w:rPr>
              <w:t>Capped at 100</w:t>
            </w:r>
          </w:p>
        </w:tc>
      </w:tr>
      <w:tr>
        <w:tc>
          <w:tcPr>
            <w:tcW w:type="dxa" w:w="3312"/>
            <w:vAlign w:val="center"/>
          </w:tcPr>
          <w:p>
            <w:r>
              <w:rPr>
                <w:sz w:val="17"/>
              </w:rPr>
              <w:t>Extreme systolic BP</w:t>
            </w:r>
          </w:p>
        </w:tc>
        <w:tc>
          <w:tcPr>
            <w:tcW w:type="dxa" w:w="1872"/>
            <w:vAlign w:val="center"/>
          </w:tcPr>
          <w:p>
            <w:r>
              <w:rPr>
                <w:sz w:val="17"/>
              </w:rPr>
              <w:t>158</w:t>
            </w:r>
          </w:p>
        </w:tc>
        <w:tc>
          <w:tcPr>
            <w:tcW w:type="dxa" w:w="4752"/>
            <w:vAlign w:val="center"/>
          </w:tcPr>
          <w:p>
            <w:r>
              <w:rPr>
                <w:sz w:val="17"/>
              </w:rPr>
              <w:t>Set to missing, then median-imputed</w:t>
            </w:r>
          </w:p>
        </w:tc>
      </w:tr>
      <w:tr>
        <w:tc>
          <w:tcPr>
            <w:tcW w:type="dxa" w:w="3312"/>
            <w:vAlign w:val="center"/>
          </w:tcPr>
          <w:p>
            <w:r>
              <w:rPr>
                <w:sz w:val="17"/>
              </w:rPr>
              <w:t>Final missing cells</w:t>
            </w:r>
          </w:p>
        </w:tc>
        <w:tc>
          <w:tcPr>
            <w:tcW w:type="dxa" w:w="1872"/>
            <w:vAlign w:val="center"/>
          </w:tcPr>
          <w:p>
            <w:r>
              <w:rPr>
                <w:sz w:val="17"/>
              </w:rPr>
              <w:t>0</w:t>
            </w:r>
          </w:p>
        </w:tc>
        <w:tc>
          <w:tcPr>
            <w:tcW w:type="dxa" w:w="4752"/>
            <w:vAlign w:val="center"/>
          </w:tcPr>
          <w:p>
            <w:r>
              <w:rPr>
                <w:sz w:val="17"/>
              </w:rPr>
              <w:t>0</w:t>
            </w:r>
          </w:p>
        </w:tc>
      </w:tr>
      <w:tr>
        <w:tc>
          <w:tcPr>
            <w:tcW w:type="dxa" w:w="3312"/>
            <w:vAlign w:val="center"/>
          </w:tcPr>
          <w:p>
            <w:r>
              <w:rPr>
                <w:sz w:val="17"/>
              </w:rPr>
              <w:t>Final unique patient IDs</w:t>
            </w:r>
          </w:p>
        </w:tc>
        <w:tc>
          <w:tcPr>
            <w:tcW w:type="dxa" w:w="1872"/>
            <w:vAlign w:val="center"/>
          </w:tcPr>
          <w:p>
            <w:r>
              <w:rPr>
                <w:sz w:val="17"/>
              </w:rPr>
              <w:t>150,000</w:t>
            </w:r>
          </w:p>
        </w:tc>
        <w:tc>
          <w:tcPr>
            <w:tcW w:type="dxa" w:w="4752"/>
            <w:vAlign w:val="center"/>
          </w:tcPr>
          <w:p>
            <w:r>
              <w:rPr>
                <w:sz w:val="17"/>
              </w:rPr>
              <w:t>150,000</w:t>
            </w:r>
          </w:p>
        </w:tc>
      </w:tr>
    </w:tbl>
    <w:p>
      <w:pPr>
        <w:jc w:val="center"/>
      </w:pPr>
      <w:r>
        <w:drawing>
          <wp:inline xmlns:a="http://schemas.openxmlformats.org/drawingml/2006/main" xmlns:pic="http://schemas.openxmlformats.org/drawingml/2006/picture">
            <wp:extent cx="5852160" cy="3205712"/>
            <wp:docPr id="2" name="Picture 2"/>
            <wp:cNvGraphicFramePr>
              <a:graphicFrameLocks noChangeAspect="1"/>
            </wp:cNvGraphicFramePr>
            <a:graphic>
              <a:graphicData uri="http://schemas.openxmlformats.org/drawingml/2006/picture">
                <pic:pic>
                  <pic:nvPicPr>
                    <pic:cNvPr id="0" name="10_data_quality_missingness.png"/>
                    <pic:cNvPicPr/>
                  </pic:nvPicPr>
                  <pic:blipFill>
                    <a:blip r:embed="rId11"/>
                    <a:stretch>
                      <a:fillRect/>
                    </a:stretch>
                  </pic:blipFill>
                  <pic:spPr>
                    <a:xfrm>
                      <a:off x="0" y="0"/>
                      <a:ext cx="5852160" cy="3205712"/>
                    </a:xfrm>
                    <a:prstGeom prst="rect"/>
                  </pic:spPr>
                </pic:pic>
              </a:graphicData>
            </a:graphic>
          </wp:inline>
        </w:drawing>
      </w:r>
    </w:p>
    <w:p>
      <w:pPr>
        <w:jc w:val="center"/>
      </w:pPr>
      <w:r>
        <w:rPr>
          <w:i/>
          <w:sz w:val="16"/>
        </w:rPr>
        <w:t>Figure 2. Raw missingness profile.</w:t>
      </w:r>
    </w:p>
    <w:p>
      <w:r>
        <w:t>The enhanced pipeline also stores row-level flags in the enriched output. This makes it possible to distinguish records that were clean from the start from records that required one or more corrections/imputations.</w:t>
      </w:r>
    </w:p>
    <w:p>
      <w:pPr>
        <w:pStyle w:val="Heading1"/>
      </w:pPr>
      <w:r>
        <w:t>7. Cleaning Methodology</w:t>
      </w:r>
    </w:p>
    <w:tbl>
      <w:tblPr>
        <w:tblStyle w:val="TableGrid"/>
        <w:tblW w:type="auto" w:w="0"/>
        <w:tblLook w:firstColumn="1" w:firstRow="1" w:lastColumn="0" w:lastRow="0" w:noHBand="0" w:noVBand="1" w:val="04A0"/>
      </w:tblPr>
      <w:tblGrid>
        <w:gridCol w:w="5112"/>
        <w:gridCol w:w="5112"/>
      </w:tblGrid>
      <w:tr>
        <w:trPr>
          <w:tblHeader w:val="true"/>
        </w:trPr>
        <w:tc>
          <w:tcPr>
            <w:tcW w:type="dxa" w:w="3168"/>
            <w:vAlign w:val="center"/>
            <w:shd w:fill="D9EAF7"/>
          </w:tcPr>
          <w:p>
            <w:r>
              <w:rPr>
                <w:b/>
                <w:sz w:val="17"/>
              </w:rPr>
              <w:t>Step</w:t>
            </w:r>
          </w:p>
        </w:tc>
        <w:tc>
          <w:tcPr>
            <w:tcW w:type="dxa" w:w="6768"/>
            <w:vAlign w:val="center"/>
            <w:shd w:fill="D9EAF7"/>
          </w:tcPr>
          <w:p>
            <w:r>
              <w:rPr>
                <w:b/>
                <w:sz w:val="17"/>
              </w:rPr>
              <w:t>Implementation</w:t>
            </w:r>
          </w:p>
        </w:tc>
      </w:tr>
      <w:tr>
        <w:tc>
          <w:tcPr>
            <w:tcW w:type="dxa" w:w="3168"/>
            <w:vAlign w:val="center"/>
          </w:tcPr>
          <w:p>
            <w:r>
              <w:rPr>
                <w:sz w:val="17"/>
              </w:rPr>
              <w:t>1. Preserve raw data</w:t>
            </w:r>
          </w:p>
        </w:tc>
        <w:tc>
          <w:tcPr>
            <w:tcW w:type="dxa" w:w="6768"/>
            <w:vAlign w:val="center"/>
          </w:tcPr>
          <w:p>
            <w:r>
              <w:rPr>
                <w:sz w:val="17"/>
              </w:rPr>
              <w:t>The original CSV remains untouched.</w:t>
            </w:r>
          </w:p>
        </w:tc>
      </w:tr>
      <w:tr>
        <w:tc>
          <w:tcPr>
            <w:tcW w:type="dxa" w:w="3168"/>
            <w:vAlign w:val="center"/>
          </w:tcPr>
          <w:p>
            <w:r>
              <w:rPr>
                <w:sz w:val="17"/>
              </w:rPr>
              <w:t>2. Remove exact duplicates</w:t>
            </w:r>
          </w:p>
        </w:tc>
        <w:tc>
          <w:tcPr>
            <w:tcW w:type="dxa" w:w="6768"/>
            <w:vAlign w:val="center"/>
          </w:tcPr>
          <w:p>
            <w:r>
              <w:rPr>
                <w:sz w:val="17"/>
              </w:rPr>
              <w:t>500 exact duplicate rows are removed.</w:t>
            </w:r>
          </w:p>
        </w:tc>
      </w:tr>
      <w:tr>
        <w:tc>
          <w:tcPr>
            <w:tcW w:type="dxa" w:w="3168"/>
            <w:vAlign w:val="center"/>
          </w:tcPr>
          <w:p>
            <w:r>
              <w:rPr>
                <w:sz w:val="17"/>
              </w:rPr>
              <w:t>3. Normalize categories</w:t>
            </w:r>
          </w:p>
        </w:tc>
        <w:tc>
          <w:tcPr>
            <w:tcW w:type="dxa" w:w="6768"/>
            <w:vAlign w:val="center"/>
          </w:tcPr>
          <w:p>
            <w:r>
              <w:rPr>
                <w:sz w:val="17"/>
              </w:rPr>
              <w:t>Variant casing and whitespace are mapped to canonical labels, including preserving ENT as an acronym.</w:t>
            </w:r>
          </w:p>
        </w:tc>
      </w:tr>
      <w:tr>
        <w:tc>
          <w:tcPr>
            <w:tcW w:type="dxa" w:w="3168"/>
            <w:vAlign w:val="center"/>
          </w:tcPr>
          <w:p>
            <w:r>
              <w:rPr>
                <w:sz w:val="17"/>
              </w:rPr>
              <w:t>4. Correct oxygen values</w:t>
            </w:r>
          </w:p>
        </w:tc>
        <w:tc>
          <w:tcPr>
            <w:tcW w:type="dxa" w:w="6768"/>
            <w:vAlign w:val="center"/>
          </w:tcPr>
          <w:p>
            <w:r>
              <w:rPr>
                <w:sz w:val="17"/>
              </w:rPr>
              <w:t>6,246 values above 100 are capped at 100.0.</w:t>
            </w:r>
          </w:p>
        </w:tc>
      </w:tr>
      <w:tr>
        <w:tc>
          <w:tcPr>
            <w:tcW w:type="dxa" w:w="3168"/>
            <w:vAlign w:val="center"/>
          </w:tcPr>
          <w:p>
            <w:r>
              <w:rPr>
                <w:sz w:val="17"/>
              </w:rPr>
              <w:t>5. Handle extreme systolic BP</w:t>
            </w:r>
          </w:p>
        </w:tc>
        <w:tc>
          <w:tcPr>
            <w:tcW w:type="dxa" w:w="6768"/>
            <w:vAlign w:val="center"/>
          </w:tcPr>
          <w:p>
            <w:r>
              <w:rPr>
                <w:sz w:val="17"/>
              </w:rPr>
              <w:t>158 values below 60 or above 200 are set to missing and then median-imputed.</w:t>
            </w:r>
          </w:p>
        </w:tc>
      </w:tr>
      <w:tr>
        <w:tc>
          <w:tcPr>
            <w:tcW w:type="dxa" w:w="3168"/>
            <w:vAlign w:val="center"/>
          </w:tcPr>
          <w:p>
            <w:r>
              <w:rPr>
                <w:sz w:val="17"/>
              </w:rPr>
              <w:t>6. Impute numeric missing values</w:t>
            </w:r>
          </w:p>
        </w:tc>
        <w:tc>
          <w:tcPr>
            <w:tcW w:type="dxa" w:w="6768"/>
            <w:vAlign w:val="center"/>
          </w:tcPr>
          <w:p>
            <w:r>
              <w:rPr>
                <w:sz w:val="17"/>
              </w:rPr>
              <w:t>Column medians are used.</w:t>
            </w:r>
          </w:p>
        </w:tc>
      </w:tr>
      <w:tr>
        <w:tc>
          <w:tcPr>
            <w:tcW w:type="dxa" w:w="3168"/>
            <w:vAlign w:val="center"/>
          </w:tcPr>
          <w:p>
            <w:r>
              <w:rPr>
                <w:sz w:val="17"/>
              </w:rPr>
              <w:t>7. Impute categorical missing values</w:t>
            </w:r>
          </w:p>
        </w:tc>
        <w:tc>
          <w:tcPr>
            <w:tcW w:type="dxa" w:w="6768"/>
            <w:vAlign w:val="center"/>
          </w:tcPr>
          <w:p>
            <w:r>
              <w:rPr>
                <w:sz w:val="17"/>
              </w:rPr>
              <w:t>Column modes are used.</w:t>
            </w:r>
          </w:p>
        </w:tc>
      </w:tr>
      <w:tr>
        <w:tc>
          <w:tcPr>
            <w:tcW w:type="dxa" w:w="3168"/>
            <w:vAlign w:val="center"/>
          </w:tcPr>
          <w:p>
            <w:r>
              <w:rPr>
                <w:sz w:val="17"/>
              </w:rPr>
              <w:t>8. Add audit flags</w:t>
            </w:r>
          </w:p>
        </w:tc>
        <w:tc>
          <w:tcPr>
            <w:tcW w:type="dxa" w:w="6768"/>
            <w:vAlign w:val="center"/>
          </w:tcPr>
          <w:p>
            <w:r>
              <w:rPr>
                <w:sz w:val="17"/>
              </w:rPr>
              <w:t>Row-level quality flags and status are stored in the enriched dataset.</w:t>
            </w:r>
          </w:p>
        </w:tc>
      </w:tr>
    </w:tbl>
    <w:p>
      <w:pPr>
        <w:pStyle w:val="Heading1"/>
      </w:pPr>
      <w:r>
        <w:t>8. Exploratory Data Analysis</w:t>
      </w:r>
    </w:p>
    <w:p>
      <w:r>
        <w:t>The cleaned dataset has an average age of 49.05 years and a median of 49.00 years. The largest age group is 61-80 with 47,402 records.</w:t>
      </w:r>
    </w:p>
    <w:p>
      <w:pPr>
        <w:jc w:val="center"/>
      </w:pPr>
      <w:r>
        <w:drawing>
          <wp:inline xmlns:a="http://schemas.openxmlformats.org/drawingml/2006/main" xmlns:pic="http://schemas.openxmlformats.org/drawingml/2006/picture">
            <wp:extent cx="5852160" cy="3205712"/>
            <wp:docPr id="3" name="Picture 3"/>
            <wp:cNvGraphicFramePr>
              <a:graphicFrameLocks noChangeAspect="1"/>
            </wp:cNvGraphicFramePr>
            <a:graphic>
              <a:graphicData uri="http://schemas.openxmlformats.org/drawingml/2006/picture">
                <pic:pic>
                  <pic:nvPicPr>
                    <pic:cNvPr id="0" name="01_age_distribution.png"/>
                    <pic:cNvPicPr/>
                  </pic:nvPicPr>
                  <pic:blipFill>
                    <a:blip r:embed="rId12"/>
                    <a:stretch>
                      <a:fillRect/>
                    </a:stretch>
                  </pic:blipFill>
                  <pic:spPr>
                    <a:xfrm>
                      <a:off x="0" y="0"/>
                      <a:ext cx="5852160" cy="3205712"/>
                    </a:xfrm>
                    <a:prstGeom prst="rect"/>
                  </pic:spPr>
                </pic:pic>
              </a:graphicData>
            </a:graphic>
          </wp:inline>
        </w:drawing>
      </w:r>
    </w:p>
    <w:p>
      <w:pPr>
        <w:jc w:val="center"/>
      </w:pPr>
      <w:r>
        <w:rPr>
          <w:i/>
          <w:sz w:val="16"/>
        </w:rPr>
        <w:t>Figure 3. Patient age distribution.</w:t>
      </w:r>
    </w:p>
    <w:p>
      <w:pPr>
        <w:jc w:val="center"/>
      </w:pPr>
      <w:r>
        <w:drawing>
          <wp:inline xmlns:a="http://schemas.openxmlformats.org/drawingml/2006/main" xmlns:pic="http://schemas.openxmlformats.org/drawingml/2006/picture">
            <wp:extent cx="5852160" cy="2884960"/>
            <wp:docPr id="4" name="Picture 4"/>
            <wp:cNvGraphicFramePr>
              <a:graphicFrameLocks noChangeAspect="1"/>
            </wp:cNvGraphicFramePr>
            <a:graphic>
              <a:graphicData uri="http://schemas.openxmlformats.org/drawingml/2006/picture">
                <pic:pic>
                  <pic:nvPicPr>
                    <pic:cNvPr id="0" name="02_department_workload.png"/>
                    <pic:cNvPicPr/>
                  </pic:nvPicPr>
                  <pic:blipFill>
                    <a:blip r:embed="rId13"/>
                    <a:stretch>
                      <a:fillRect/>
                    </a:stretch>
                  </pic:blipFill>
                  <pic:spPr>
                    <a:xfrm>
                      <a:off x="0" y="0"/>
                      <a:ext cx="5852160" cy="2884960"/>
                    </a:xfrm>
                    <a:prstGeom prst="rect"/>
                  </pic:spPr>
                </pic:pic>
              </a:graphicData>
            </a:graphic>
          </wp:inline>
        </w:drawing>
      </w:r>
    </w:p>
    <w:p>
      <w:pPr>
        <w:jc w:val="center"/>
      </w:pPr>
      <w:r>
        <w:rPr>
          <w:i/>
          <w:sz w:val="16"/>
        </w:rPr>
        <w:t>Figure 4. Department workload.</w:t>
      </w:r>
    </w:p>
    <w:p>
      <w:r>
        <w:t>Among departments, Dermatology has the highest volume at 24,447 records. Department volume is treated as an operational workload pattern, not a measure of clinical severity.</w:t>
      </w:r>
    </w:p>
    <w:p>
      <w:pPr>
        <w:jc w:val="center"/>
      </w:pPr>
      <w:r>
        <w:drawing>
          <wp:inline xmlns:a="http://schemas.openxmlformats.org/drawingml/2006/main" xmlns:pic="http://schemas.openxmlformats.org/drawingml/2006/picture">
            <wp:extent cx="5852160" cy="4140368"/>
            <wp:docPr id="5" name="Picture 5"/>
            <wp:cNvGraphicFramePr>
              <a:graphicFrameLocks noChangeAspect="1"/>
            </wp:cNvGraphicFramePr>
            <a:graphic>
              <a:graphicData uri="http://schemas.openxmlformats.org/drawingml/2006/picture">
                <pic:pic>
                  <pic:nvPicPr>
                    <pic:cNvPr id="0" name="03_severity_mix.png"/>
                    <pic:cNvPicPr/>
                  </pic:nvPicPr>
                  <pic:blipFill>
                    <a:blip r:embed="rId14"/>
                    <a:stretch>
                      <a:fillRect/>
                    </a:stretch>
                  </pic:blipFill>
                  <pic:spPr>
                    <a:xfrm>
                      <a:off x="0" y="0"/>
                      <a:ext cx="5852160" cy="4140368"/>
                    </a:xfrm>
                    <a:prstGeom prst="rect"/>
                  </pic:spPr>
                </pic:pic>
              </a:graphicData>
            </a:graphic>
          </wp:inline>
        </w:drawing>
      </w:r>
    </w:p>
    <w:p>
      <w:pPr>
        <w:jc w:val="center"/>
      </w:pPr>
      <w:r>
        <w:rPr>
          <w:i/>
          <w:sz w:val="16"/>
        </w:rPr>
        <w:t>Figure 5. Symptom severity mix.</w:t>
      </w:r>
    </w:p>
    <w:p>
      <w:pPr>
        <w:jc w:val="center"/>
      </w:pPr>
      <w:r>
        <w:drawing>
          <wp:inline xmlns:a="http://schemas.openxmlformats.org/drawingml/2006/main" xmlns:pic="http://schemas.openxmlformats.org/drawingml/2006/picture">
            <wp:extent cx="5852160" cy="3215030"/>
            <wp:docPr id="6" name="Picture 6"/>
            <wp:cNvGraphicFramePr>
              <a:graphicFrameLocks noChangeAspect="1"/>
            </wp:cNvGraphicFramePr>
            <a:graphic>
              <a:graphicData uri="http://schemas.openxmlformats.org/drawingml/2006/picture">
                <pic:pic>
                  <pic:nvPicPr>
                    <pic:cNvPr id="0" name="04_chronic_by_age.png"/>
                    <pic:cNvPicPr/>
                  </pic:nvPicPr>
                  <pic:blipFill>
                    <a:blip r:embed="rId15"/>
                    <a:stretch>
                      <a:fillRect/>
                    </a:stretch>
                  </pic:blipFill>
                  <pic:spPr>
                    <a:xfrm>
                      <a:off x="0" y="0"/>
                      <a:ext cx="5852160" cy="3215030"/>
                    </a:xfrm>
                    <a:prstGeom prst="rect"/>
                  </pic:spPr>
                </pic:pic>
              </a:graphicData>
            </a:graphic>
          </wp:inline>
        </w:drawing>
      </w:r>
    </w:p>
    <w:p>
      <w:pPr>
        <w:jc w:val="center"/>
      </w:pPr>
      <w:r>
        <w:rPr>
          <w:i/>
          <w:sz w:val="16"/>
        </w:rPr>
        <w:t>Figure 6. Chronic-condition mix by age group.</w:t>
      </w:r>
    </w:p>
    <w:p>
      <w:r>
        <w:t>The dataset contains 37.28% records labeled with a chronic condition. The 61-80 group is the largest and also contains the largest count of chronic-condition records.</w:t>
      </w:r>
    </w:p>
    <w:p>
      <w:pPr>
        <w:jc w:val="center"/>
      </w:pPr>
      <w:r>
        <w:drawing>
          <wp:inline xmlns:a="http://schemas.openxmlformats.org/drawingml/2006/main" xmlns:pic="http://schemas.openxmlformats.org/drawingml/2006/picture">
            <wp:extent cx="5852160" cy="2880103"/>
            <wp:docPr id="7" name="Picture 7"/>
            <wp:cNvGraphicFramePr>
              <a:graphicFrameLocks noChangeAspect="1"/>
            </wp:cNvGraphicFramePr>
            <a:graphic>
              <a:graphicData uri="http://schemas.openxmlformats.org/drawingml/2006/picture">
                <pic:pic>
                  <pic:nvPicPr>
                    <pic:cNvPr id="0" name="06_top_symptoms.png"/>
                    <pic:cNvPicPr/>
                  </pic:nvPicPr>
                  <pic:blipFill>
                    <a:blip r:embed="rId16"/>
                    <a:stretch>
                      <a:fillRect/>
                    </a:stretch>
                  </pic:blipFill>
                  <pic:spPr>
                    <a:xfrm>
                      <a:off x="0" y="0"/>
                      <a:ext cx="5852160" cy="2880103"/>
                    </a:xfrm>
                    <a:prstGeom prst="rect"/>
                  </pic:spPr>
                </pic:pic>
              </a:graphicData>
            </a:graphic>
          </wp:inline>
        </w:drawing>
      </w:r>
    </w:p>
    <w:p>
      <w:pPr>
        <w:jc w:val="center"/>
      </w:pPr>
      <w:r>
        <w:rPr>
          <w:i/>
          <w:sz w:val="16"/>
        </w:rPr>
        <w:t>Figure 7. Top reported symptoms.</w:t>
      </w:r>
    </w:p>
    <w:p>
      <w:pPr>
        <w:pStyle w:val="Heading1"/>
      </w:pPr>
      <w:r>
        <w:t>9. Ten Key Questions and Answers</w:t>
      </w:r>
    </w:p>
    <w:tbl>
      <w:tblPr>
        <w:tblStyle w:val="TableGrid"/>
        <w:tblW w:type="auto" w:w="0"/>
        <w:tblLook w:firstColumn="1" w:firstRow="1" w:lastColumn="0" w:lastRow="0" w:noHBand="0" w:noVBand="1" w:val="04A0"/>
      </w:tblPr>
      <w:tblGrid>
        <w:gridCol w:w="5112"/>
        <w:gridCol w:w="5112"/>
      </w:tblGrid>
      <w:tr>
        <w:trPr>
          <w:tblHeader w:val="true"/>
        </w:trPr>
        <w:tc>
          <w:tcPr>
            <w:tcW w:type="dxa" w:w="4608"/>
            <w:vAlign w:val="center"/>
            <w:shd w:fill="D9EAF7"/>
          </w:tcPr>
          <w:p>
            <w:r>
              <w:rPr>
                <w:b/>
                <w:sz w:val="17"/>
              </w:rPr>
              <w:t>Question</w:t>
            </w:r>
          </w:p>
        </w:tc>
        <w:tc>
          <w:tcPr>
            <w:tcW w:type="dxa" w:w="5328"/>
            <w:vAlign w:val="center"/>
            <w:shd w:fill="D9EAF7"/>
          </w:tcPr>
          <w:p>
            <w:r>
              <w:rPr>
                <w:b/>
                <w:sz w:val="17"/>
              </w:rPr>
              <w:t>Answer</w:t>
            </w:r>
          </w:p>
        </w:tc>
      </w:tr>
      <w:tr>
        <w:tc>
          <w:tcPr>
            <w:tcW w:type="dxa" w:w="4608"/>
            <w:vAlign w:val="center"/>
          </w:tcPr>
          <w:p>
            <w:r>
              <w:rPr>
                <w:sz w:val="17"/>
              </w:rPr>
              <w:t>Average patient age</w:t>
            </w:r>
          </w:p>
        </w:tc>
        <w:tc>
          <w:tcPr>
            <w:tcW w:type="dxa" w:w="5328"/>
            <w:vAlign w:val="center"/>
          </w:tcPr>
          <w:p>
            <w:r>
              <w:rPr>
                <w:sz w:val="17"/>
              </w:rPr>
              <w:t>49.05 years</w:t>
            </w:r>
          </w:p>
        </w:tc>
      </w:tr>
      <w:tr>
        <w:tc>
          <w:tcPr>
            <w:tcW w:type="dxa" w:w="4608"/>
            <w:vAlign w:val="center"/>
          </w:tcPr>
          <w:p>
            <w:r>
              <w:rPr>
                <w:sz w:val="17"/>
              </w:rPr>
              <w:t>Most common gender</w:t>
            </w:r>
          </w:p>
        </w:tc>
        <w:tc>
          <w:tcPr>
            <w:tcW w:type="dxa" w:w="5328"/>
            <w:vAlign w:val="center"/>
          </w:tcPr>
          <w:p>
            <w:r>
              <w:rPr>
                <w:sz w:val="17"/>
              </w:rPr>
              <w:t>Male (52.1% in the baseline report)</w:t>
            </w:r>
          </w:p>
        </w:tc>
      </w:tr>
      <w:tr>
        <w:tc>
          <w:tcPr>
            <w:tcW w:type="dxa" w:w="4608"/>
            <w:vAlign w:val="center"/>
          </w:tcPr>
          <w:p>
            <w:r>
              <w:rPr>
                <w:sz w:val="17"/>
              </w:rPr>
              <w:t>Most common symptom</w:t>
            </w:r>
          </w:p>
        </w:tc>
        <w:tc>
          <w:tcPr>
            <w:tcW w:type="dxa" w:w="5328"/>
            <w:vAlign w:val="center"/>
          </w:tcPr>
          <w:p>
            <w:r>
              <w:rPr>
                <w:sz w:val="17"/>
              </w:rPr>
              <w:t>Chest Pain (6,629)</w:t>
            </w:r>
          </w:p>
        </w:tc>
      </w:tr>
      <w:tr>
        <w:tc>
          <w:tcPr>
            <w:tcW w:type="dxa" w:w="4608"/>
            <w:vAlign w:val="center"/>
          </w:tcPr>
          <w:p>
            <w:r>
              <w:rPr>
                <w:sz w:val="17"/>
              </w:rPr>
              <w:t>Busiest department</w:t>
            </w:r>
          </w:p>
        </w:tc>
        <w:tc>
          <w:tcPr>
            <w:tcW w:type="dxa" w:w="5328"/>
            <w:vAlign w:val="center"/>
          </w:tcPr>
          <w:p>
            <w:r>
              <w:rPr>
                <w:sz w:val="17"/>
              </w:rPr>
              <w:t>Dermatology (24,447)</w:t>
            </w:r>
          </w:p>
        </w:tc>
      </w:tr>
      <w:tr>
        <w:tc>
          <w:tcPr>
            <w:tcW w:type="dxa" w:w="4608"/>
            <w:vAlign w:val="center"/>
          </w:tcPr>
          <w:p>
            <w:r>
              <w:rPr>
                <w:sz w:val="17"/>
              </w:rPr>
              <w:t>Most common severity</w:t>
            </w:r>
          </w:p>
        </w:tc>
        <w:tc>
          <w:tcPr>
            <w:tcW w:type="dxa" w:w="5328"/>
            <w:vAlign w:val="center"/>
          </w:tcPr>
          <w:p>
            <w:r>
              <w:rPr>
                <w:sz w:val="17"/>
              </w:rPr>
              <w:t>Mild (45.26%)</w:t>
            </w:r>
          </w:p>
        </w:tc>
      </w:tr>
      <w:tr>
        <w:tc>
          <w:tcPr>
            <w:tcW w:type="dxa" w:w="4608"/>
            <w:vAlign w:val="center"/>
          </w:tcPr>
          <w:p>
            <w:r>
              <w:rPr>
                <w:sz w:val="17"/>
              </w:rPr>
              <w:t>Average heart rate</w:t>
            </w:r>
          </w:p>
        </w:tc>
        <w:tc>
          <w:tcPr>
            <w:tcW w:type="dxa" w:w="5328"/>
            <w:vAlign w:val="center"/>
          </w:tcPr>
          <w:p>
            <w:r>
              <w:rPr>
                <w:sz w:val="17"/>
              </w:rPr>
              <w:t>77.48 bpm</w:t>
            </w:r>
          </w:p>
        </w:tc>
      </w:tr>
      <w:tr>
        <w:tc>
          <w:tcPr>
            <w:tcW w:type="dxa" w:w="4608"/>
            <w:vAlign w:val="center"/>
          </w:tcPr>
          <w:p>
            <w:r>
              <w:rPr>
                <w:sz w:val="17"/>
              </w:rPr>
              <w:t>Highest average heart rate department</w:t>
            </w:r>
          </w:p>
        </w:tc>
        <w:tc>
          <w:tcPr>
            <w:tcW w:type="dxa" w:w="5328"/>
            <w:vAlign w:val="center"/>
          </w:tcPr>
          <w:p>
            <w:r>
              <w:rPr>
                <w:sz w:val="17"/>
              </w:rPr>
              <w:t>Cardiology (87.59 bpm)</w:t>
            </w:r>
          </w:p>
        </w:tc>
      </w:tr>
      <w:tr>
        <w:tc>
          <w:tcPr>
            <w:tcW w:type="dxa" w:w="4608"/>
            <w:vAlign w:val="center"/>
          </w:tcPr>
          <w:p>
            <w:r>
              <w:rPr>
                <w:sz w:val="17"/>
              </w:rPr>
              <w:t>Chronic-condition prevalence</w:t>
            </w:r>
          </w:p>
        </w:tc>
        <w:tc>
          <w:tcPr>
            <w:tcW w:type="dxa" w:w="5328"/>
            <w:vAlign w:val="center"/>
          </w:tcPr>
          <w:p>
            <w:r>
              <w:rPr>
                <w:sz w:val="17"/>
              </w:rPr>
              <w:t>37.28%</w:t>
            </w:r>
          </w:p>
        </w:tc>
      </w:tr>
      <w:tr>
        <w:tc>
          <w:tcPr>
            <w:tcW w:type="dxa" w:w="4608"/>
            <w:vAlign w:val="center"/>
          </w:tcPr>
          <w:p>
            <w:r>
              <w:rPr>
                <w:sz w:val="17"/>
              </w:rPr>
              <w:t>Largest age group</w:t>
            </w:r>
          </w:p>
        </w:tc>
        <w:tc>
          <w:tcPr>
            <w:tcW w:type="dxa" w:w="5328"/>
            <w:vAlign w:val="center"/>
          </w:tcPr>
          <w:p>
            <w:r>
              <w:rPr>
                <w:sz w:val="17"/>
              </w:rPr>
              <w:t>61-80 (47,402)</w:t>
            </w:r>
          </w:p>
        </w:tc>
      </w:tr>
      <w:tr>
        <w:tc>
          <w:tcPr>
            <w:tcW w:type="dxa" w:w="4608"/>
            <w:vAlign w:val="center"/>
          </w:tcPr>
          <w:p>
            <w:r>
              <w:rPr>
                <w:sz w:val="17"/>
              </w:rPr>
              <w:t>Highest average pain department</w:t>
            </w:r>
          </w:p>
        </w:tc>
        <w:tc>
          <w:tcPr>
            <w:tcW w:type="dxa" w:w="5328"/>
            <w:vAlign w:val="center"/>
          </w:tcPr>
          <w:p>
            <w:r>
              <w:rPr>
                <w:sz w:val="17"/>
              </w:rPr>
              <w:t>Orthopedics (6.90/10)</w:t>
            </w:r>
          </w:p>
        </w:tc>
      </w:tr>
    </w:tbl>
    <w:p>
      <w:pPr>
        <w:pStyle w:val="Heading1"/>
      </w:pPr>
      <w:r>
        <w:t>10. Department Operations Intelligence</w:t>
      </w:r>
    </w:p>
    <w:p>
      <w:r>
        <w:t>The enhanced project introduces an Operations Load Index. It is a custom analytical score designed to summarize operational dimensions in one transparent view. It combines four components: patient volume share (40%), severe-case share (25%), chronic-condition share (15%) and average symptom duration (20%). Each component is min-max normalized across departments before the weighted sum. The score is not a medical severity or risk score.</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304"/>
            <w:vAlign w:val="center"/>
            <w:shd w:fill="D9EAF7"/>
          </w:tcPr>
          <w:p>
            <w:r>
              <w:rPr>
                <w:b/>
                <w:sz w:val="15"/>
              </w:rPr>
              <w:t>Department</w:t>
            </w:r>
          </w:p>
        </w:tc>
        <w:tc>
          <w:tcPr>
            <w:tcW w:type="dxa" w:w="1440"/>
            <w:vAlign w:val="center"/>
            <w:shd w:fill="D9EAF7"/>
          </w:tcPr>
          <w:p>
            <w:r>
              <w:rPr>
                <w:b/>
                <w:sz w:val="15"/>
              </w:rPr>
              <w:t>Patients</w:t>
            </w:r>
          </w:p>
        </w:tc>
        <w:tc>
          <w:tcPr>
            <w:tcW w:type="dxa" w:w="1440"/>
            <w:vAlign w:val="center"/>
            <w:shd w:fill="D9EAF7"/>
          </w:tcPr>
          <w:p>
            <w:r>
              <w:rPr>
                <w:b/>
                <w:sz w:val="15"/>
              </w:rPr>
              <w:t>Volume %</w:t>
            </w:r>
          </w:p>
        </w:tc>
        <w:tc>
          <w:tcPr>
            <w:tcW w:type="dxa" w:w="1440"/>
            <w:vAlign w:val="center"/>
            <w:shd w:fill="D9EAF7"/>
          </w:tcPr>
          <w:p>
            <w:r>
              <w:rPr>
                <w:b/>
                <w:sz w:val="15"/>
              </w:rPr>
              <w:t>Severe %</w:t>
            </w:r>
          </w:p>
        </w:tc>
        <w:tc>
          <w:tcPr>
            <w:tcW w:type="dxa" w:w="1440"/>
            <w:vAlign w:val="center"/>
            <w:shd w:fill="D9EAF7"/>
          </w:tcPr>
          <w:p>
            <w:r>
              <w:rPr>
                <w:b/>
                <w:sz w:val="15"/>
              </w:rPr>
              <w:t>Chronic %</w:t>
            </w:r>
          </w:p>
        </w:tc>
        <w:tc>
          <w:tcPr>
            <w:tcW w:type="dxa" w:w="1440"/>
            <w:vAlign w:val="center"/>
            <w:shd w:fill="D9EAF7"/>
          </w:tcPr>
          <w:p>
            <w:r>
              <w:rPr>
                <w:b/>
                <w:sz w:val="15"/>
              </w:rPr>
              <w:t>Avg duration</w:t>
            </w:r>
          </w:p>
        </w:tc>
        <w:tc>
          <w:tcPr>
            <w:tcW w:type="dxa" w:w="1440"/>
            <w:vAlign w:val="center"/>
            <w:shd w:fill="D9EAF7"/>
          </w:tcPr>
          <w:p>
            <w:r>
              <w:rPr>
                <w:b/>
                <w:sz w:val="15"/>
              </w:rPr>
              <w:t>Ops load</w:t>
            </w:r>
          </w:p>
        </w:tc>
      </w:tr>
      <w:tr>
        <w:tc>
          <w:tcPr>
            <w:tcW w:type="dxa" w:w="2304"/>
            <w:vAlign w:val="center"/>
          </w:tcPr>
          <w:p>
            <w:r>
              <w:rPr>
                <w:sz w:val="15"/>
              </w:rPr>
              <w:t>Dermatology</w:t>
            </w:r>
          </w:p>
        </w:tc>
        <w:tc>
          <w:tcPr>
            <w:tcW w:type="dxa" w:w="1440"/>
            <w:vAlign w:val="center"/>
          </w:tcPr>
          <w:p>
            <w:r>
              <w:rPr>
                <w:sz w:val="15"/>
              </w:rPr>
              <w:t>24,447</w:t>
            </w:r>
          </w:p>
        </w:tc>
        <w:tc>
          <w:tcPr>
            <w:tcW w:type="dxa" w:w="1440"/>
            <w:vAlign w:val="center"/>
          </w:tcPr>
          <w:p>
            <w:r>
              <w:rPr>
                <w:sz w:val="15"/>
              </w:rPr>
              <w:t>16.30%</w:t>
            </w:r>
          </w:p>
        </w:tc>
        <w:tc>
          <w:tcPr>
            <w:tcW w:type="dxa" w:w="1440"/>
            <w:vAlign w:val="center"/>
          </w:tcPr>
          <w:p>
            <w:r>
              <w:rPr>
                <w:sz w:val="15"/>
              </w:rPr>
              <w:t>14.82%</w:t>
            </w:r>
          </w:p>
        </w:tc>
        <w:tc>
          <w:tcPr>
            <w:tcW w:type="dxa" w:w="1440"/>
            <w:vAlign w:val="center"/>
          </w:tcPr>
          <w:p>
            <w:r>
              <w:rPr>
                <w:sz w:val="15"/>
              </w:rPr>
              <w:t>37.35%</w:t>
            </w:r>
          </w:p>
        </w:tc>
        <w:tc>
          <w:tcPr>
            <w:tcW w:type="dxa" w:w="1440"/>
            <w:vAlign w:val="center"/>
          </w:tcPr>
          <w:p>
            <w:r>
              <w:rPr>
                <w:sz w:val="15"/>
              </w:rPr>
              <w:t>15.61</w:t>
            </w:r>
          </w:p>
        </w:tc>
        <w:tc>
          <w:tcPr>
            <w:tcW w:type="dxa" w:w="1440"/>
            <w:vAlign w:val="center"/>
          </w:tcPr>
          <w:p>
            <w:r>
              <w:rPr>
                <w:sz w:val="15"/>
              </w:rPr>
              <w:t>70.04</w:t>
            </w:r>
          </w:p>
        </w:tc>
      </w:tr>
      <w:tr>
        <w:tc>
          <w:tcPr>
            <w:tcW w:type="dxa" w:w="2304"/>
            <w:vAlign w:val="center"/>
          </w:tcPr>
          <w:p>
            <w:r>
              <w:rPr>
                <w:sz w:val="15"/>
              </w:rPr>
              <w:t>General Medicine</w:t>
            </w:r>
          </w:p>
        </w:tc>
        <w:tc>
          <w:tcPr>
            <w:tcW w:type="dxa" w:w="1440"/>
            <w:vAlign w:val="center"/>
          </w:tcPr>
          <w:p>
            <w:r>
              <w:rPr>
                <w:sz w:val="15"/>
              </w:rPr>
              <w:t>18,031</w:t>
            </w:r>
          </w:p>
        </w:tc>
        <w:tc>
          <w:tcPr>
            <w:tcW w:type="dxa" w:w="1440"/>
            <w:vAlign w:val="center"/>
          </w:tcPr>
          <w:p>
            <w:r>
              <w:rPr>
                <w:sz w:val="15"/>
              </w:rPr>
              <w:t>12.02%</w:t>
            </w:r>
          </w:p>
        </w:tc>
        <w:tc>
          <w:tcPr>
            <w:tcW w:type="dxa" w:w="1440"/>
            <w:vAlign w:val="center"/>
          </w:tcPr>
          <w:p>
            <w:r>
              <w:rPr>
                <w:sz w:val="15"/>
              </w:rPr>
              <w:t>15.10%</w:t>
            </w:r>
          </w:p>
        </w:tc>
        <w:tc>
          <w:tcPr>
            <w:tcW w:type="dxa" w:w="1440"/>
            <w:vAlign w:val="center"/>
          </w:tcPr>
          <w:p>
            <w:r>
              <w:rPr>
                <w:sz w:val="15"/>
              </w:rPr>
              <w:t>37.76%</w:t>
            </w:r>
          </w:p>
        </w:tc>
        <w:tc>
          <w:tcPr>
            <w:tcW w:type="dxa" w:w="1440"/>
            <w:vAlign w:val="center"/>
          </w:tcPr>
          <w:p>
            <w:r>
              <w:rPr>
                <w:sz w:val="15"/>
              </w:rPr>
              <w:t>15.36</w:t>
            </w:r>
          </w:p>
        </w:tc>
        <w:tc>
          <w:tcPr>
            <w:tcW w:type="dxa" w:w="1440"/>
            <w:vAlign w:val="center"/>
          </w:tcPr>
          <w:p>
            <w:r>
              <w:rPr>
                <w:sz w:val="15"/>
              </w:rPr>
              <w:t>46.52</w:t>
            </w:r>
          </w:p>
        </w:tc>
      </w:tr>
      <w:tr>
        <w:tc>
          <w:tcPr>
            <w:tcW w:type="dxa" w:w="2304"/>
            <w:vAlign w:val="center"/>
          </w:tcPr>
          <w:p>
            <w:r>
              <w:rPr>
                <w:sz w:val="15"/>
              </w:rPr>
              <w:t>Orthopedics</w:t>
            </w:r>
          </w:p>
        </w:tc>
        <w:tc>
          <w:tcPr>
            <w:tcW w:type="dxa" w:w="1440"/>
            <w:vAlign w:val="center"/>
          </w:tcPr>
          <w:p>
            <w:r>
              <w:rPr>
                <w:sz w:val="15"/>
              </w:rPr>
              <w:t>17,813</w:t>
            </w:r>
          </w:p>
        </w:tc>
        <w:tc>
          <w:tcPr>
            <w:tcW w:type="dxa" w:w="1440"/>
            <w:vAlign w:val="center"/>
          </w:tcPr>
          <w:p>
            <w:r>
              <w:rPr>
                <w:sz w:val="15"/>
              </w:rPr>
              <w:t>11.88%</w:t>
            </w:r>
          </w:p>
        </w:tc>
        <w:tc>
          <w:tcPr>
            <w:tcW w:type="dxa" w:w="1440"/>
            <w:vAlign w:val="center"/>
          </w:tcPr>
          <w:p>
            <w:r>
              <w:rPr>
                <w:sz w:val="15"/>
              </w:rPr>
              <w:t>15.03%</w:t>
            </w:r>
          </w:p>
        </w:tc>
        <w:tc>
          <w:tcPr>
            <w:tcW w:type="dxa" w:w="1440"/>
            <w:vAlign w:val="center"/>
          </w:tcPr>
          <w:p>
            <w:r>
              <w:rPr>
                <w:sz w:val="15"/>
              </w:rPr>
              <w:t>37.52%</w:t>
            </w:r>
          </w:p>
        </w:tc>
        <w:tc>
          <w:tcPr>
            <w:tcW w:type="dxa" w:w="1440"/>
            <w:vAlign w:val="center"/>
          </w:tcPr>
          <w:p>
            <w:r>
              <w:rPr>
                <w:sz w:val="15"/>
              </w:rPr>
              <w:t>15.53</w:t>
            </w:r>
          </w:p>
        </w:tc>
        <w:tc>
          <w:tcPr>
            <w:tcW w:type="dxa" w:w="1440"/>
            <w:vAlign w:val="center"/>
          </w:tcPr>
          <w:p>
            <w:r>
              <w:rPr>
                <w:sz w:val="15"/>
              </w:rPr>
              <w:t>52.78</w:t>
            </w:r>
          </w:p>
        </w:tc>
      </w:tr>
      <w:tr>
        <w:tc>
          <w:tcPr>
            <w:tcW w:type="dxa" w:w="2304"/>
            <w:vAlign w:val="center"/>
          </w:tcPr>
          <w:p>
            <w:r>
              <w:rPr>
                <w:sz w:val="15"/>
              </w:rPr>
              <w:t>Neurology</w:t>
            </w:r>
          </w:p>
        </w:tc>
        <w:tc>
          <w:tcPr>
            <w:tcW w:type="dxa" w:w="1440"/>
            <w:vAlign w:val="center"/>
          </w:tcPr>
          <w:p>
            <w:r>
              <w:rPr>
                <w:sz w:val="15"/>
              </w:rPr>
              <w:t>17,744</w:t>
            </w:r>
          </w:p>
        </w:tc>
        <w:tc>
          <w:tcPr>
            <w:tcW w:type="dxa" w:w="1440"/>
            <w:vAlign w:val="center"/>
          </w:tcPr>
          <w:p>
            <w:r>
              <w:rPr>
                <w:sz w:val="15"/>
              </w:rPr>
              <w:t>11.83%</w:t>
            </w:r>
          </w:p>
        </w:tc>
        <w:tc>
          <w:tcPr>
            <w:tcW w:type="dxa" w:w="1440"/>
            <w:vAlign w:val="center"/>
          </w:tcPr>
          <w:p>
            <w:r>
              <w:rPr>
                <w:sz w:val="15"/>
              </w:rPr>
              <w:t>15.00%</w:t>
            </w:r>
          </w:p>
        </w:tc>
        <w:tc>
          <w:tcPr>
            <w:tcW w:type="dxa" w:w="1440"/>
            <w:vAlign w:val="center"/>
          </w:tcPr>
          <w:p>
            <w:r>
              <w:rPr>
                <w:sz w:val="15"/>
              </w:rPr>
              <w:t>37.46%</w:t>
            </w:r>
          </w:p>
        </w:tc>
        <w:tc>
          <w:tcPr>
            <w:tcW w:type="dxa" w:w="1440"/>
            <w:vAlign w:val="center"/>
          </w:tcPr>
          <w:p>
            <w:r>
              <w:rPr>
                <w:sz w:val="15"/>
              </w:rPr>
              <w:t>15.57</w:t>
            </w:r>
          </w:p>
        </w:tc>
        <w:tc>
          <w:tcPr>
            <w:tcW w:type="dxa" w:w="1440"/>
            <w:vAlign w:val="center"/>
          </w:tcPr>
          <w:p>
            <w:r>
              <w:rPr>
                <w:sz w:val="15"/>
              </w:rPr>
              <w:t>54.59</w:t>
            </w:r>
          </w:p>
        </w:tc>
      </w:tr>
      <w:tr>
        <w:tc>
          <w:tcPr>
            <w:tcW w:type="dxa" w:w="2304"/>
            <w:vAlign w:val="center"/>
          </w:tcPr>
          <w:p>
            <w:r>
              <w:rPr>
                <w:sz w:val="15"/>
              </w:rPr>
              <w:t>ENT</w:t>
            </w:r>
          </w:p>
        </w:tc>
        <w:tc>
          <w:tcPr>
            <w:tcW w:type="dxa" w:w="1440"/>
            <w:vAlign w:val="center"/>
          </w:tcPr>
          <w:p>
            <w:r>
              <w:rPr>
                <w:sz w:val="15"/>
              </w:rPr>
              <w:t>17,644</w:t>
            </w:r>
          </w:p>
        </w:tc>
        <w:tc>
          <w:tcPr>
            <w:tcW w:type="dxa" w:w="1440"/>
            <w:vAlign w:val="center"/>
          </w:tcPr>
          <w:p>
            <w:r>
              <w:rPr>
                <w:sz w:val="15"/>
              </w:rPr>
              <w:t>11.76%</w:t>
            </w:r>
          </w:p>
        </w:tc>
        <w:tc>
          <w:tcPr>
            <w:tcW w:type="dxa" w:w="1440"/>
            <w:vAlign w:val="center"/>
          </w:tcPr>
          <w:p>
            <w:r>
              <w:rPr>
                <w:sz w:val="15"/>
              </w:rPr>
              <w:t>15.40%</w:t>
            </w:r>
          </w:p>
        </w:tc>
        <w:tc>
          <w:tcPr>
            <w:tcW w:type="dxa" w:w="1440"/>
            <w:vAlign w:val="center"/>
          </w:tcPr>
          <w:p>
            <w:r>
              <w:rPr>
                <w:sz w:val="15"/>
              </w:rPr>
              <w:t>36.69%</w:t>
            </w:r>
          </w:p>
        </w:tc>
        <w:tc>
          <w:tcPr>
            <w:tcW w:type="dxa" w:w="1440"/>
            <w:vAlign w:val="center"/>
          </w:tcPr>
          <w:p>
            <w:r>
              <w:rPr>
                <w:sz w:val="15"/>
              </w:rPr>
              <w:t>15.53</w:t>
            </w:r>
          </w:p>
        </w:tc>
        <w:tc>
          <w:tcPr>
            <w:tcW w:type="dxa" w:w="1440"/>
            <w:vAlign w:val="center"/>
          </w:tcPr>
          <w:p>
            <w:r>
              <w:rPr>
                <w:sz w:val="15"/>
              </w:rPr>
              <w:t>56.63</w:t>
            </w:r>
          </w:p>
        </w:tc>
      </w:tr>
      <w:tr>
        <w:tc>
          <w:tcPr>
            <w:tcW w:type="dxa" w:w="2304"/>
            <w:vAlign w:val="center"/>
          </w:tcPr>
          <w:p>
            <w:r>
              <w:rPr>
                <w:sz w:val="15"/>
              </w:rPr>
              <w:t>Gastroenterology</w:t>
            </w:r>
          </w:p>
        </w:tc>
        <w:tc>
          <w:tcPr>
            <w:tcW w:type="dxa" w:w="1440"/>
            <w:vAlign w:val="center"/>
          </w:tcPr>
          <w:p>
            <w:r>
              <w:rPr>
                <w:sz w:val="15"/>
              </w:rPr>
              <w:t>17,605</w:t>
            </w:r>
          </w:p>
        </w:tc>
        <w:tc>
          <w:tcPr>
            <w:tcW w:type="dxa" w:w="1440"/>
            <w:vAlign w:val="center"/>
          </w:tcPr>
          <w:p>
            <w:r>
              <w:rPr>
                <w:sz w:val="15"/>
              </w:rPr>
              <w:t>11.74%</w:t>
            </w:r>
          </w:p>
        </w:tc>
        <w:tc>
          <w:tcPr>
            <w:tcW w:type="dxa" w:w="1440"/>
            <w:vAlign w:val="center"/>
          </w:tcPr>
          <w:p>
            <w:r>
              <w:rPr>
                <w:sz w:val="15"/>
              </w:rPr>
              <w:t>14.80%</w:t>
            </w:r>
          </w:p>
        </w:tc>
        <w:tc>
          <w:tcPr>
            <w:tcW w:type="dxa" w:w="1440"/>
            <w:vAlign w:val="center"/>
          </w:tcPr>
          <w:p>
            <w:r>
              <w:rPr>
                <w:sz w:val="15"/>
              </w:rPr>
              <w:t>37.32%</w:t>
            </w:r>
          </w:p>
        </w:tc>
        <w:tc>
          <w:tcPr>
            <w:tcW w:type="dxa" w:w="1440"/>
            <w:vAlign w:val="center"/>
          </w:tcPr>
          <w:p>
            <w:r>
              <w:rPr>
                <w:sz w:val="15"/>
              </w:rPr>
              <w:t>15.53</w:t>
            </w:r>
          </w:p>
        </w:tc>
        <w:tc>
          <w:tcPr>
            <w:tcW w:type="dxa" w:w="1440"/>
            <w:vAlign w:val="center"/>
          </w:tcPr>
          <w:p>
            <w:r>
              <w:rPr>
                <w:sz w:val="15"/>
              </w:rPr>
              <w:t>39.78</w:t>
            </w:r>
          </w:p>
        </w:tc>
      </w:tr>
      <w:tr>
        <w:tc>
          <w:tcPr>
            <w:tcW w:type="dxa" w:w="2304"/>
            <w:vAlign w:val="center"/>
          </w:tcPr>
          <w:p>
            <w:r>
              <w:rPr>
                <w:sz w:val="15"/>
              </w:rPr>
              <w:t>Cardiology</w:t>
            </w:r>
          </w:p>
        </w:tc>
        <w:tc>
          <w:tcPr>
            <w:tcW w:type="dxa" w:w="1440"/>
            <w:vAlign w:val="center"/>
          </w:tcPr>
          <w:p>
            <w:r>
              <w:rPr>
                <w:sz w:val="15"/>
              </w:rPr>
              <w:t>12,328</w:t>
            </w:r>
          </w:p>
        </w:tc>
        <w:tc>
          <w:tcPr>
            <w:tcW w:type="dxa" w:w="1440"/>
            <w:vAlign w:val="center"/>
          </w:tcPr>
          <w:p>
            <w:r>
              <w:rPr>
                <w:sz w:val="15"/>
              </w:rPr>
              <w:t>8.22%</w:t>
            </w:r>
          </w:p>
        </w:tc>
        <w:tc>
          <w:tcPr>
            <w:tcW w:type="dxa" w:w="1440"/>
            <w:vAlign w:val="center"/>
          </w:tcPr>
          <w:p>
            <w:r>
              <w:rPr>
                <w:sz w:val="15"/>
              </w:rPr>
              <w:t>14.84%</w:t>
            </w:r>
          </w:p>
        </w:tc>
        <w:tc>
          <w:tcPr>
            <w:tcW w:type="dxa" w:w="1440"/>
            <w:vAlign w:val="center"/>
          </w:tcPr>
          <w:p>
            <w:r>
              <w:rPr>
                <w:sz w:val="15"/>
              </w:rPr>
              <w:t>36.92%</w:t>
            </w:r>
          </w:p>
        </w:tc>
        <w:tc>
          <w:tcPr>
            <w:tcW w:type="dxa" w:w="1440"/>
            <w:vAlign w:val="center"/>
          </w:tcPr>
          <w:p>
            <w:r>
              <w:rPr>
                <w:sz w:val="15"/>
              </w:rPr>
              <w:t>15.59</w:t>
            </w:r>
          </w:p>
        </w:tc>
        <w:tc>
          <w:tcPr>
            <w:tcW w:type="dxa" w:w="1440"/>
            <w:vAlign w:val="center"/>
          </w:tcPr>
          <w:p>
            <w:r>
              <w:rPr>
                <w:sz w:val="15"/>
              </w:rPr>
              <w:t>24.38</w:t>
            </w:r>
          </w:p>
        </w:tc>
      </w:tr>
      <w:tr>
        <w:tc>
          <w:tcPr>
            <w:tcW w:type="dxa" w:w="2304"/>
            <w:vAlign w:val="center"/>
          </w:tcPr>
          <w:p>
            <w:r>
              <w:rPr>
                <w:sz w:val="15"/>
              </w:rPr>
              <w:t>Ophthalmology</w:t>
            </w:r>
          </w:p>
        </w:tc>
        <w:tc>
          <w:tcPr>
            <w:tcW w:type="dxa" w:w="1440"/>
            <w:vAlign w:val="center"/>
          </w:tcPr>
          <w:p>
            <w:r>
              <w:rPr>
                <w:sz w:val="15"/>
              </w:rPr>
              <w:t>12,222</w:t>
            </w:r>
          </w:p>
        </w:tc>
        <w:tc>
          <w:tcPr>
            <w:tcW w:type="dxa" w:w="1440"/>
            <w:vAlign w:val="center"/>
          </w:tcPr>
          <w:p>
            <w:r>
              <w:rPr>
                <w:sz w:val="15"/>
              </w:rPr>
              <w:t>8.15%</w:t>
            </w:r>
          </w:p>
        </w:tc>
        <w:tc>
          <w:tcPr>
            <w:tcW w:type="dxa" w:w="1440"/>
            <w:vAlign w:val="center"/>
          </w:tcPr>
          <w:p>
            <w:r>
              <w:rPr>
                <w:sz w:val="15"/>
              </w:rPr>
              <w:t>15.27%</w:t>
            </w:r>
          </w:p>
        </w:tc>
        <w:tc>
          <w:tcPr>
            <w:tcW w:type="dxa" w:w="1440"/>
            <w:vAlign w:val="center"/>
          </w:tcPr>
          <w:p>
            <w:r>
              <w:rPr>
                <w:sz w:val="15"/>
              </w:rPr>
              <w:t>36.86%</w:t>
            </w:r>
          </w:p>
        </w:tc>
        <w:tc>
          <w:tcPr>
            <w:tcW w:type="dxa" w:w="1440"/>
            <w:vAlign w:val="center"/>
          </w:tcPr>
          <w:p>
            <w:r>
              <w:rPr>
                <w:sz w:val="15"/>
              </w:rPr>
              <w:t>15.57</w:t>
            </w:r>
          </w:p>
        </w:tc>
        <w:tc>
          <w:tcPr>
            <w:tcW w:type="dxa" w:w="1440"/>
            <w:vAlign w:val="center"/>
          </w:tcPr>
          <w:p>
            <w:r>
              <w:rPr>
                <w:sz w:val="15"/>
              </w:rPr>
              <w:t>38.72</w:t>
            </w:r>
          </w:p>
        </w:tc>
      </w:tr>
      <w:tr>
        <w:tc>
          <w:tcPr>
            <w:tcW w:type="dxa" w:w="2304"/>
            <w:vAlign w:val="center"/>
          </w:tcPr>
          <w:p>
            <w:r>
              <w:rPr>
                <w:sz w:val="15"/>
              </w:rPr>
              <w:t>Pulmonology</w:t>
            </w:r>
          </w:p>
        </w:tc>
        <w:tc>
          <w:tcPr>
            <w:tcW w:type="dxa" w:w="1440"/>
            <w:vAlign w:val="center"/>
          </w:tcPr>
          <w:p>
            <w:r>
              <w:rPr>
                <w:sz w:val="15"/>
              </w:rPr>
              <w:t>12,166</w:t>
            </w:r>
          </w:p>
        </w:tc>
        <w:tc>
          <w:tcPr>
            <w:tcW w:type="dxa" w:w="1440"/>
            <w:vAlign w:val="center"/>
          </w:tcPr>
          <w:p>
            <w:r>
              <w:rPr>
                <w:sz w:val="15"/>
              </w:rPr>
              <w:t>8.11%</w:t>
            </w:r>
          </w:p>
        </w:tc>
        <w:tc>
          <w:tcPr>
            <w:tcW w:type="dxa" w:w="1440"/>
            <w:vAlign w:val="center"/>
          </w:tcPr>
          <w:p>
            <w:r>
              <w:rPr>
                <w:sz w:val="15"/>
              </w:rPr>
              <w:t>14.98%</w:t>
            </w:r>
          </w:p>
        </w:tc>
        <w:tc>
          <w:tcPr>
            <w:tcW w:type="dxa" w:w="1440"/>
            <w:vAlign w:val="center"/>
          </w:tcPr>
          <w:p>
            <w:r>
              <w:rPr>
                <w:sz w:val="15"/>
              </w:rPr>
              <w:t>37.37%</w:t>
            </w:r>
          </w:p>
        </w:tc>
        <w:tc>
          <w:tcPr>
            <w:tcW w:type="dxa" w:w="1440"/>
            <w:vAlign w:val="center"/>
          </w:tcPr>
          <w:p>
            <w:r>
              <w:rPr>
                <w:sz w:val="15"/>
              </w:rPr>
              <w:t>15.47</w:t>
            </w:r>
          </w:p>
        </w:tc>
        <w:tc>
          <w:tcPr>
            <w:tcW w:type="dxa" w:w="1440"/>
            <w:vAlign w:val="center"/>
          </w:tcPr>
          <w:p>
            <w:r>
              <w:rPr>
                <w:sz w:val="15"/>
              </w:rPr>
              <w:t>25.70</w:t>
            </w:r>
          </w:p>
        </w:tc>
      </w:tr>
    </w:tbl>
    <w:p>
      <w:pPr>
        <w:jc w:val="center"/>
      </w:pPr>
      <w:r>
        <w:drawing>
          <wp:inline xmlns:a="http://schemas.openxmlformats.org/drawingml/2006/main" xmlns:pic="http://schemas.openxmlformats.org/drawingml/2006/picture">
            <wp:extent cx="5852160" cy="2880103"/>
            <wp:docPr id="8" name="Picture 8"/>
            <wp:cNvGraphicFramePr>
              <a:graphicFrameLocks noChangeAspect="1"/>
            </wp:cNvGraphicFramePr>
            <a:graphic>
              <a:graphicData uri="http://schemas.openxmlformats.org/drawingml/2006/picture">
                <pic:pic>
                  <pic:nvPicPr>
                    <pic:cNvPr id="0" name="05_operations_load_index.png"/>
                    <pic:cNvPicPr/>
                  </pic:nvPicPr>
                  <pic:blipFill>
                    <a:blip r:embed="rId17"/>
                    <a:stretch>
                      <a:fillRect/>
                    </a:stretch>
                  </pic:blipFill>
                  <pic:spPr>
                    <a:xfrm>
                      <a:off x="0" y="0"/>
                      <a:ext cx="5852160" cy="2880103"/>
                    </a:xfrm>
                    <a:prstGeom prst="rect"/>
                  </pic:spPr>
                </pic:pic>
              </a:graphicData>
            </a:graphic>
          </wp:inline>
        </w:drawing>
      </w:r>
    </w:p>
    <w:p>
      <w:pPr>
        <w:jc w:val="center"/>
      </w:pPr>
      <w:r>
        <w:rPr>
          <w:i/>
          <w:sz w:val="16"/>
        </w:rPr>
        <w:t>Figure 8. Transparent Operations Load Index.</w:t>
      </w:r>
    </w:p>
    <w:p>
      <w:pPr>
        <w:jc w:val="center"/>
      </w:pPr>
      <w:r>
        <w:drawing>
          <wp:inline xmlns:a="http://schemas.openxmlformats.org/drawingml/2006/main" xmlns:pic="http://schemas.openxmlformats.org/drawingml/2006/picture">
            <wp:extent cx="5852160" cy="3685467"/>
            <wp:docPr id="9" name="Picture 9"/>
            <wp:cNvGraphicFramePr>
              <a:graphicFrameLocks noChangeAspect="1"/>
            </wp:cNvGraphicFramePr>
            <a:graphic>
              <a:graphicData uri="http://schemas.openxmlformats.org/drawingml/2006/picture">
                <pic:pic>
                  <pic:nvPicPr>
                    <pic:cNvPr id="0" name="07_department_profile_heatmap.png"/>
                    <pic:cNvPicPr/>
                  </pic:nvPicPr>
                  <pic:blipFill>
                    <a:blip r:embed="rId18"/>
                    <a:stretch>
                      <a:fillRect/>
                    </a:stretch>
                  </pic:blipFill>
                  <pic:spPr>
                    <a:xfrm>
                      <a:off x="0" y="0"/>
                      <a:ext cx="5852160" cy="3685467"/>
                    </a:xfrm>
                    <a:prstGeom prst="rect"/>
                  </pic:spPr>
                </pic:pic>
              </a:graphicData>
            </a:graphic>
          </wp:inline>
        </w:drawing>
      </w:r>
    </w:p>
    <w:p>
      <w:pPr>
        <w:jc w:val="center"/>
      </w:pPr>
      <w:r>
        <w:rPr>
          <w:i/>
          <w:sz w:val="16"/>
        </w:rPr>
        <w:t>Figure 9. Department profile across selected metrics.</w:t>
      </w:r>
    </w:p>
    <w:p>
      <w:pPr>
        <w:pStyle w:val="Heading1"/>
      </w:pPr>
      <w:r>
        <w:t>11. Synthetic Data-Generation Audit: Symptom to Department</w:t>
      </w:r>
    </w:p>
    <w:p>
      <w:r>
        <w:t>The most important data-quality insight is not a missing value; it is the structure of the synthetic data itself. The symptom feature is extremely associated with department. Cramer's V is 0.969, and a simple symptom-to-most-common-department lookup reaches 95.63% accuracy.</w:t>
      </w:r>
    </w:p>
    <w:p>
      <w:r>
        <w:t>This means a model that uses symptoms could obtain very high accuracy by learning a relationship that is already almost hard-coded in the synthetic data. The enhanced project therefore treats symptoms as an audit target and excludes it from the final benchmark. This is a methodological decision to keep the ML evaluation educationally meaningful.</w:t>
      </w:r>
    </w:p>
    <w:p>
      <w:pPr>
        <w:jc w:val="center"/>
      </w:pPr>
      <w:r>
        <w:drawing>
          <wp:inline xmlns:a="http://schemas.openxmlformats.org/drawingml/2006/main" xmlns:pic="http://schemas.openxmlformats.org/drawingml/2006/picture">
            <wp:extent cx="5852160" cy="4228459"/>
            <wp:docPr id="10" name="Picture 10"/>
            <wp:cNvGraphicFramePr>
              <a:graphicFrameLocks noChangeAspect="1"/>
            </wp:cNvGraphicFramePr>
            <a:graphic>
              <a:graphicData uri="http://schemas.openxmlformats.org/drawingml/2006/picture">
                <pic:pic>
                  <pic:nvPicPr>
                    <pic:cNvPr id="0" name="08_symptom_department_heatmap.png"/>
                    <pic:cNvPicPr/>
                  </pic:nvPicPr>
                  <pic:blipFill>
                    <a:blip r:embed="rId19"/>
                    <a:stretch>
                      <a:fillRect/>
                    </a:stretch>
                  </pic:blipFill>
                  <pic:spPr>
                    <a:xfrm>
                      <a:off x="0" y="0"/>
                      <a:ext cx="5852160" cy="4228459"/>
                    </a:xfrm>
                    <a:prstGeom prst="rect"/>
                  </pic:spPr>
                </pic:pic>
              </a:graphicData>
            </a:graphic>
          </wp:inline>
        </w:drawing>
      </w:r>
    </w:p>
    <w:p>
      <w:pPr>
        <w:jc w:val="center"/>
      </w:pPr>
      <w:r>
        <w:rPr>
          <w:i/>
          <w:sz w:val="16"/>
        </w:rPr>
        <w:t>Figure 10. Strong synthetic symptom-to-department association.</w:t>
      </w:r>
    </w:p>
    <w:p>
      <w:pPr>
        <w:pStyle w:val="Heading1"/>
      </w:pPr>
      <w:r>
        <w:t>12. Exploratory Machine Learning</w:t>
      </w:r>
    </w:p>
    <w:p>
      <w:r>
        <w:t>The target variable is department (9 classes). Gender, symptom severity and chronic-condition status were considered as alternative categorical targets, but the project focuses on department because it provides an operational classification problem. The symptoms feature is excluded because of the strong synthetic leakage-like relationship described above.</w:t>
      </w:r>
    </w:p>
    <w:p>
      <w:r>
        <w:t>Final feature set:</w:t>
      </w:r>
    </w:p>
    <w:p>
      <w:pPr>
        <w:pStyle w:val="ListBullet"/>
      </w:pPr>
      <w:r>
        <w:t>age</w:t>
      </w:r>
    </w:p>
    <w:p>
      <w:pPr>
        <w:pStyle w:val="ListBullet"/>
      </w:pPr>
      <w:r>
        <w:t>temperature</w:t>
      </w:r>
    </w:p>
    <w:p>
      <w:pPr>
        <w:pStyle w:val="ListBullet"/>
      </w:pPr>
      <w:r>
        <w:t>duration_days</w:t>
      </w:r>
    </w:p>
    <w:p>
      <w:pPr>
        <w:pStyle w:val="ListBullet"/>
      </w:pPr>
      <w:r>
        <w:t>bp_systolic</w:t>
      </w:r>
    </w:p>
    <w:p>
      <w:pPr>
        <w:pStyle w:val="ListBullet"/>
      </w:pPr>
      <w:r>
        <w:t>bp_diastolic</w:t>
      </w:r>
    </w:p>
    <w:p>
      <w:pPr>
        <w:pStyle w:val="ListBullet"/>
      </w:pPr>
      <w:r>
        <w:t>heart_rate</w:t>
      </w:r>
    </w:p>
    <w:p>
      <w:pPr>
        <w:pStyle w:val="ListBullet"/>
      </w:pPr>
      <w:r>
        <w:t>oxygen_saturation</w:t>
      </w:r>
    </w:p>
    <w:p>
      <w:pPr>
        <w:pStyle w:val="ListBullet"/>
      </w:pPr>
      <w:r>
        <w:t>pain_level</w:t>
      </w:r>
    </w:p>
    <w:p>
      <w:pPr>
        <w:pStyle w:val="ListBullet"/>
      </w:pPr>
      <w:r>
        <w:t>gender</w:t>
      </w:r>
    </w:p>
    <w:p>
      <w:pPr>
        <w:pStyle w:val="ListBullet"/>
      </w:pPr>
      <w:r>
        <w:t>chronic_condition</w:t>
      </w:r>
    </w:p>
    <w:p>
      <w:pPr>
        <w:pStyle w:val="ListBullet"/>
      </w:pPr>
      <w:r>
        <w:t>symptom_severity</w:t>
      </w:r>
    </w:p>
    <w:p>
      <w:pPr>
        <w:pStyle w:val="Heading2"/>
      </w:pPr>
      <w:r>
        <w:t>12.1 Baseline and enhanced model benchmark</w:t>
      </w:r>
    </w:p>
    <w:tbl>
      <w:tblPr>
        <w:tblStyle w:val="TableGrid"/>
        <w:tblW w:type="auto" w:w="0"/>
        <w:tblLook w:firstColumn="1" w:firstRow="1" w:lastColumn="0" w:lastRow="0" w:noHBand="0" w:noVBand="1" w:val="04A0"/>
      </w:tblPr>
      <w:tblGrid>
        <w:gridCol w:w="1704"/>
        <w:gridCol w:w="1704"/>
        <w:gridCol w:w="1704"/>
        <w:gridCol w:w="1704"/>
        <w:gridCol w:w="1704"/>
        <w:gridCol w:w="1704"/>
      </w:tblGrid>
      <w:tr>
        <w:trPr>
          <w:tblHeader w:val="true"/>
        </w:trPr>
        <w:tc>
          <w:tcPr>
            <w:tcW w:type="dxa" w:w="2016"/>
            <w:vAlign w:val="center"/>
            <w:shd w:fill="D9EAF7"/>
          </w:tcPr>
          <w:p>
            <w:r>
              <w:rPr>
                <w:b/>
                <w:sz w:val="15"/>
              </w:rPr>
              <w:t>Experiment</w:t>
            </w:r>
          </w:p>
        </w:tc>
        <w:tc>
          <w:tcPr>
            <w:tcW w:type="dxa" w:w="2016"/>
            <w:vAlign w:val="center"/>
            <w:shd w:fill="D9EAF7"/>
          </w:tcPr>
          <w:p>
            <w:r>
              <w:rPr>
                <w:b/>
                <w:sz w:val="15"/>
              </w:rPr>
              <w:t>Model</w:t>
            </w:r>
          </w:p>
        </w:tc>
        <w:tc>
          <w:tcPr>
            <w:tcW w:type="dxa" w:w="1440"/>
            <w:vAlign w:val="center"/>
            <w:shd w:fill="D9EAF7"/>
          </w:tcPr>
          <w:p>
            <w:r>
              <w:rPr>
                <w:b/>
                <w:sz w:val="15"/>
              </w:rPr>
              <w:t>Accuracy</w:t>
            </w:r>
          </w:p>
        </w:tc>
        <w:tc>
          <w:tcPr>
            <w:tcW w:type="dxa" w:w="1584"/>
            <w:vAlign w:val="center"/>
            <w:shd w:fill="D9EAF7"/>
          </w:tcPr>
          <w:p>
            <w:r>
              <w:rPr>
                <w:b/>
                <w:sz w:val="15"/>
              </w:rPr>
              <w:t>Balanced accuracy</w:t>
            </w:r>
          </w:p>
        </w:tc>
        <w:tc>
          <w:tcPr>
            <w:tcW w:type="dxa" w:w="1296"/>
            <w:vAlign w:val="center"/>
            <w:shd w:fill="D9EAF7"/>
          </w:tcPr>
          <w:p>
            <w:r>
              <w:rPr>
                <w:b/>
                <w:sz w:val="15"/>
              </w:rPr>
              <w:t>Macro F1</w:t>
            </w:r>
          </w:p>
        </w:tc>
        <w:tc>
          <w:tcPr>
            <w:tcW w:type="dxa" w:w="2304"/>
            <w:vAlign w:val="center"/>
            <w:shd w:fill="D9EAF7"/>
          </w:tcPr>
          <w:p>
            <w:r>
              <w:rPr>
                <w:b/>
                <w:sz w:val="15"/>
              </w:rPr>
              <w:t>Notes</w:t>
            </w:r>
          </w:p>
        </w:tc>
      </w:tr>
      <w:tr>
        <w:tc>
          <w:tcPr>
            <w:tcW w:type="dxa" w:w="2016"/>
            <w:vAlign w:val="center"/>
          </w:tcPr>
          <w:p>
            <w:r>
              <w:rPr>
                <w:sz w:val="15"/>
              </w:rPr>
              <w:t>Original baseline report</w:t>
            </w:r>
          </w:p>
        </w:tc>
        <w:tc>
          <w:tcPr>
            <w:tcW w:type="dxa" w:w="2016"/>
            <w:vAlign w:val="center"/>
          </w:tcPr>
          <w:p>
            <w:r>
              <w:rPr>
                <w:sz w:val="15"/>
              </w:rPr>
              <w:t>Decision Tree</w:t>
            </w:r>
          </w:p>
        </w:tc>
        <w:tc>
          <w:tcPr>
            <w:tcW w:type="dxa" w:w="1440"/>
            <w:vAlign w:val="center"/>
          </w:tcPr>
          <w:p>
            <w:r>
              <w:rPr>
                <w:sz w:val="15"/>
              </w:rPr>
              <w:t>16.83%</w:t>
            </w:r>
          </w:p>
        </w:tc>
        <w:tc>
          <w:tcPr>
            <w:tcW w:type="dxa" w:w="1584"/>
            <w:vAlign w:val="center"/>
          </w:tcPr>
          <w:p>
            <w:r>
              <w:rPr>
                <w:sz w:val="15"/>
              </w:rPr>
              <w:t>-</w:t>
            </w:r>
          </w:p>
        </w:tc>
        <w:tc>
          <w:tcPr>
            <w:tcW w:type="dxa" w:w="1296"/>
            <w:vAlign w:val="center"/>
          </w:tcPr>
          <w:p>
            <w:r>
              <w:rPr>
                <w:sz w:val="15"/>
              </w:rPr>
              <w:t>-</w:t>
            </w:r>
          </w:p>
        </w:tc>
        <w:tc>
          <w:tcPr>
            <w:tcW w:type="dxa" w:w="2304"/>
            <w:vAlign w:val="center"/>
          </w:tcPr>
          <w:p>
            <w:r>
              <w:rPr>
                <w:sz w:val="15"/>
              </w:rPr>
              <w:t>Reported in submitted baseline report</w:t>
            </w:r>
          </w:p>
        </w:tc>
      </w:tr>
      <w:tr>
        <w:tc>
          <w:tcPr>
            <w:tcW w:type="dxa" w:w="2016"/>
            <w:vAlign w:val="center"/>
          </w:tcPr>
          <w:p>
            <w:r>
              <w:rPr>
                <w:sz w:val="15"/>
              </w:rPr>
              <w:t>Enhanced benchmark</w:t>
            </w:r>
          </w:p>
        </w:tc>
        <w:tc>
          <w:tcPr>
            <w:tcW w:type="dxa" w:w="2016"/>
            <w:vAlign w:val="center"/>
          </w:tcPr>
          <w:p>
            <w:r>
              <w:rPr>
                <w:sz w:val="15"/>
              </w:rPr>
              <w:t>Random Forest</w:t>
            </w:r>
          </w:p>
        </w:tc>
        <w:tc>
          <w:tcPr>
            <w:tcW w:type="dxa" w:w="1440"/>
            <w:vAlign w:val="center"/>
          </w:tcPr>
          <w:p>
            <w:r>
              <w:rPr>
                <w:sz w:val="15"/>
              </w:rPr>
              <w:t>22.49%</w:t>
            </w:r>
          </w:p>
        </w:tc>
        <w:tc>
          <w:tcPr>
            <w:tcW w:type="dxa" w:w="1584"/>
            <w:vAlign w:val="center"/>
          </w:tcPr>
          <w:p>
            <w:r>
              <w:rPr>
                <w:sz w:val="15"/>
              </w:rPr>
              <w:t>21.35%</w:t>
            </w:r>
          </w:p>
        </w:tc>
        <w:tc>
          <w:tcPr>
            <w:tcW w:type="dxa" w:w="1296"/>
            <w:vAlign w:val="center"/>
          </w:tcPr>
          <w:p>
            <w:r>
              <w:rPr>
                <w:sz w:val="15"/>
              </w:rPr>
              <w:t>0.163</w:t>
            </w:r>
          </w:p>
        </w:tc>
        <w:tc>
          <w:tcPr>
            <w:tcW w:type="dxa" w:w="2304"/>
            <w:vAlign w:val="center"/>
          </w:tcPr>
          <w:p>
            <w:r>
              <w:rPr>
                <w:sz w:val="15"/>
              </w:rPr>
              <w:t>80/20 stratified split</w:t>
            </w:r>
          </w:p>
        </w:tc>
      </w:tr>
      <w:tr>
        <w:tc>
          <w:tcPr>
            <w:tcW w:type="dxa" w:w="2016"/>
            <w:vAlign w:val="center"/>
          </w:tcPr>
          <w:p>
            <w:r>
              <w:rPr>
                <w:sz w:val="15"/>
              </w:rPr>
              <w:t>Enhanced benchmark</w:t>
            </w:r>
          </w:p>
        </w:tc>
        <w:tc>
          <w:tcPr>
            <w:tcW w:type="dxa" w:w="2016"/>
            <w:vAlign w:val="center"/>
          </w:tcPr>
          <w:p>
            <w:r>
              <w:rPr>
                <w:sz w:val="15"/>
              </w:rPr>
              <w:t>Logistic Regression</w:t>
            </w:r>
          </w:p>
        </w:tc>
        <w:tc>
          <w:tcPr>
            <w:tcW w:type="dxa" w:w="1440"/>
            <w:vAlign w:val="center"/>
          </w:tcPr>
          <w:p>
            <w:r>
              <w:rPr>
                <w:sz w:val="15"/>
              </w:rPr>
              <w:t>21.97%</w:t>
            </w:r>
          </w:p>
        </w:tc>
        <w:tc>
          <w:tcPr>
            <w:tcW w:type="dxa" w:w="1584"/>
            <w:vAlign w:val="center"/>
          </w:tcPr>
          <w:p>
            <w:r>
              <w:rPr>
                <w:sz w:val="15"/>
              </w:rPr>
              <w:t>20.09%</w:t>
            </w:r>
          </w:p>
        </w:tc>
        <w:tc>
          <w:tcPr>
            <w:tcW w:type="dxa" w:w="1296"/>
            <w:vAlign w:val="center"/>
          </w:tcPr>
          <w:p>
            <w:r>
              <w:rPr>
                <w:sz w:val="15"/>
              </w:rPr>
              <w:t>0.155</w:t>
            </w:r>
          </w:p>
        </w:tc>
        <w:tc>
          <w:tcPr>
            <w:tcW w:type="dxa" w:w="2304"/>
            <w:vAlign w:val="center"/>
          </w:tcPr>
          <w:p>
            <w:r>
              <w:rPr>
                <w:sz w:val="15"/>
              </w:rPr>
              <w:t>80/20 stratified split</w:t>
            </w:r>
          </w:p>
        </w:tc>
      </w:tr>
      <w:tr>
        <w:tc>
          <w:tcPr>
            <w:tcW w:type="dxa" w:w="2016"/>
            <w:vAlign w:val="center"/>
          </w:tcPr>
          <w:p>
            <w:r>
              <w:rPr>
                <w:sz w:val="15"/>
              </w:rPr>
              <w:t>Enhanced benchmark</w:t>
            </w:r>
          </w:p>
        </w:tc>
        <w:tc>
          <w:tcPr>
            <w:tcW w:type="dxa" w:w="2016"/>
            <w:vAlign w:val="center"/>
          </w:tcPr>
          <w:p>
            <w:r>
              <w:rPr>
                <w:sz w:val="15"/>
              </w:rPr>
              <w:t>Decision Tree</w:t>
            </w:r>
          </w:p>
        </w:tc>
        <w:tc>
          <w:tcPr>
            <w:tcW w:type="dxa" w:w="1440"/>
            <w:vAlign w:val="center"/>
          </w:tcPr>
          <w:p>
            <w:r>
              <w:rPr>
                <w:sz w:val="15"/>
              </w:rPr>
              <w:t>16.79%</w:t>
            </w:r>
          </w:p>
        </w:tc>
        <w:tc>
          <w:tcPr>
            <w:tcW w:type="dxa" w:w="1584"/>
            <w:vAlign w:val="center"/>
          </w:tcPr>
          <w:p>
            <w:r>
              <w:rPr>
                <w:sz w:val="15"/>
              </w:rPr>
              <w:t>15.85%</w:t>
            </w:r>
          </w:p>
        </w:tc>
        <w:tc>
          <w:tcPr>
            <w:tcW w:type="dxa" w:w="1296"/>
            <w:vAlign w:val="center"/>
          </w:tcPr>
          <w:p>
            <w:r>
              <w:rPr>
                <w:sz w:val="15"/>
              </w:rPr>
              <w:t>0.157</w:t>
            </w:r>
          </w:p>
        </w:tc>
        <w:tc>
          <w:tcPr>
            <w:tcW w:type="dxa" w:w="2304"/>
            <w:vAlign w:val="center"/>
          </w:tcPr>
          <w:p>
            <w:r>
              <w:rPr>
                <w:sz w:val="15"/>
              </w:rPr>
              <w:t>80/20 stratified split</w:t>
            </w:r>
          </w:p>
        </w:tc>
      </w:tr>
      <w:tr>
        <w:tc>
          <w:tcPr>
            <w:tcW w:type="dxa" w:w="2016"/>
            <w:vAlign w:val="center"/>
          </w:tcPr>
          <w:p>
            <w:r>
              <w:rPr>
                <w:sz w:val="15"/>
              </w:rPr>
              <w:t>Enhanced benchmark</w:t>
            </w:r>
          </w:p>
        </w:tc>
        <w:tc>
          <w:tcPr>
            <w:tcW w:type="dxa" w:w="2016"/>
            <w:vAlign w:val="center"/>
          </w:tcPr>
          <w:p>
            <w:r>
              <w:rPr>
                <w:sz w:val="15"/>
              </w:rPr>
              <w:t>Majority Baseline</w:t>
            </w:r>
          </w:p>
        </w:tc>
        <w:tc>
          <w:tcPr>
            <w:tcW w:type="dxa" w:w="1440"/>
            <w:vAlign w:val="center"/>
          </w:tcPr>
          <w:p>
            <w:r>
              <w:rPr>
                <w:sz w:val="15"/>
              </w:rPr>
              <w:t>16.30%</w:t>
            </w:r>
          </w:p>
        </w:tc>
        <w:tc>
          <w:tcPr>
            <w:tcW w:type="dxa" w:w="1584"/>
            <w:vAlign w:val="center"/>
          </w:tcPr>
          <w:p>
            <w:r>
              <w:rPr>
                <w:sz w:val="15"/>
              </w:rPr>
              <w:t>11.11%</w:t>
            </w:r>
          </w:p>
        </w:tc>
        <w:tc>
          <w:tcPr>
            <w:tcW w:type="dxa" w:w="1296"/>
            <w:vAlign w:val="center"/>
          </w:tcPr>
          <w:p>
            <w:r>
              <w:rPr>
                <w:sz w:val="15"/>
              </w:rPr>
              <w:t>0.031</w:t>
            </w:r>
          </w:p>
        </w:tc>
        <w:tc>
          <w:tcPr>
            <w:tcW w:type="dxa" w:w="2304"/>
            <w:vAlign w:val="center"/>
          </w:tcPr>
          <w:p>
            <w:r>
              <w:rPr>
                <w:sz w:val="15"/>
              </w:rPr>
              <w:t>80/20 stratified split</w:t>
            </w:r>
          </w:p>
        </w:tc>
      </w:tr>
    </w:tbl>
    <w:p>
      <w:r>
        <w:t>The enhanced benchmark's strongest model by accuracy is Random Forest at 22.49% accuracy and 21.35% balanced accuracy. Although this improves on the majority baseline and the single Decision Tree, the absolute performance remains modest. The result is therefore reported as an exploratory ML finding rather than a clinical prediction capability.</w:t>
      </w:r>
    </w:p>
    <w:p>
      <w:pPr>
        <w:jc w:val="center"/>
      </w:pPr>
      <w:r>
        <w:drawing>
          <wp:inline xmlns:a="http://schemas.openxmlformats.org/drawingml/2006/main" xmlns:pic="http://schemas.openxmlformats.org/drawingml/2006/picture">
            <wp:extent cx="5852160" cy="3203711"/>
            <wp:docPr id="11" name="Picture 11"/>
            <wp:cNvGraphicFramePr>
              <a:graphicFrameLocks noChangeAspect="1"/>
            </wp:cNvGraphicFramePr>
            <a:graphic>
              <a:graphicData uri="http://schemas.openxmlformats.org/drawingml/2006/picture">
                <pic:pic>
                  <pic:nvPicPr>
                    <pic:cNvPr id="0" name="11_model_benchmark.png"/>
                    <pic:cNvPicPr/>
                  </pic:nvPicPr>
                  <pic:blipFill>
                    <a:blip r:embed="rId20"/>
                    <a:stretch>
                      <a:fillRect/>
                    </a:stretch>
                  </pic:blipFill>
                  <pic:spPr>
                    <a:xfrm>
                      <a:off x="0" y="0"/>
                      <a:ext cx="5852160" cy="3203711"/>
                    </a:xfrm>
                    <a:prstGeom prst="rect"/>
                  </pic:spPr>
                </pic:pic>
              </a:graphicData>
            </a:graphic>
          </wp:inline>
        </w:drawing>
      </w:r>
    </w:p>
    <w:p>
      <w:pPr>
        <w:jc w:val="center"/>
      </w:pPr>
      <w:r>
        <w:rPr>
          <w:i/>
          <w:sz w:val="16"/>
        </w:rPr>
        <w:t>Figure 11. Four-model exploratory benchmark.</w:t>
      </w:r>
    </w:p>
    <w:p>
      <w:r>
        <w:t>The original baseline report's Decision Tree value (16.83%) and the enhanced reproducible benchmark's Decision Tree value (16.79%) are very close. Small differences can arise from implementation details such as preprocessing and encoding, so the enhanced project emphasizes relative comparison, baselines and transparent methodology rather than claiming a large model-performance leap.</w:t>
      </w:r>
    </w:p>
    <w:p>
      <w:pPr>
        <w:pStyle w:val="Heading1"/>
      </w:pPr>
      <w:r>
        <w:t>13. Operational Considerations</w:t>
      </w:r>
    </w:p>
    <w:p>
      <w:r>
        <w:t>The baseline report proposed operational considerations tied to the descriptive findings. The enhanced project preserves the intent of those considerations while clearly separating analytical evidence from clinical decisions.</w:t>
      </w:r>
    </w:p>
    <w:tbl>
      <w:tblPr>
        <w:tblStyle w:val="TableGrid"/>
        <w:tblW w:type="auto" w:w="0"/>
        <w:tblLook w:firstColumn="1" w:firstRow="1" w:lastColumn="0" w:lastRow="0" w:noHBand="0" w:noVBand="1" w:val="04A0"/>
      </w:tblPr>
      <w:tblGrid>
        <w:gridCol w:w="5112"/>
        <w:gridCol w:w="5112"/>
      </w:tblGrid>
      <w:tr>
        <w:trPr>
          <w:tblHeader w:val="true"/>
        </w:trPr>
        <w:tc>
          <w:tcPr>
            <w:tcW w:type="dxa" w:w="2880"/>
            <w:vAlign w:val="center"/>
            <w:shd w:fill="D9EAF7"/>
          </w:tcPr>
          <w:p>
            <w:r>
              <w:rPr>
                <w:b/>
                <w:sz w:val="16"/>
              </w:rPr>
              <w:t>Area</w:t>
            </w:r>
          </w:p>
        </w:tc>
        <w:tc>
          <w:tcPr>
            <w:tcW w:type="dxa" w:w="7056"/>
            <w:vAlign w:val="center"/>
            <w:shd w:fill="D9EAF7"/>
          </w:tcPr>
          <w:p>
            <w:r>
              <w:rPr>
                <w:b/>
                <w:sz w:val="16"/>
              </w:rPr>
              <w:t>Analytical observation</w:t>
            </w:r>
          </w:p>
        </w:tc>
      </w:tr>
      <w:tr>
        <w:tc>
          <w:tcPr>
            <w:tcW w:type="dxa" w:w="2880"/>
            <w:vAlign w:val="center"/>
          </w:tcPr>
          <w:p>
            <w:r>
              <w:rPr>
                <w:sz w:val="16"/>
              </w:rPr>
              <w:t>Department resource planning</w:t>
            </w:r>
          </w:p>
        </w:tc>
        <w:tc>
          <w:tcPr>
            <w:tcW w:type="dxa" w:w="7056"/>
            <w:vAlign w:val="center"/>
          </w:tcPr>
          <w:p>
            <w:r>
              <w:rPr>
                <w:sz w:val="16"/>
              </w:rPr>
              <w:t>Dermatology has the highest record volume (24,447). This can inform a workload discussion when actual time and capacity data are available.</w:t>
            </w:r>
          </w:p>
        </w:tc>
      </w:tr>
      <w:tr>
        <w:tc>
          <w:tcPr>
            <w:tcW w:type="dxa" w:w="2880"/>
            <w:vAlign w:val="center"/>
          </w:tcPr>
          <w:p>
            <w:r>
              <w:rPr>
                <w:sz w:val="16"/>
              </w:rPr>
              <w:t>Cardiology workload context</w:t>
            </w:r>
          </w:p>
        </w:tc>
        <w:tc>
          <w:tcPr>
            <w:tcW w:type="dxa" w:w="7056"/>
            <w:vAlign w:val="center"/>
          </w:tcPr>
          <w:p>
            <w:r>
              <w:rPr>
                <w:sz w:val="16"/>
              </w:rPr>
              <w:t>Cardiology has the highest average heart rate in this synthetic dataset (87.59 bpm). This is a descriptive pattern, not a clinical threshold.</w:t>
            </w:r>
          </w:p>
        </w:tc>
      </w:tr>
      <w:tr>
        <w:tc>
          <w:tcPr>
            <w:tcW w:type="dxa" w:w="2880"/>
            <w:vAlign w:val="center"/>
          </w:tcPr>
          <w:p>
            <w:r>
              <w:rPr>
                <w:sz w:val="16"/>
              </w:rPr>
              <w:t>Orthopedics pain context</w:t>
            </w:r>
          </w:p>
        </w:tc>
        <w:tc>
          <w:tcPr>
            <w:tcW w:type="dxa" w:w="7056"/>
            <w:vAlign w:val="center"/>
          </w:tcPr>
          <w:p>
            <w:r>
              <w:rPr>
                <w:sz w:val="16"/>
              </w:rPr>
              <w:t>Orthopedics has the highest average pain value (6.90/10). Operational teams could use this type of descriptive metric in a broader service-review context.</w:t>
            </w:r>
          </w:p>
        </w:tc>
      </w:tr>
      <w:tr>
        <w:tc>
          <w:tcPr>
            <w:tcW w:type="dxa" w:w="2880"/>
            <w:vAlign w:val="center"/>
          </w:tcPr>
          <w:p>
            <w:r>
              <w:rPr>
                <w:sz w:val="16"/>
              </w:rPr>
              <w:t>Pulmonology vital-sign context</w:t>
            </w:r>
          </w:p>
        </w:tc>
        <w:tc>
          <w:tcPr>
            <w:tcW w:type="dxa" w:w="7056"/>
            <w:vAlign w:val="center"/>
          </w:tcPr>
          <w:p>
            <w:r>
              <w:rPr>
                <w:sz w:val="16"/>
              </w:rPr>
              <w:t>Pulmonology has the lowest average oxygen saturation in the synthetic dataset (96.25% in the baseline/enhanced analysis). This should not be interpreted as a clinical recommendation.</w:t>
            </w:r>
          </w:p>
        </w:tc>
      </w:tr>
      <w:tr>
        <w:tc>
          <w:tcPr>
            <w:tcW w:type="dxa" w:w="2880"/>
            <w:vAlign w:val="center"/>
          </w:tcPr>
          <w:p>
            <w:r>
              <w:rPr>
                <w:sz w:val="16"/>
              </w:rPr>
              <w:t>Older cohort planning</w:t>
            </w:r>
          </w:p>
        </w:tc>
        <w:tc>
          <w:tcPr>
            <w:tcW w:type="dxa" w:w="7056"/>
            <w:vAlign w:val="center"/>
          </w:tcPr>
          <w:p>
            <w:r>
              <w:rPr>
                <w:sz w:val="16"/>
              </w:rPr>
              <w:t>The 61-80 age group is the largest cohort (47,402) and contains the highest count of chronic-condition records. In real settings, capacity planning would require validated temporal and operational data.</w:t>
            </w:r>
          </w:p>
        </w:tc>
      </w:tr>
      <w:tr>
        <w:tc>
          <w:tcPr>
            <w:tcW w:type="dxa" w:w="2880"/>
            <w:vAlign w:val="center"/>
          </w:tcPr>
          <w:p>
            <w:r>
              <w:rPr>
                <w:sz w:val="16"/>
              </w:rPr>
              <w:t>Data-quality controls</w:t>
            </w:r>
          </w:p>
        </w:tc>
        <w:tc>
          <w:tcPr>
            <w:tcW w:type="dxa" w:w="7056"/>
            <w:vAlign w:val="center"/>
          </w:tcPr>
          <w:p>
            <w:r>
              <w:rPr>
                <w:sz w:val="16"/>
              </w:rPr>
              <w:t>The raw dataset contains duplicates, missing values, mixed labels and invalid measurements. A real information system should validate inputs before downstream analytics.</w:t>
            </w:r>
          </w:p>
        </w:tc>
      </w:tr>
    </w:tbl>
    <w:p>
      <w:pPr>
        <w:pStyle w:val="Heading1"/>
      </w:pPr>
      <w:r>
        <w:t>14. Interactive Dashboard</w:t>
      </w:r>
    </w:p>
    <w:p>
      <w:r>
        <w:t>The Streamlit application turns the analysis into an interactive product. Users can navigate between executive KPIs, data quality, department intelligence, patient/symptom exploration, ML audit, evidence-based Q&amp;A and downloads.</w:t>
      </w:r>
    </w:p>
    <w:p>
      <w:pPr>
        <w:pStyle w:val="ListBullet"/>
      </w:pPr>
      <w:r>
        <w:t>Executive Overview - high-level KPIs, workload, severity mix and narrative insights.</w:t>
      </w:r>
    </w:p>
    <w:p>
      <w:pPr>
        <w:pStyle w:val="ListBullet"/>
      </w:pPr>
      <w:r>
        <w:t>Data Quality - missingness, duplicate count, correction counts and row-level quality status.</w:t>
      </w:r>
    </w:p>
    <w:p>
      <w:pPr>
        <w:pStyle w:val="ListBullet"/>
      </w:pPr>
      <w:r>
        <w:t>Department Intelligence - workload table, adjustable Operations Load Index and department drill-down.</w:t>
      </w:r>
    </w:p>
    <w:p>
      <w:pPr>
        <w:pStyle w:val="ListBullet"/>
      </w:pPr>
      <w:r>
        <w:t>Patient &amp; Symptom Explorer - department filters, age cohorts, chronic-condition mix and symptom patterns.</w:t>
      </w:r>
    </w:p>
    <w:p>
      <w:pPr>
        <w:pStyle w:val="ListBullet"/>
      </w:pPr>
      <w:r>
        <w:t>ML Audit - model benchmark, synthetic leakage explanation and optional confusion matrix.</w:t>
      </w:r>
    </w:p>
    <w:p>
      <w:pPr>
        <w:pStyle w:val="ListBullet"/>
      </w:pPr>
      <w:r>
        <w:t>Evidence Q&amp;A - fixed evidence-based answers calculated directly from the cleaned dataset.</w:t>
      </w:r>
    </w:p>
    <w:p>
      <w:pPr>
        <w:pStyle w:val="ListBullet"/>
      </w:pPr>
      <w:r>
        <w:t>Downloads - cleaned/enriched CSVs and analytical artifacts.</w:t>
      </w:r>
    </w:p>
    <w:p>
      <w:r>
        <w:t>Because Streamlit is not required for the notebook itself, the project remains usable in a notebook-only environment while the dashboard provides the presentation layer for a final submission or demonstration.</w:t>
      </w:r>
    </w:p>
    <w:p>
      <w:pPr>
        <w:pStyle w:val="Heading1"/>
      </w:pPr>
      <w:r>
        <w:t>15. Implementation and Reproducibility</w:t>
      </w:r>
    </w:p>
    <w:p>
      <w:r>
        <w:t>Main components:</w:t>
      </w:r>
    </w:p>
    <w:tbl>
      <w:tblPr>
        <w:tblStyle w:val="TableGrid"/>
        <w:tblW w:type="auto" w:w="0"/>
        <w:tblLook w:firstColumn="1" w:firstRow="1" w:lastColumn="0" w:lastRow="0" w:noHBand="0" w:noVBand="1" w:val="04A0"/>
      </w:tblPr>
      <w:tblGrid>
        <w:gridCol w:w="5112"/>
        <w:gridCol w:w="5112"/>
      </w:tblGrid>
      <w:tr>
        <w:trPr>
          <w:tblHeader w:val="true"/>
        </w:trPr>
        <w:tc>
          <w:tcPr>
            <w:tcW w:type="dxa" w:w="4320"/>
            <w:vAlign w:val="center"/>
            <w:shd w:fill="D9EAF7"/>
          </w:tcPr>
          <w:p>
            <w:r>
              <w:rPr>
                <w:b/>
                <w:sz w:val="17"/>
              </w:rPr>
              <w:t>Component</w:t>
            </w:r>
          </w:p>
        </w:tc>
        <w:tc>
          <w:tcPr>
            <w:tcW w:type="dxa" w:w="5616"/>
            <w:vAlign w:val="center"/>
            <w:shd w:fill="D9EAF7"/>
          </w:tcPr>
          <w:p>
            <w:r>
              <w:rPr>
                <w:b/>
                <w:sz w:val="17"/>
              </w:rPr>
              <w:t>Purpose</w:t>
            </w:r>
          </w:p>
        </w:tc>
      </w:tr>
      <w:tr>
        <w:tc>
          <w:tcPr>
            <w:tcW w:type="dxa" w:w="4320"/>
            <w:vAlign w:val="center"/>
          </w:tcPr>
          <w:p>
            <w:r>
              <w:rPr>
                <w:sz w:val="17"/>
              </w:rPr>
              <w:t>src/data_pipeline.py</w:t>
            </w:r>
          </w:p>
        </w:tc>
        <w:tc>
          <w:tcPr>
            <w:tcW w:type="dxa" w:w="5616"/>
            <w:vAlign w:val="center"/>
          </w:tcPr>
          <w:p>
            <w:r>
              <w:rPr>
                <w:sz w:val="17"/>
              </w:rPr>
              <w:t>Cleaning, feature engineering, department summary and leakage audit functions</w:t>
            </w:r>
          </w:p>
        </w:tc>
      </w:tr>
      <w:tr>
        <w:tc>
          <w:tcPr>
            <w:tcW w:type="dxa" w:w="4320"/>
            <w:vAlign w:val="center"/>
          </w:tcPr>
          <w:p>
            <w:r>
              <w:rPr>
                <w:sz w:val="17"/>
              </w:rPr>
              <w:t>src/analytics.py</w:t>
            </w:r>
          </w:p>
        </w:tc>
        <w:tc>
          <w:tcPr>
            <w:tcW w:type="dxa" w:w="5616"/>
            <w:vAlign w:val="center"/>
          </w:tcPr>
          <w:p>
            <w:r>
              <w:rPr>
                <w:sz w:val="17"/>
              </w:rPr>
              <w:t>Four-model benchmark and metrics</w:t>
            </w:r>
          </w:p>
        </w:tc>
      </w:tr>
      <w:tr>
        <w:tc>
          <w:tcPr>
            <w:tcW w:type="dxa" w:w="4320"/>
            <w:vAlign w:val="center"/>
          </w:tcPr>
          <w:p>
            <w:r>
              <w:rPr>
                <w:sz w:val="17"/>
              </w:rPr>
              <w:t>scripts/build_artifacts.py</w:t>
            </w:r>
          </w:p>
        </w:tc>
        <w:tc>
          <w:tcPr>
            <w:tcW w:type="dxa" w:w="5616"/>
            <w:vAlign w:val="center"/>
          </w:tcPr>
          <w:p>
            <w:r>
              <w:rPr>
                <w:sz w:val="17"/>
              </w:rPr>
              <w:t>Rebuilds cleaned data, charts, tables and ML artifacts</w:t>
            </w:r>
          </w:p>
        </w:tc>
      </w:tr>
      <w:tr>
        <w:tc>
          <w:tcPr>
            <w:tcW w:type="dxa" w:w="4320"/>
            <w:vAlign w:val="center"/>
          </w:tcPr>
          <w:p>
            <w:r>
              <w:rPr>
                <w:sz w:val="17"/>
              </w:rPr>
              <w:t>app.py</w:t>
            </w:r>
          </w:p>
        </w:tc>
        <w:tc>
          <w:tcPr>
            <w:tcW w:type="dxa" w:w="5616"/>
            <w:vAlign w:val="center"/>
          </w:tcPr>
          <w:p>
            <w:r>
              <w:rPr>
                <w:sz w:val="17"/>
              </w:rPr>
              <w:t>Streamlit dashboard</w:t>
            </w:r>
          </w:p>
        </w:tc>
      </w:tr>
      <w:tr>
        <w:tc>
          <w:tcPr>
            <w:tcW w:type="dxa" w:w="4320"/>
            <w:vAlign w:val="center"/>
          </w:tcPr>
          <w:p>
            <w:r>
              <w:rPr>
                <w:sz w:val="17"/>
              </w:rPr>
              <w:t>notebooks/Healthcare_Operations_Intelligence.ipynb</w:t>
            </w:r>
          </w:p>
        </w:tc>
        <w:tc>
          <w:tcPr>
            <w:tcW w:type="dxa" w:w="5616"/>
            <w:vAlign w:val="center"/>
          </w:tcPr>
          <w:p>
            <w:r>
              <w:rPr>
                <w:sz w:val="17"/>
              </w:rPr>
              <w:t>End-to-end analytical notebook</w:t>
            </w:r>
          </w:p>
        </w:tc>
      </w:tr>
      <w:tr>
        <w:tc>
          <w:tcPr>
            <w:tcW w:type="dxa" w:w="4320"/>
            <w:vAlign w:val="center"/>
          </w:tcPr>
          <w:p>
            <w:r>
              <w:rPr>
                <w:sz w:val="17"/>
              </w:rPr>
              <w:t>tests/test_pipeline.py</w:t>
            </w:r>
          </w:p>
        </w:tc>
        <w:tc>
          <w:tcPr>
            <w:tcW w:type="dxa" w:w="5616"/>
            <w:vAlign w:val="center"/>
          </w:tcPr>
          <w:p>
            <w:r>
              <w:rPr>
                <w:sz w:val="17"/>
              </w:rPr>
              <w:t>Automated cleaning and feature tests</w:t>
            </w:r>
          </w:p>
        </w:tc>
      </w:tr>
      <w:tr>
        <w:tc>
          <w:tcPr>
            <w:tcW w:type="dxa" w:w="4320"/>
            <w:vAlign w:val="center"/>
          </w:tcPr>
          <w:p>
            <w:r>
              <w:rPr>
                <w:sz w:val="17"/>
              </w:rPr>
              <w:t>outputs/charts/</w:t>
            </w:r>
          </w:p>
        </w:tc>
        <w:tc>
          <w:tcPr>
            <w:tcW w:type="dxa" w:w="5616"/>
            <w:vAlign w:val="center"/>
          </w:tcPr>
          <w:p>
            <w:r>
              <w:rPr>
                <w:sz w:val="17"/>
              </w:rPr>
              <w:t>Generated PNG charts</w:t>
            </w:r>
          </w:p>
        </w:tc>
      </w:tr>
      <w:tr>
        <w:tc>
          <w:tcPr>
            <w:tcW w:type="dxa" w:w="4320"/>
            <w:vAlign w:val="center"/>
          </w:tcPr>
          <w:p>
            <w:r>
              <w:rPr>
                <w:sz w:val="17"/>
              </w:rPr>
              <w:t>artifacts/</w:t>
            </w:r>
          </w:p>
        </w:tc>
        <w:tc>
          <w:tcPr>
            <w:tcW w:type="dxa" w:w="5616"/>
            <w:vAlign w:val="center"/>
          </w:tcPr>
          <w:p>
            <w:r>
              <w:rPr>
                <w:sz w:val="17"/>
              </w:rPr>
              <w:t>JSON/CSV evidence artifacts</w:t>
            </w:r>
          </w:p>
        </w:tc>
      </w:tr>
    </w:tbl>
    <w:p>
      <w:r>
        <w:t>Windows run sequence:</w:t>
      </w:r>
    </w:p>
    <w:p>
      <w:pPr>
        <w:pStyle w:val="IntenseQuote"/>
      </w:pPr>
      <w:r>
        <w:t>python -m venv .venv</w:t>
      </w:r>
    </w:p>
    <w:p>
      <w:pPr>
        <w:pStyle w:val="IntenseQuote"/>
      </w:pPr>
      <w:r>
        <w:t>.venv\Scripts\activate</w:t>
      </w:r>
    </w:p>
    <w:p>
      <w:pPr>
        <w:pStyle w:val="IntenseQuote"/>
      </w:pPr>
      <w:r>
        <w:t>pip install -r requirements.txt</w:t>
      </w:r>
    </w:p>
    <w:p>
      <w:pPr>
        <w:pStyle w:val="IntenseQuote"/>
      </w:pPr>
      <w:r>
        <w:t>python scripts/build_artifacts.py</w:t>
      </w:r>
    </w:p>
    <w:p>
      <w:pPr>
        <w:pStyle w:val="IntenseQuote"/>
      </w:pPr>
      <w:r>
        <w:t>pytest -q</w:t>
      </w:r>
    </w:p>
    <w:p>
      <w:pPr>
        <w:pStyle w:val="IntenseQuote"/>
      </w:pPr>
      <w:r>
        <w:t>streamlit run app.py</w:t>
      </w:r>
    </w:p>
    <w:p>
      <w:pPr>
        <w:pStyle w:val="Heading1"/>
      </w:pPr>
      <w:r>
        <w:t>16. Limitations</w:t>
      </w:r>
    </w:p>
    <w:p>
      <w:pPr>
        <w:pStyle w:val="ListBullet"/>
      </w:pPr>
      <w:r>
        <w:t>The dataset is synthetic and cannot be generalized to real patient populations.</w:t>
      </w:r>
    </w:p>
    <w:p>
      <w:pPr>
        <w:pStyle w:val="ListBullet"/>
      </w:pPr>
      <w:r>
        <w:t>There is no time dimension, so longitudinal trends and per-day workload cannot be inferred.</w:t>
      </w:r>
    </w:p>
    <w:p>
      <w:pPr>
        <w:pStyle w:val="ListBullet"/>
      </w:pPr>
      <w:r>
        <w:t>The symptom-to-department relationship is unusually strong because of synthetic data generation.</w:t>
      </w:r>
    </w:p>
    <w:p>
      <w:pPr>
        <w:pStyle w:val="ListBullet"/>
      </w:pPr>
      <w:r>
        <w:t>The cleaned dataset relies on median/mode imputation for missing values.</w:t>
      </w:r>
    </w:p>
    <w:p>
      <w:pPr>
        <w:pStyle w:val="ListBullet"/>
      </w:pPr>
      <w:r>
        <w:t>The final ML task is department classification, not a clinical outcome prediction.</w:t>
      </w:r>
    </w:p>
    <w:p>
      <w:pPr>
        <w:pStyle w:val="ListBullet"/>
      </w:pPr>
      <w:r>
        <w:t>The Operations Load Index is a custom descriptive score, not a clinical risk or severity score.</w:t>
      </w:r>
    </w:p>
    <w:p>
      <w:pPr>
        <w:pStyle w:val="ListBullet"/>
      </w:pPr>
      <w:r>
        <w:t>The project does not contain diagnoses, lab results, treatment outcomes, hospital stay duration, medication history or imaging data.</w:t>
      </w:r>
    </w:p>
    <w:p>
      <w:pPr>
        <w:pStyle w:val="ListBullet"/>
      </w:pPr>
      <w:r>
        <w:t>No external clinical validation has been performed.</w:t>
      </w:r>
    </w:p>
    <w:p>
      <w:pPr>
        <w:pStyle w:val="Heading1"/>
      </w:pPr>
      <w:r>
        <w:t>17. Future Scope</w:t>
      </w:r>
    </w:p>
    <w:p>
      <w:pPr>
        <w:pStyle w:val="ListBullet"/>
      </w:pPr>
      <w:r>
        <w:t>Add timestamps and evaluate workload trends over time.</w:t>
      </w:r>
    </w:p>
    <w:p>
      <w:pPr>
        <w:pStyle w:val="ListBullet"/>
      </w:pPr>
      <w:r>
        <w:t>Add operational outcomes such as service time, length of stay or cost when ethically and appropriately available.</w:t>
      </w:r>
    </w:p>
    <w:p>
      <w:pPr>
        <w:pStyle w:val="ListBullet"/>
      </w:pPr>
      <w:r>
        <w:t>Compare additional ensemble methods under strict validation controls.</w:t>
      </w:r>
    </w:p>
    <w:p>
      <w:pPr>
        <w:pStyle w:val="ListBullet"/>
      </w:pPr>
      <w:r>
        <w:t>Add explainability methods such as permutation importance or SHAP for validated datasets.</w:t>
      </w:r>
    </w:p>
    <w:p>
      <w:pPr>
        <w:pStyle w:val="ListBullet"/>
      </w:pPr>
      <w:r>
        <w:t>Add Power BI/Tableau views for business audiences.</w:t>
      </w:r>
    </w:p>
    <w:p>
      <w:pPr>
        <w:pStyle w:val="ListBullet"/>
      </w:pPr>
      <w:r>
        <w:t>Introduce model monitoring and data-drift checks when a real deployment context exists.</w:t>
      </w:r>
    </w:p>
    <w:p>
      <w:pPr>
        <w:pStyle w:val="ListBullet"/>
      </w:pPr>
      <w:r>
        <w:t>Use appropriately governed anonymized real-world data only after privacy, security and domain review.</w:t>
      </w:r>
    </w:p>
    <w:p>
      <w:pPr>
        <w:pStyle w:val="Heading1"/>
      </w:pPr>
      <w:r>
        <w:t>18. Conclusion</w:t>
      </w:r>
    </w:p>
    <w:p>
      <w:r>
        <w:t>The enhanced Healthcare Operations Intelligence project demonstrates a complete, reproducible analytics workflow on a synthetic healthcare dataset. It preserves the baseline project's important findings - including 150,000 cleaned records, the dominance of Dermatology in volume, the prominence of Chest Pain, the 37.28% chronic-condition prevalence and the age-group patterns - while adding stronger engineering and analytical layers.</w:t>
      </w:r>
    </w:p>
    <w:p>
      <w:r>
        <w:t>The most important methodological improvement is the explicit audit of synthetic feature structure. With Cramer's V = 0.969 and symptom lookup accuracy of 95.63%, the project avoids presenting an artificially high symptom-based model as genuine predictive performance. The enhanced model benchmark then provides a more honest comparison among multiple models using features independent of the strongest synthetic shortcut.</w:t>
      </w:r>
    </w:p>
    <w:p>
      <w:r>
        <w:t>Overall, the project is positioned as a data analytics and operational intelligence demonstration - not as a medical decision system.</w:t>
      </w:r>
    </w:p>
    <w:p>
      <w:pPr>
        <w:pStyle w:val="Heading1"/>
      </w:pPr>
      <w:r>
        <w:t>Appendix A. Final Deliverables</w:t>
      </w:r>
    </w:p>
    <w:tbl>
      <w:tblPr>
        <w:tblStyle w:val="TableGrid"/>
        <w:tblW w:type="auto" w:w="0"/>
        <w:tblLook w:firstColumn="1" w:firstRow="1" w:lastColumn="0" w:lastRow="0" w:noHBand="0" w:noVBand="1" w:val="04A0"/>
      </w:tblPr>
      <w:tblGrid>
        <w:gridCol w:w="5112"/>
        <w:gridCol w:w="5112"/>
      </w:tblGrid>
      <w:tr>
        <w:trPr>
          <w:tblHeader w:val="true"/>
        </w:trPr>
        <w:tc>
          <w:tcPr>
            <w:tcW w:type="dxa" w:w="3600"/>
            <w:vAlign w:val="center"/>
            <w:shd w:fill="D9EAF7"/>
          </w:tcPr>
          <w:p>
            <w:r>
              <w:rPr>
                <w:b/>
                <w:sz w:val="17"/>
              </w:rPr>
              <w:t>Deliverable</w:t>
            </w:r>
          </w:p>
        </w:tc>
        <w:tc>
          <w:tcPr>
            <w:tcW w:type="dxa" w:w="6336"/>
            <w:vAlign w:val="center"/>
            <w:shd w:fill="D9EAF7"/>
          </w:tcPr>
          <w:p>
            <w:r>
              <w:rPr>
                <w:b/>
                <w:sz w:val="17"/>
              </w:rPr>
              <w:t>Location</w:t>
            </w:r>
          </w:p>
        </w:tc>
      </w:tr>
      <w:tr>
        <w:tc>
          <w:tcPr>
            <w:tcW w:type="dxa" w:w="3600"/>
            <w:vAlign w:val="center"/>
          </w:tcPr>
          <w:p>
            <w:r>
              <w:rPr>
                <w:sz w:val="17"/>
              </w:rPr>
              <w:t>Streamlit dashboard</w:t>
            </w:r>
          </w:p>
        </w:tc>
        <w:tc>
          <w:tcPr>
            <w:tcW w:type="dxa" w:w="6336"/>
            <w:vAlign w:val="center"/>
          </w:tcPr>
          <w:p>
            <w:r>
              <w:rPr>
                <w:sz w:val="17"/>
              </w:rPr>
              <w:t>app.py</w:t>
            </w:r>
          </w:p>
        </w:tc>
      </w:tr>
      <w:tr>
        <w:tc>
          <w:tcPr>
            <w:tcW w:type="dxa" w:w="3600"/>
            <w:vAlign w:val="center"/>
          </w:tcPr>
          <w:p>
            <w:r>
              <w:rPr>
                <w:sz w:val="17"/>
              </w:rPr>
              <w:t>Cleaned dataset</w:t>
            </w:r>
          </w:p>
        </w:tc>
        <w:tc>
          <w:tcPr>
            <w:tcW w:type="dxa" w:w="6336"/>
            <w:vAlign w:val="center"/>
          </w:tcPr>
          <w:p>
            <w:r>
              <w:rPr>
                <w:sz w:val="17"/>
              </w:rPr>
              <w:t>data/healthcare_cleaned_150000.csv</w:t>
            </w:r>
          </w:p>
        </w:tc>
      </w:tr>
      <w:tr>
        <w:tc>
          <w:tcPr>
            <w:tcW w:type="dxa" w:w="3600"/>
            <w:vAlign w:val="center"/>
          </w:tcPr>
          <w:p>
            <w:r>
              <w:rPr>
                <w:sz w:val="17"/>
              </w:rPr>
              <w:t>Enriched audit dataset</w:t>
            </w:r>
          </w:p>
        </w:tc>
        <w:tc>
          <w:tcPr>
            <w:tcW w:type="dxa" w:w="6336"/>
            <w:vAlign w:val="center"/>
          </w:tcPr>
          <w:p>
            <w:r>
              <w:rPr>
                <w:sz w:val="17"/>
              </w:rPr>
              <w:t>data/healthcare_enriched_150000.csv</w:t>
            </w:r>
          </w:p>
        </w:tc>
      </w:tr>
      <w:tr>
        <w:tc>
          <w:tcPr>
            <w:tcW w:type="dxa" w:w="3600"/>
            <w:vAlign w:val="center"/>
          </w:tcPr>
          <w:p>
            <w:r>
              <w:rPr>
                <w:sz w:val="17"/>
              </w:rPr>
              <w:t>Analysis notebook</w:t>
            </w:r>
          </w:p>
        </w:tc>
        <w:tc>
          <w:tcPr>
            <w:tcW w:type="dxa" w:w="6336"/>
            <w:vAlign w:val="center"/>
          </w:tcPr>
          <w:p>
            <w:r>
              <w:rPr>
                <w:sz w:val="17"/>
              </w:rPr>
              <w:t>notebooks/Healthcare_Operations_Intelligence.ipynb</w:t>
            </w:r>
          </w:p>
        </w:tc>
      </w:tr>
      <w:tr>
        <w:tc>
          <w:tcPr>
            <w:tcW w:type="dxa" w:w="3600"/>
            <w:vAlign w:val="center"/>
          </w:tcPr>
          <w:p>
            <w:r>
              <w:rPr>
                <w:sz w:val="17"/>
              </w:rPr>
              <w:t>Project report</w:t>
            </w:r>
          </w:p>
        </w:tc>
        <w:tc>
          <w:tcPr>
            <w:tcW w:type="dxa" w:w="6336"/>
            <w:vAlign w:val="center"/>
          </w:tcPr>
          <w:p>
            <w:r>
              <w:rPr>
                <w:sz w:val="17"/>
              </w:rPr>
              <w:t>docs/Healthcare_Operations_Intelligence_ProjectReport.docx</w:t>
            </w:r>
          </w:p>
        </w:tc>
      </w:tr>
      <w:tr>
        <w:tc>
          <w:tcPr>
            <w:tcW w:type="dxa" w:w="3600"/>
            <w:vAlign w:val="center"/>
          </w:tcPr>
          <w:p>
            <w:r>
              <w:rPr>
                <w:sz w:val="17"/>
              </w:rPr>
              <w:t>README</w:t>
            </w:r>
          </w:p>
        </w:tc>
        <w:tc>
          <w:tcPr>
            <w:tcW w:type="dxa" w:w="6336"/>
            <w:vAlign w:val="center"/>
          </w:tcPr>
          <w:p>
            <w:r>
              <w:rPr>
                <w:sz w:val="17"/>
              </w:rPr>
              <w:t>README.md</w:t>
            </w:r>
          </w:p>
        </w:tc>
      </w:tr>
      <w:tr>
        <w:tc>
          <w:tcPr>
            <w:tcW w:type="dxa" w:w="3600"/>
            <w:vAlign w:val="center"/>
          </w:tcPr>
          <w:p>
            <w:r>
              <w:rPr>
                <w:sz w:val="17"/>
              </w:rPr>
              <w:t>Requirements</w:t>
            </w:r>
          </w:p>
        </w:tc>
        <w:tc>
          <w:tcPr>
            <w:tcW w:type="dxa" w:w="6336"/>
            <w:vAlign w:val="center"/>
          </w:tcPr>
          <w:p>
            <w:r>
              <w:rPr>
                <w:sz w:val="17"/>
              </w:rPr>
              <w:t>requirements.txt</w:t>
            </w:r>
          </w:p>
        </w:tc>
      </w:tr>
      <w:tr>
        <w:tc>
          <w:tcPr>
            <w:tcW w:type="dxa" w:w="3600"/>
            <w:vAlign w:val="center"/>
          </w:tcPr>
          <w:p>
            <w:r>
              <w:rPr>
                <w:sz w:val="17"/>
              </w:rPr>
              <w:t>Test suite</w:t>
            </w:r>
          </w:p>
        </w:tc>
        <w:tc>
          <w:tcPr>
            <w:tcW w:type="dxa" w:w="6336"/>
            <w:vAlign w:val="center"/>
          </w:tcPr>
          <w:p>
            <w:r>
              <w:rPr>
                <w:sz w:val="17"/>
              </w:rPr>
              <w:t>tests/test_pipeline.py</w:t>
            </w:r>
          </w:p>
        </w:tc>
      </w:tr>
      <w:tr>
        <w:tc>
          <w:tcPr>
            <w:tcW w:type="dxa" w:w="3600"/>
            <w:vAlign w:val="center"/>
          </w:tcPr>
          <w:p>
            <w:r>
              <w:rPr>
                <w:sz w:val="17"/>
              </w:rPr>
              <w:t>Charts</w:t>
            </w:r>
          </w:p>
        </w:tc>
        <w:tc>
          <w:tcPr>
            <w:tcW w:type="dxa" w:w="6336"/>
            <w:vAlign w:val="center"/>
          </w:tcPr>
          <w:p>
            <w:r>
              <w:rPr>
                <w:sz w:val="17"/>
              </w:rPr>
              <w:t>outputs/charts/</w:t>
            </w:r>
          </w:p>
        </w:tc>
      </w:tr>
      <w:tr>
        <w:tc>
          <w:tcPr>
            <w:tcW w:type="dxa" w:w="3600"/>
            <w:vAlign w:val="center"/>
          </w:tcPr>
          <w:p>
            <w:r>
              <w:rPr>
                <w:sz w:val="17"/>
              </w:rPr>
              <w:t>Analytical artifacts</w:t>
            </w:r>
          </w:p>
        </w:tc>
        <w:tc>
          <w:tcPr>
            <w:tcW w:type="dxa" w:w="6336"/>
            <w:vAlign w:val="center"/>
          </w:tcPr>
          <w:p>
            <w:r>
              <w:rPr>
                <w:sz w:val="17"/>
              </w:rPr>
              <w:t>artifacts/</w:t>
            </w:r>
          </w:p>
        </w:tc>
      </w:tr>
    </w:tbl>
    <w:p>
      <w:pPr>
        <w:pStyle w:val="Heading1"/>
      </w:pPr>
      <w:r>
        <w:t>Appendix B. Submission checklist</w:t>
      </w:r>
    </w:p>
    <w:p>
      <w:pPr>
        <w:pStyle w:val="ListBullet"/>
      </w:pPr>
      <w:r>
        <w:t>Run build_artifacts.py successfully on a clean environment.</w:t>
      </w:r>
    </w:p>
    <w:p>
      <w:pPr>
        <w:pStyle w:val="ListBullet"/>
      </w:pPr>
      <w:r>
        <w:t>Run pytest -q and confirm all tests pass.</w:t>
      </w:r>
    </w:p>
    <w:p>
      <w:pPr>
        <w:pStyle w:val="ListBullet"/>
      </w:pPr>
      <w:r>
        <w:t>Run the Streamlit dashboard and capture final screenshots.</w:t>
      </w:r>
    </w:p>
    <w:p>
      <w:pPr>
        <w:pStyle w:val="ListBullet"/>
      </w:pPr>
      <w:r>
        <w:t>Open and review the DOCX report.</w:t>
      </w:r>
    </w:p>
    <w:p>
      <w:pPr>
        <w:pStyle w:val="ListBullet"/>
      </w:pPr>
      <w:r>
        <w:t>Commit the complete project to GitHub.</w:t>
      </w:r>
    </w:p>
    <w:p>
      <w:pPr>
        <w:pStyle w:val="ListBullet"/>
      </w:pPr>
      <w:r>
        <w:t>Paste the GitHub repository URL into the final submission form.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Healthcare Operations Intelligence | Nitin Kohli | Synthetic data analytics project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