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8E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Create a checkbox “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isActive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 xml:space="preserve">” on Opportunity. Write a trigger such that if the </w:t>
      </w:r>
      <w:proofErr w:type="gram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Closed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 xml:space="preserve"> date is having today’s date then the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isActive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 xml:space="preserve"> checkbox must be true. This scenario must work on the insert as well as on the update. Write a test class for this as well</w:t>
      </w: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Trigger:</w:t>
      </w:r>
    </w:p>
    <w:p w:rsidR="000875B2" w:rsidRDefault="000875B2">
      <w:r>
        <w:rPr>
          <w:noProof/>
          <w:lang w:eastAsia="en-IN"/>
        </w:rPr>
        <w:drawing>
          <wp:inline distT="0" distB="0" distL="0" distR="0" wp14:anchorId="629CB0E8" wp14:editId="55DD3DFA">
            <wp:extent cx="5731510" cy="18707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Trigger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Handler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:</w:t>
      </w:r>
    </w:p>
    <w:p w:rsidR="000875B2" w:rsidRDefault="000875B2">
      <w:r>
        <w:rPr>
          <w:noProof/>
          <w:lang w:eastAsia="en-IN"/>
        </w:rPr>
        <w:drawing>
          <wp:inline distT="0" distB="0" distL="0" distR="0" wp14:anchorId="205FD32D" wp14:editId="6EC07D63">
            <wp:extent cx="5731510" cy="2829627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TriggerHandler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  <w:t>_Test</w:t>
      </w:r>
      <w:proofErr w:type="spellEnd"/>
    </w:p>
    <w:p w:rsidR="000875B2" w:rsidRDefault="000875B2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9EAD3"/>
        </w:rPr>
      </w:pPr>
      <w:r>
        <w:rPr>
          <w:noProof/>
          <w:lang w:eastAsia="en-IN"/>
        </w:rPr>
        <w:drawing>
          <wp:inline distT="0" distB="0" distL="0" distR="0" wp14:anchorId="7B20E66D" wp14:editId="5D3FA1CF">
            <wp:extent cx="5731510" cy="30151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2" w:rsidRDefault="000875B2"/>
    <w:sectPr w:rsidR="0008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B2"/>
    <w:rsid w:val="000875B2"/>
    <w:rsid w:val="000A48BB"/>
    <w:rsid w:val="002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2023-07-19T10:42:00Z</dcterms:created>
  <dcterms:modified xsi:type="dcterms:W3CDTF">2023-07-19T10:46:00Z</dcterms:modified>
</cp:coreProperties>
</file>