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i-mega-trend-investment-note"/>
    <w:p>
      <w:pPr>
        <w:pStyle w:val="Heading1"/>
      </w:pPr>
      <w:r>
        <w:t xml:space="preserve">AI Mega Trend — Investment Note</w:t>
      </w:r>
    </w:p>
    <w:bookmarkStart w:id="20" w:name="enabler-proxy-strategy-indian-markets"/>
    <w:p>
      <w:pPr>
        <w:pStyle w:val="Heading3"/>
      </w:pPr>
      <w:r>
        <w:t xml:space="preserve">Enabler Proxy Strategy | Indian Markets</w:t>
      </w:r>
    </w:p>
    <w:p>
      <w:r>
        <w:pict>
          <v:rect style="width:0;height:1.5pt" o:hralign="center" o:hrstd="t" o:hr="t"/>
        </w:pict>
      </w:r>
    </w:p>
    <w:bookmarkEnd w:id="20"/>
    <w:bookmarkStart w:id="21" w:name="the-trend"/>
    <w:p>
      <w:pPr>
        <w:pStyle w:val="Heading2"/>
      </w:pPr>
      <w:r>
        <w:t xml:space="preserve">1. The Trend</w:t>
      </w:r>
    </w:p>
    <w:p>
      <w:pPr>
        <w:pStyle w:val="FirstParagraph"/>
      </w:pPr>
      <w:r>
        <w:t xml:space="preserve">AI is no longer a future bet — it’s being wired into enterprise software, data centres, and hardware</w:t>
      </w:r>
      <w:r>
        <w:t xml:space="preserve"> </w:t>
      </w:r>
      <w:r>
        <w:rPr>
          <w:i/>
          <w:iCs/>
        </w:rPr>
        <w:t xml:space="preserve">right now</w:t>
      </w:r>
      <w:r>
        <w:t xml:space="preserve">. Indian companies are sitting at a sweet spot: global tech giants are outsourcing AI workloads, and domestic demand for AI infrastructure is just getting started. The next 3–5 years will separate companies that</w:t>
      </w:r>
      <w:r>
        <w:t xml:space="preserve"> </w:t>
      </w:r>
      <w:r>
        <w:rPr>
          <w:i/>
          <w:iCs/>
        </w:rPr>
        <w:t xml:space="preserve">talk</w:t>
      </w:r>
      <w:r>
        <w:t xml:space="preserve"> </w:t>
      </w:r>
      <w:r>
        <w:t xml:space="preserve">AI from those that</w:t>
      </w:r>
      <w: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the pipes AI runs through.</w:t>
      </w:r>
    </w:p>
    <w:p>
      <w:r>
        <w:pict>
          <v:rect style="width:0;height:1.5pt" o:hralign="center" o:hrstd="t" o:hr="t"/>
        </w:pict>
      </w:r>
    </w:p>
    <w:bookmarkEnd w:id="21"/>
    <w:bookmarkStart w:id="22" w:name="the-proxy-logic"/>
    <w:p>
      <w:pPr>
        <w:pStyle w:val="Heading2"/>
      </w:pPr>
      <w:r>
        <w:t xml:space="preserve">2. The Proxy Logic</w:t>
      </w:r>
    </w:p>
    <w:p>
      <w:pPr>
        <w:pStyle w:val="FirstParagraph"/>
      </w:pPr>
      <w:r>
        <w:t xml:space="preserve">Picking which AI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wins is like betting on which gold rush miner strikes it rich. The smarter play?</w:t>
      </w:r>
      <w:r>
        <w:t xml:space="preserve"> </w:t>
      </w:r>
      <w:r>
        <w:rPr>
          <w:b/>
          <w:bCs/>
        </w:rPr>
        <w:t xml:space="preserve">Own the picks-and-shovels</w:t>
      </w:r>
      <w:r>
        <w:t xml:space="preserve"> </w:t>
      </w:r>
      <w:r>
        <w:t xml:space="preserve">— the companies supplying compute, data analytics, connectivity, and electronics manufacturing that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AI winner needs. Enablers don’t need to guess the future; they profit regardless of who comes out on top.</w:t>
      </w:r>
    </w:p>
    <w:p>
      <w:r>
        <w:pict>
          <v:rect style="width:0;height:1.5pt" o:hralign="center" o:hrstd="t" o:hr="t"/>
        </w:pict>
      </w:r>
    </w:p>
    <w:bookmarkEnd w:id="22"/>
    <w:bookmarkStart w:id="23" w:name="top-proxy-plays"/>
    <w:p>
      <w:pPr>
        <w:pStyle w:val="Heading2"/>
      </w:pPr>
      <w:r>
        <w:t xml:space="preserve">3. Top Proxy Plays</w:t>
      </w:r>
    </w:p>
    <w:p>
      <w:pPr>
        <w:pStyle w:val="FirstParagraph"/>
      </w:pPr>
      <w:r>
        <w:rPr>
          <w:i/>
          <w:iCs/>
        </w:rPr>
        <w:t xml:space="preserve">Ranked by Lynch Score among identified enablers: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2238"/>
        <w:gridCol w:w="2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Lynch Score</w:t>
            </w:r>
          </w:p>
        </w:tc>
        <w:tc>
          <w:tcPr/>
          <w:p>
            <w:pPr>
              <w:pStyle w:val="Compact"/>
            </w:pPr>
            <w:r>
              <w:t xml:space="preserve">One-Line 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LATENTVIEW</w:t>
            </w:r>
          </w:p>
        </w:tc>
        <w:tc>
          <w:tcPr/>
          <w:p>
            <w:pPr>
              <w:pStyle w:val="Compact"/>
            </w:pPr>
            <w:r>
              <w:t xml:space="preserve">6/10</w:t>
            </w:r>
          </w:p>
        </w:tc>
        <w:tc>
          <w:tcPr/>
          <w:p>
            <w:pPr>
              <w:pStyle w:val="Compact"/>
            </w:pPr>
            <w:r>
              <w:t xml:space="preserve">Pure-play data analytics firm with zero debt drag and strong promoter skin-in-the-game — every AI project needs data plumbing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PERSISTENT</w:t>
            </w:r>
          </w:p>
        </w:tc>
        <w:tc>
          <w:tcPr/>
          <w:p>
            <w:pPr>
              <w:pStyle w:val="Compact"/>
            </w:pPr>
            <w:r>
              <w:t xml:space="preserve">6/10</w:t>
            </w:r>
          </w:p>
        </w:tc>
        <w:tc>
          <w:tcPr/>
          <w:p>
            <w:pPr>
              <w:pStyle w:val="Compact"/>
            </w:pPr>
            <w:r>
              <w:t xml:space="preserve">Fast-growing tech services firm already embedding AI into client workflows; revenue momentum is the real story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HCLTECH</w:t>
            </w:r>
          </w:p>
        </w:tc>
        <w:tc>
          <w:tcPr/>
          <w:p>
            <w:pPr>
              <w:pStyle w:val="Compact"/>
            </w:pPr>
            <w:r>
              <w:t xml:space="preserve">6/10</w:t>
            </w:r>
          </w:p>
        </w:tc>
        <w:tc>
          <w:tcPr/>
          <w:p>
            <w:pPr>
              <w:pStyle w:val="Compact"/>
            </w:pPr>
            <w:r>
              <w:t xml:space="preserve">Large-cap stability meets serious AI services investment — a sleep-well-at-night way to ride enterprise AI adoption.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KAYNES</w:t>
            </w:r>
          </w:p>
        </w:tc>
        <w:tc>
          <w:tcPr/>
          <w:p>
            <w:pPr>
              <w:pStyle w:val="Compact"/>
            </w:pPr>
            <w:r>
              <w:t xml:space="preserve">6/10</w:t>
            </w:r>
          </w:p>
        </w:tc>
        <w:tc>
          <w:tcPr/>
          <w:p>
            <w:pPr>
              <w:pStyle w:val="Compact"/>
            </w:pPr>
            <w:r>
              <w:t xml:space="preserve">Electronics manufacturing backbone for AI hardware in India; clean balance sheet and strong promoter holding make it a quality compounder.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NETWEB</w:t>
            </w:r>
          </w:p>
        </w:tc>
        <w:tc>
          <w:tcPr/>
          <w:p>
            <w:pPr>
              <w:pStyle w:val="Compact"/>
            </w:pPr>
            <w:r>
              <w:t xml:space="preserve">6/10</w:t>
            </w:r>
          </w:p>
        </w:tc>
        <w:tc>
          <w:tcPr/>
          <w:p>
            <w:pPr>
              <w:pStyle w:val="Compact"/>
            </w:pPr>
            <w:r>
              <w:t xml:space="preserve">Builds high-performance computing servers — the literal machines AI models run on; fairly valued relative to peers at its growth stage.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Honourable Mention — DATAMATICS (6/10):</w:t>
      </w:r>
      <w:r>
        <w:t xml:space="preserve"> </w:t>
      </w:r>
      <w:r>
        <w:t xml:space="preserve">Solid AI-automation play with strong promoter confidence, though the high D/E ratio (12.8x) warrants a smaller position size.</w:t>
      </w:r>
    </w:p>
    <w:p>
      <w:r>
        <w:pict>
          <v:rect style="width:0;height:1.5pt" o:hralign="center" o:hrstd="t" o:hr="t"/>
        </w:pict>
      </w:r>
    </w:p>
    <w:bookmarkEnd w:id="23"/>
    <w:bookmarkStart w:id="24" w:name="watch-out-for"/>
    <w:p>
      <w:pPr>
        <w:pStyle w:val="Heading2"/>
      </w:pPr>
      <w:r>
        <w:t xml:space="preserve">4. Watch Out For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Valuation Stretch:</w:t>
      </w:r>
      <w:r>
        <w:t xml:space="preserve"> </w:t>
      </w:r>
      <w:r>
        <w:t xml:space="preserve">Several enablers trade at nose-bleed PEs (Netweb at 104x, Kaynes at 103x). Any growth disappointment — even a single weak quarter — can cut prices sharply. Don’t chase; buy on dips.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Debt Landmines:</w:t>
      </w:r>
      <w:r>
        <w:t xml:space="preserve"> </w:t>
      </w:r>
      <w:r>
        <w:t xml:space="preserve">Datamatics (D/E 12.8x), STLTech (D/E 93x), and Kaynes (D/E 18.9x) carry heavy leverage. Rising interest rates or a credit squeeze could hurt these names disproportionately — size positions accordingly.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AI Hype Cycle Risk:</w:t>
      </w:r>
      <w:r>
        <w:t xml:space="preserve"> </w:t>
      </w:r>
      <w:r>
        <w:t xml:space="preserve">Markets are pricing in</w:t>
      </w:r>
      <w:r>
        <w:t xml:space="preserve"> </w:t>
      </w:r>
      <w:r>
        <w:rPr>
          <w:i/>
          <w:iCs/>
        </w:rPr>
        <w:t xml:space="preserve">perfect execution</w:t>
      </w:r>
      <w:r>
        <w:t xml:space="preserve">. If global IT spending slows or AI adoption takes longer than expected, even good businesses can underperform for 12–18 months. This is a 3–5 year story — don’t let short-term noise shake you out.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note is for informational purposes only and does not constitute financial advice. Please do your own due diligence before investing.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2026-04-07T15:24:03Z</dcterms:created>
  <dcterms:modified xsi:type="dcterms:W3CDTF">2026-04-07T15:24:03Z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