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60143" w14:textId="77777777" w:rsidR="00583663" w:rsidRDefault="00000000">
      <w:pPr>
        <w:pStyle w:val="Heading1"/>
      </w:pPr>
      <w:bookmarkStart w:id="0" w:name="X274442808a658629022700902dac164a4da5911"/>
      <w:r>
        <w:t>India Alcoholic Beverages Sector — Investment Note</w:t>
      </w:r>
    </w:p>
    <w:p w14:paraId="5ABB1CC3" w14:textId="77777777" w:rsidR="00583663" w:rsidRDefault="00000000">
      <w:r>
        <w:pict w14:anchorId="52865E85">
          <v:rect id="_x0000_i1025" style="width:0;height:1.5pt" o:hralign="center" o:hrstd="t" o:hr="t"/>
        </w:pict>
      </w:r>
    </w:p>
    <w:p w14:paraId="574B523C" w14:textId="77777777" w:rsidR="00583663" w:rsidRDefault="00000000">
      <w:pPr>
        <w:pStyle w:val="Heading2"/>
      </w:pPr>
      <w:bookmarkStart w:id="1" w:name="the-trend"/>
      <w:r>
        <w:t>1. The Trend</w:t>
      </w:r>
    </w:p>
    <w:p w14:paraId="7F9EA920" w14:textId="77777777" w:rsidR="00583663" w:rsidRDefault="00000000">
      <w:pPr>
        <w:pStyle w:val="FirstParagraph"/>
      </w:pPr>
      <w:r>
        <w:t>India’s alcohol market is quietly undergoing a generational shift. A young, urban, aspirational consumer base is trading up from cheap country liquor to branded whisky, craft beer, and premium spirits — and this upgrade cycle is still in its early innings. With rising incomes in Tier 2 and Tier 3 cities and gradual regulatory easing across states, the structural demand story here isn’t a flash in the pan — it’s a decade-long runway.</w:t>
      </w:r>
    </w:p>
    <w:p w14:paraId="04CB2EF5" w14:textId="77777777" w:rsidR="00583663" w:rsidRDefault="00000000">
      <w:r>
        <w:pict w14:anchorId="07E4FABF">
          <v:rect id="_x0000_i1026" style="width:0;height:1.5pt" o:hralign="center" o:hrstd="t" o:hr="t"/>
        </w:pict>
      </w:r>
    </w:p>
    <w:p w14:paraId="01D52A13" w14:textId="77777777" w:rsidR="00583663" w:rsidRDefault="00000000">
      <w:pPr>
        <w:pStyle w:val="Heading2"/>
      </w:pPr>
      <w:bookmarkStart w:id="2" w:name="the-proxy-logic"/>
      <w:bookmarkEnd w:id="1"/>
      <w:r>
        <w:t>2. The Proxy Logic</w:t>
      </w:r>
    </w:p>
    <w:p w14:paraId="69BBCFCD" w14:textId="77777777" w:rsidR="00583663" w:rsidRDefault="00000000">
      <w:pPr>
        <w:pStyle w:val="FirstParagraph"/>
      </w:pPr>
      <w:r>
        <w:t xml:space="preserve">Picking the winning alcohol brand is a gamble — state excise rules can flip overnight, and valuations on the big names like UBL (PE: 92x) and Radico (PE: 73x) already price in a lot of optimism. The smarter play is to back the </w:t>
      </w:r>
      <w:r>
        <w:rPr>
          <w:b/>
          <w:bCs/>
        </w:rPr>
        <w:t>picks-and-shovels businesses</w:t>
      </w:r>
      <w:r>
        <w:t xml:space="preserve"> — the glass bottle makers, packaging companies, and ethanol technology providers that profit </w:t>
      </w:r>
      <w:r>
        <w:rPr>
          <w:i/>
          <w:iCs/>
        </w:rPr>
        <w:t>regardless</w:t>
      </w:r>
      <w:r>
        <w:t xml:space="preserve"> of which brand wins the shelf. These enablers tend to trade cheaper, grow steadily, and carry less regulatory headline risk.</w:t>
      </w:r>
    </w:p>
    <w:p w14:paraId="651FCE74" w14:textId="77777777" w:rsidR="00583663" w:rsidRDefault="00000000">
      <w:r>
        <w:pict w14:anchorId="76743079">
          <v:rect id="_x0000_i1027" style="width:0;height:1.5pt" o:hralign="center" o:hrstd="t" o:hr="t"/>
        </w:pict>
      </w:r>
    </w:p>
    <w:p w14:paraId="104026F6" w14:textId="77777777" w:rsidR="00583663" w:rsidRDefault="00000000">
      <w:pPr>
        <w:pStyle w:val="Heading2"/>
      </w:pPr>
      <w:bookmarkStart w:id="3" w:name="top-proxy-plays"/>
      <w:bookmarkEnd w:id="2"/>
      <w:r>
        <w:t>3. Top Proxy Plays</w:t>
      </w:r>
    </w:p>
    <w:tbl>
      <w:tblPr>
        <w:tblStyle w:val="Table"/>
        <w:tblW w:w="5000" w:type="pct"/>
        <w:tblLayout w:type="fixed"/>
        <w:tblLook w:val="0020" w:firstRow="1" w:lastRow="0" w:firstColumn="0" w:lastColumn="0" w:noHBand="0" w:noVBand="0"/>
      </w:tblPr>
      <w:tblGrid>
        <w:gridCol w:w="1249"/>
        <w:gridCol w:w="2081"/>
        <w:gridCol w:w="2707"/>
        <w:gridCol w:w="3539"/>
      </w:tblGrid>
      <w:tr w:rsidR="00583663" w14:paraId="19541C2F" w14:textId="77777777" w:rsidTr="00583663">
        <w:trPr>
          <w:cnfStyle w:val="100000000000" w:firstRow="1" w:lastRow="0" w:firstColumn="0" w:lastColumn="0" w:oddVBand="0" w:evenVBand="0" w:oddHBand="0" w:evenHBand="0" w:firstRowFirstColumn="0" w:firstRowLastColumn="0" w:lastRowFirstColumn="0" w:lastRowLastColumn="0"/>
          <w:tblHeader/>
        </w:trPr>
        <w:tc>
          <w:tcPr>
            <w:tcW w:w="1033" w:type="dxa"/>
          </w:tcPr>
          <w:p w14:paraId="082377A6" w14:textId="77777777" w:rsidR="00583663" w:rsidRDefault="00000000">
            <w:pPr>
              <w:pStyle w:val="Compact"/>
            </w:pPr>
            <w:r>
              <w:t>Rank</w:t>
            </w:r>
          </w:p>
        </w:tc>
        <w:tc>
          <w:tcPr>
            <w:tcW w:w="1721" w:type="dxa"/>
          </w:tcPr>
          <w:p w14:paraId="53B1CB55" w14:textId="77777777" w:rsidR="00583663" w:rsidRDefault="00000000">
            <w:pPr>
              <w:pStyle w:val="Compact"/>
            </w:pPr>
            <w:r>
              <w:t>Company</w:t>
            </w:r>
          </w:p>
        </w:tc>
        <w:tc>
          <w:tcPr>
            <w:tcW w:w="2238" w:type="dxa"/>
          </w:tcPr>
          <w:p w14:paraId="66D26646" w14:textId="77777777" w:rsidR="00583663" w:rsidRDefault="00000000">
            <w:pPr>
              <w:pStyle w:val="Compact"/>
            </w:pPr>
            <w:r>
              <w:t>Lynch Score</w:t>
            </w:r>
          </w:p>
        </w:tc>
        <w:tc>
          <w:tcPr>
            <w:tcW w:w="2926" w:type="dxa"/>
          </w:tcPr>
          <w:p w14:paraId="30AA88F0" w14:textId="77777777" w:rsidR="00583663" w:rsidRDefault="00000000">
            <w:pPr>
              <w:pStyle w:val="Compact"/>
            </w:pPr>
            <w:r>
              <w:t>One-Line Thesis</w:t>
            </w:r>
          </w:p>
        </w:tc>
      </w:tr>
      <w:tr w:rsidR="00583663" w14:paraId="522D4582" w14:textId="77777777">
        <w:tc>
          <w:tcPr>
            <w:tcW w:w="1033" w:type="dxa"/>
          </w:tcPr>
          <w:p w14:paraId="4AC9E501" w14:textId="77777777" w:rsidR="00583663" w:rsidRDefault="00000000">
            <w:pPr>
              <w:pStyle w:val="Compact"/>
            </w:pPr>
            <w:r>
              <w:t>🥇</w:t>
            </w:r>
          </w:p>
        </w:tc>
        <w:tc>
          <w:tcPr>
            <w:tcW w:w="1721" w:type="dxa"/>
          </w:tcPr>
          <w:p w14:paraId="3E633E77" w14:textId="77777777" w:rsidR="00583663" w:rsidRDefault="00000000">
            <w:pPr>
              <w:pStyle w:val="Compact"/>
            </w:pPr>
            <w:r>
              <w:rPr>
                <w:b/>
                <w:bCs/>
              </w:rPr>
              <w:t>AGI Greenpac</w:t>
            </w:r>
            <w:r>
              <w:t xml:space="preserve"> (AGI)</w:t>
            </w:r>
          </w:p>
        </w:tc>
        <w:tc>
          <w:tcPr>
            <w:tcW w:w="2238" w:type="dxa"/>
          </w:tcPr>
          <w:p w14:paraId="006032AD" w14:textId="77777777" w:rsidR="00583663" w:rsidRDefault="00000000">
            <w:pPr>
              <w:pStyle w:val="Compact"/>
            </w:pPr>
            <w:r>
              <w:t>10/10</w:t>
            </w:r>
          </w:p>
        </w:tc>
        <w:tc>
          <w:tcPr>
            <w:tcW w:w="2926" w:type="dxa"/>
          </w:tcPr>
          <w:p w14:paraId="0584C95A" w14:textId="77777777" w:rsidR="00583663" w:rsidRDefault="00000000">
            <w:pPr>
              <w:pStyle w:val="Compact"/>
            </w:pPr>
            <w:r>
              <w:t>India’s leading glass packaging company — every premium bottle of whisky or beer needs a glass container, and AGI makes them at a PE of just 10.8x with 18% earnings growth.</w:t>
            </w:r>
          </w:p>
        </w:tc>
      </w:tr>
      <w:tr w:rsidR="00583663" w14:paraId="5C1439E5" w14:textId="77777777">
        <w:tc>
          <w:tcPr>
            <w:tcW w:w="1033" w:type="dxa"/>
          </w:tcPr>
          <w:p w14:paraId="2DD05CD6" w14:textId="77777777" w:rsidR="00583663" w:rsidRDefault="00000000">
            <w:pPr>
              <w:pStyle w:val="Compact"/>
            </w:pPr>
            <w:r>
              <w:t>🥈</w:t>
            </w:r>
          </w:p>
        </w:tc>
        <w:tc>
          <w:tcPr>
            <w:tcW w:w="1721" w:type="dxa"/>
          </w:tcPr>
          <w:p w14:paraId="2D8651D0" w14:textId="77777777" w:rsidR="00583663" w:rsidRDefault="00000000">
            <w:pPr>
              <w:pStyle w:val="Compact"/>
            </w:pPr>
            <w:r>
              <w:rPr>
                <w:b/>
                <w:bCs/>
              </w:rPr>
              <w:t>Huhtamaki India</w:t>
            </w:r>
            <w:r>
              <w:t xml:space="preserve"> (HUHTAMAKI)</w:t>
            </w:r>
          </w:p>
        </w:tc>
        <w:tc>
          <w:tcPr>
            <w:tcW w:w="2238" w:type="dxa"/>
          </w:tcPr>
          <w:p w14:paraId="14FD6AC3" w14:textId="77777777" w:rsidR="00583663" w:rsidRDefault="00000000">
            <w:pPr>
              <w:pStyle w:val="Compact"/>
            </w:pPr>
            <w:r>
              <w:t>8/10</w:t>
            </w:r>
          </w:p>
        </w:tc>
        <w:tc>
          <w:tcPr>
            <w:tcW w:w="2926" w:type="dxa"/>
          </w:tcPr>
          <w:p w14:paraId="58F57848" w14:textId="77777777" w:rsidR="00583663" w:rsidRDefault="00000000">
            <w:pPr>
              <w:pStyle w:val="Compact"/>
            </w:pPr>
            <w:r>
              <w:t>Flexible packaging specialist growing earnings at 36% CAGR, nearly debt-free, and backed by a strong promoter — a quiet compounder riding the premiumisation wave.</w:t>
            </w:r>
          </w:p>
        </w:tc>
      </w:tr>
      <w:tr w:rsidR="00583663" w14:paraId="134972C7" w14:textId="77777777">
        <w:tc>
          <w:tcPr>
            <w:tcW w:w="1033" w:type="dxa"/>
          </w:tcPr>
          <w:p w14:paraId="0EFDFAEF" w14:textId="77777777" w:rsidR="00583663" w:rsidRDefault="00000000">
            <w:pPr>
              <w:pStyle w:val="Compact"/>
            </w:pPr>
            <w:r>
              <w:t>🥉</w:t>
            </w:r>
          </w:p>
        </w:tc>
        <w:tc>
          <w:tcPr>
            <w:tcW w:w="1721" w:type="dxa"/>
          </w:tcPr>
          <w:p w14:paraId="40905627" w14:textId="77777777" w:rsidR="00583663" w:rsidRDefault="00000000">
            <w:pPr>
              <w:pStyle w:val="Compact"/>
            </w:pPr>
            <w:r>
              <w:rPr>
                <w:b/>
                <w:bCs/>
              </w:rPr>
              <w:t>United Spirits</w:t>
            </w:r>
            <w:r>
              <w:t xml:space="preserve"> (UNITDSPR)</w:t>
            </w:r>
          </w:p>
        </w:tc>
        <w:tc>
          <w:tcPr>
            <w:tcW w:w="2238" w:type="dxa"/>
          </w:tcPr>
          <w:p w14:paraId="7C45D9E6" w14:textId="77777777" w:rsidR="00583663" w:rsidRDefault="00000000">
            <w:pPr>
              <w:pStyle w:val="Compact"/>
            </w:pPr>
            <w:r>
              <w:t>7/10</w:t>
            </w:r>
          </w:p>
        </w:tc>
        <w:tc>
          <w:tcPr>
            <w:tcW w:w="2926" w:type="dxa"/>
          </w:tcPr>
          <w:p w14:paraId="1EC5548D" w14:textId="77777777" w:rsidR="00583663" w:rsidRDefault="00000000">
            <w:pPr>
              <w:pStyle w:val="Compact"/>
            </w:pPr>
            <w:r>
              <w:t xml:space="preserve">Diageo’s India arm owns the best brand portfolio in the country (Johnnie Walker, McDowell’s, Royal Challenge) </w:t>
            </w:r>
            <w:r>
              <w:lastRenderedPageBreak/>
              <w:t>— the purest direct play on premiumisation with a clean balance sheet.</w:t>
            </w:r>
          </w:p>
        </w:tc>
      </w:tr>
      <w:tr w:rsidR="00583663" w14:paraId="3D137A3C" w14:textId="77777777">
        <w:tc>
          <w:tcPr>
            <w:tcW w:w="1033" w:type="dxa"/>
          </w:tcPr>
          <w:p w14:paraId="03C4EFB3" w14:textId="77777777" w:rsidR="00583663" w:rsidRDefault="00000000">
            <w:pPr>
              <w:pStyle w:val="Compact"/>
            </w:pPr>
            <w:r>
              <w:lastRenderedPageBreak/>
              <w:t>4️⃣</w:t>
            </w:r>
          </w:p>
        </w:tc>
        <w:tc>
          <w:tcPr>
            <w:tcW w:w="1721" w:type="dxa"/>
          </w:tcPr>
          <w:p w14:paraId="352C4A5E" w14:textId="77777777" w:rsidR="00583663" w:rsidRDefault="00000000">
            <w:pPr>
              <w:pStyle w:val="Compact"/>
            </w:pPr>
            <w:r>
              <w:rPr>
                <w:b/>
                <w:bCs/>
              </w:rPr>
              <w:t>Praj Industries</w:t>
            </w:r>
            <w:r>
              <w:t xml:space="preserve"> (PRAJIND)</w:t>
            </w:r>
          </w:p>
        </w:tc>
        <w:tc>
          <w:tcPr>
            <w:tcW w:w="2238" w:type="dxa"/>
          </w:tcPr>
          <w:p w14:paraId="7F2DD5A8" w14:textId="77777777" w:rsidR="00583663" w:rsidRDefault="00000000">
            <w:pPr>
              <w:pStyle w:val="Compact"/>
            </w:pPr>
            <w:r>
              <w:t>6/10</w:t>
            </w:r>
          </w:p>
        </w:tc>
        <w:tc>
          <w:tcPr>
            <w:tcW w:w="2926" w:type="dxa"/>
          </w:tcPr>
          <w:p w14:paraId="1C6A823F" w14:textId="77777777" w:rsidR="00583663" w:rsidRDefault="00000000">
            <w:pPr>
              <w:pStyle w:val="Compact"/>
            </w:pPr>
            <w:r>
              <w:t>Builds ethanol plants and distillery technology — as molasses-based spirit production scales up across India, Praj is the engineer everyone calls first.</w:t>
            </w:r>
          </w:p>
        </w:tc>
      </w:tr>
      <w:tr w:rsidR="00583663" w14:paraId="1665D64D" w14:textId="77777777">
        <w:tc>
          <w:tcPr>
            <w:tcW w:w="1033" w:type="dxa"/>
          </w:tcPr>
          <w:p w14:paraId="2F453759" w14:textId="77777777" w:rsidR="00583663" w:rsidRDefault="00000000">
            <w:pPr>
              <w:pStyle w:val="Compact"/>
            </w:pPr>
            <w:r>
              <w:t>5️⃣</w:t>
            </w:r>
          </w:p>
        </w:tc>
        <w:tc>
          <w:tcPr>
            <w:tcW w:w="1721" w:type="dxa"/>
          </w:tcPr>
          <w:p w14:paraId="0D692C39" w14:textId="77777777" w:rsidR="00583663" w:rsidRDefault="00000000">
            <w:pPr>
              <w:pStyle w:val="Compact"/>
            </w:pPr>
            <w:r>
              <w:rPr>
                <w:b/>
                <w:bCs/>
              </w:rPr>
              <w:t>Globus Spirits</w:t>
            </w:r>
            <w:r>
              <w:t xml:space="preserve"> (GLOBUSSPR)</w:t>
            </w:r>
          </w:p>
        </w:tc>
        <w:tc>
          <w:tcPr>
            <w:tcW w:w="2238" w:type="dxa"/>
          </w:tcPr>
          <w:p w14:paraId="16D246D9" w14:textId="77777777" w:rsidR="00583663" w:rsidRDefault="00000000">
            <w:pPr>
              <w:pStyle w:val="Compact"/>
            </w:pPr>
            <w:r>
              <w:t>6/10</w:t>
            </w:r>
          </w:p>
        </w:tc>
        <w:tc>
          <w:tcPr>
            <w:tcW w:w="2926" w:type="dxa"/>
          </w:tcPr>
          <w:p w14:paraId="1BF4B8E4" w14:textId="77777777" w:rsidR="00583663" w:rsidRDefault="00000000">
            <w:pPr>
              <w:pStyle w:val="Compact"/>
            </w:pPr>
            <w:r>
              <w:t>A low-debt, promoter-backed bulk spirits and consumer brand player with long runway in semi-premium segments — earnings are cyclically depressed now, making entry timing worth watching.</w:t>
            </w:r>
          </w:p>
        </w:tc>
      </w:tr>
    </w:tbl>
    <w:p w14:paraId="5BDB08C9" w14:textId="77777777" w:rsidR="00583663" w:rsidRDefault="00000000">
      <w:r>
        <w:pict w14:anchorId="62748FE9">
          <v:rect id="_x0000_i1028" style="width:0;height:1.5pt" o:hralign="center" o:hrstd="t" o:hr="t"/>
        </w:pict>
      </w:r>
    </w:p>
    <w:p w14:paraId="7CECE56D" w14:textId="77777777" w:rsidR="00583663" w:rsidRDefault="00000000">
      <w:pPr>
        <w:pStyle w:val="Heading2"/>
      </w:pPr>
      <w:bookmarkStart w:id="4" w:name="watch-out-for"/>
      <w:bookmarkEnd w:id="3"/>
      <w:r>
        <w:t>4. Watch Out For</w:t>
      </w:r>
    </w:p>
    <w:p w14:paraId="272A81B5" w14:textId="77777777" w:rsidR="00583663" w:rsidRDefault="00000000">
      <w:pPr>
        <w:numPr>
          <w:ilvl w:val="0"/>
          <w:numId w:val="2"/>
        </w:numPr>
      </w:pPr>
      <w:r>
        <w:rPr>
          <w:b/>
          <w:bCs/>
        </w:rPr>
        <w:t>State Excise Policy Risk</w:t>
      </w:r>
      <w:r>
        <w:t xml:space="preserve"> — Alcohol regulation in India is a state subject, and policy whiplash (price caps, distribution changes, prohibition threats) can hit revenues overnight with zero warning. This is the single biggest wildcard in the sector.</w:t>
      </w:r>
    </w:p>
    <w:p w14:paraId="24BEC104" w14:textId="77777777" w:rsidR="00583663" w:rsidRDefault="00000000">
      <w:pPr>
        <w:numPr>
          <w:ilvl w:val="0"/>
          <w:numId w:val="2"/>
        </w:numPr>
      </w:pPr>
      <w:r>
        <w:rPr>
          <w:b/>
          <w:bCs/>
        </w:rPr>
        <w:t>Valuation Stretch on Direct Plays</w:t>
      </w:r>
      <w:r>
        <w:t xml:space="preserve"> — The obvious names (UBL at 92x PE, Radico at 73x PE) leave very little room for error. Any earnings disappointment or volume slowdown could mean painful corrections even if the long-term story stays intact.</w:t>
      </w:r>
    </w:p>
    <w:p w14:paraId="44FF7C23" w14:textId="77777777" w:rsidR="00583663" w:rsidRDefault="00000000">
      <w:pPr>
        <w:numPr>
          <w:ilvl w:val="0"/>
          <w:numId w:val="2"/>
        </w:numPr>
      </w:pPr>
      <w:r>
        <w:rPr>
          <w:b/>
          <w:bCs/>
        </w:rPr>
        <w:t>Input Cost Volatility</w:t>
      </w:r>
      <w:r>
        <w:t xml:space="preserve"> — Glass, molasses, grain, and packaging materials are all commodity-linked. A spike in input costs — as seen in recent years — can rapidly squeeze margins, especially for mid-sized players without pricing power.</w:t>
      </w:r>
    </w:p>
    <w:p w14:paraId="184A21B6" w14:textId="77777777" w:rsidR="00583663" w:rsidRDefault="00000000">
      <w:r>
        <w:pict w14:anchorId="2CC1C486">
          <v:rect id="_x0000_i1029" style="width:0;height:1.5pt" o:hralign="center" o:hrstd="t" o:hr="t"/>
        </w:pict>
      </w:r>
    </w:p>
    <w:p w14:paraId="6EFBF22B" w14:textId="77777777" w:rsidR="00583663" w:rsidRDefault="00000000">
      <w:pPr>
        <w:pStyle w:val="FirstParagraph"/>
        <w:rPr>
          <w:i/>
          <w:iCs/>
        </w:rPr>
      </w:pPr>
      <w:r>
        <w:rPr>
          <w:i/>
          <w:iCs/>
        </w:rPr>
        <w:t>This note is for informational purposes only and does not constitute financial advice. Please do your own due diligence before investing.</w:t>
      </w:r>
    </w:p>
    <w:p w14:paraId="09EB78F6" w14:textId="77777777" w:rsidR="00111173" w:rsidRDefault="00111173" w:rsidP="00111173">
      <w:pPr>
        <w:pStyle w:val="BodyText"/>
      </w:pPr>
    </w:p>
    <w:p w14:paraId="7FCB865D" w14:textId="5DBEDA22" w:rsidR="00111173" w:rsidRPr="00111173" w:rsidRDefault="00111173" w:rsidP="00111173">
      <w:pPr>
        <w:pStyle w:val="BodyText"/>
      </w:pPr>
      <w:r w:rsidRPr="00111173">
        <w:lastRenderedPageBreak/>
        <w:drawing>
          <wp:inline distT="0" distB="0" distL="0" distR="0" wp14:anchorId="7DC32456" wp14:editId="3308C2BE">
            <wp:extent cx="5617552" cy="2105025"/>
            <wp:effectExtent l="0" t="0" r="0" b="0"/>
            <wp:docPr id="1614156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156967" name=""/>
                    <pic:cNvPicPr/>
                  </pic:nvPicPr>
                  <pic:blipFill>
                    <a:blip r:embed="rId5"/>
                    <a:stretch>
                      <a:fillRect/>
                    </a:stretch>
                  </pic:blipFill>
                  <pic:spPr>
                    <a:xfrm>
                      <a:off x="0" y="0"/>
                      <a:ext cx="5624173" cy="2107506"/>
                    </a:xfrm>
                    <a:prstGeom prst="rect">
                      <a:avLst/>
                    </a:prstGeom>
                  </pic:spPr>
                </pic:pic>
              </a:graphicData>
            </a:graphic>
          </wp:inline>
        </w:drawing>
      </w:r>
      <w:bookmarkEnd w:id="0"/>
      <w:bookmarkEnd w:id="4"/>
    </w:p>
    <w:sectPr w:rsidR="00111173" w:rsidRPr="0011117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3E2E22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3A051B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469517505">
    <w:abstractNumId w:val="0"/>
  </w:num>
  <w:num w:numId="2" w16cid:durableId="15237124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83663"/>
    <w:rsid w:val="00111173"/>
    <w:rsid w:val="00583663"/>
    <w:rsid w:val="008A20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06123"/>
  <w15:docId w15:val="{AE502E01-76E6-415D-B930-1F498C2D8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445</Words>
  <Characters>2543</Characters>
  <Application>Microsoft Office Word</Application>
  <DocSecurity>0</DocSecurity>
  <Lines>21</Lines>
  <Paragraphs>5</Paragraphs>
  <ScaleCrop>false</ScaleCrop>
  <Company/>
  <LinksUpToDate>false</LinksUpToDate>
  <CharactersWithSpaces>2983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Nitin UDasin</cp:lastModifiedBy>
  <cp:revision>2</cp:revision>
  <dcterms:created xsi:type="dcterms:W3CDTF">2026-04-15T16:27:00Z</dcterms:created>
  <dcterms:modified xsi:type="dcterms:W3CDTF">2026-04-15T16:31:00Z</dcterms:modified>
</cp:coreProperties>
</file>