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0F82" w14:textId="56AA908C" w:rsidR="006A522D" w:rsidRDefault="00000000">
      <w:pPr>
        <w:pStyle w:val="Heading1"/>
      </w:pPr>
      <w:bookmarkStart w:id="0" w:name="healthcare-mega-trend-investment-note"/>
      <w:r>
        <w:t>Healthcare Mega-Trend: Investment Note</w:t>
      </w:r>
    </w:p>
    <w:p w14:paraId="44E6DB79" w14:textId="77777777" w:rsidR="006A522D" w:rsidRDefault="00000000">
      <w:r>
        <w:pict w14:anchorId="66BFB5E1">
          <v:rect id="_x0000_i1025" style="width:0;height:1.5pt" o:hralign="center" o:hrstd="t" o:hr="t"/>
        </w:pict>
      </w:r>
    </w:p>
    <w:p w14:paraId="677E845A" w14:textId="77777777" w:rsidR="006A522D" w:rsidRDefault="00000000">
      <w:pPr>
        <w:pStyle w:val="Heading2"/>
      </w:pPr>
      <w:bookmarkStart w:id="1" w:name="the-trend"/>
      <w:r>
        <w:t>1. The Trend</w:t>
      </w:r>
    </w:p>
    <w:p w14:paraId="7BA850E6" w14:textId="77777777" w:rsidR="006A522D" w:rsidRDefault="00000000">
      <w:pPr>
        <w:pStyle w:val="FirstParagraph"/>
      </w:pPr>
      <w:r>
        <w:t>India’s healthcare sector is at an inflection point — rising incomes, an ageing population, and post-COVID awareness are pushing millions of first-time patients into hospitals, diagnostic labs, and pharmacies. Healthcare spending as a share of GDP is still well below global peers, meaning the runway for growth is long and structural, not cyclical. This isn’t a short-term trade; it’s a decade-long story.</w:t>
      </w:r>
    </w:p>
    <w:p w14:paraId="03349074" w14:textId="77777777" w:rsidR="006A522D" w:rsidRDefault="00000000">
      <w:r>
        <w:pict w14:anchorId="63B161F0">
          <v:rect id="_x0000_i1026" style="width:0;height:1.5pt" o:hralign="center" o:hrstd="t" o:hr="t"/>
        </w:pict>
      </w:r>
    </w:p>
    <w:p w14:paraId="1296603A" w14:textId="77777777" w:rsidR="006A522D" w:rsidRDefault="00000000">
      <w:pPr>
        <w:pStyle w:val="Heading2"/>
      </w:pPr>
      <w:bookmarkStart w:id="2" w:name="the-proxy-logic"/>
      <w:bookmarkEnd w:id="1"/>
      <w:r>
        <w:t>2. The Proxy Logic</w:t>
      </w:r>
    </w:p>
    <w:p w14:paraId="2DF63963" w14:textId="77777777" w:rsidR="006A522D" w:rsidRDefault="00000000">
      <w:pPr>
        <w:pStyle w:val="FirstParagraph"/>
      </w:pPr>
      <w:r>
        <w:t xml:space="preserve">Picking </w:t>
      </w:r>
      <w:r>
        <w:rPr>
          <w:i/>
          <w:iCs/>
        </w:rPr>
        <w:t>which</w:t>
      </w:r>
      <w:r>
        <w:t xml:space="preserve"> hospital chain or pharma brand wins is hard — competition is fierce, pricing is regulated, and drug pipelines can disappoint overnight. The smarter play is to back the </w:t>
      </w:r>
      <w:r>
        <w:rPr>
          <w:b/>
          <w:bCs/>
        </w:rPr>
        <w:t>enablers</w:t>
      </w:r>
      <w:r>
        <w:t xml:space="preserve"> — the companies that supply the tools, tubes, tests, and infrastructure that </w:t>
      </w:r>
      <w:r>
        <w:rPr>
          <w:i/>
          <w:iCs/>
        </w:rPr>
        <w:t>every</w:t>
      </w:r>
      <w:r>
        <w:t xml:space="preserve"> healthcare provider needs, regardless of who wins the market-share battle. Think of it like the Gold Rush: sell the shovels, not the gold.</w:t>
      </w:r>
    </w:p>
    <w:p w14:paraId="5A044ACD" w14:textId="77777777" w:rsidR="006A522D" w:rsidRDefault="00000000">
      <w:r>
        <w:pict w14:anchorId="27070EED">
          <v:rect id="_x0000_i1027" style="width:0;height:1.5pt" o:hralign="center" o:hrstd="t" o:hr="t"/>
        </w:pict>
      </w:r>
    </w:p>
    <w:p w14:paraId="71B69162" w14:textId="77777777" w:rsidR="006A522D" w:rsidRDefault="00000000">
      <w:pPr>
        <w:pStyle w:val="Heading2"/>
      </w:pPr>
      <w:bookmarkStart w:id="3" w:name="top-proxy-plays"/>
      <w:bookmarkEnd w:id="2"/>
      <w:r>
        <w:t>3. Top Proxy Plays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9"/>
        <w:gridCol w:w="2081"/>
        <w:gridCol w:w="2707"/>
        <w:gridCol w:w="3539"/>
      </w:tblGrid>
      <w:tr w:rsidR="006A522D" w14:paraId="40A66B2C" w14:textId="77777777" w:rsidTr="006A5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03F4408F" w14:textId="77777777" w:rsidR="006A522D" w:rsidRDefault="00000000">
            <w:pPr>
              <w:pStyle w:val="Compact"/>
            </w:pPr>
            <w:r>
              <w:t>Rank</w:t>
            </w:r>
          </w:p>
        </w:tc>
        <w:tc>
          <w:tcPr>
            <w:tcW w:w="1721" w:type="dxa"/>
          </w:tcPr>
          <w:p w14:paraId="4C5D6D6A" w14:textId="77777777" w:rsidR="006A522D" w:rsidRDefault="00000000">
            <w:pPr>
              <w:pStyle w:val="Compact"/>
            </w:pPr>
            <w:r>
              <w:t>Company</w:t>
            </w:r>
          </w:p>
        </w:tc>
        <w:tc>
          <w:tcPr>
            <w:tcW w:w="2238" w:type="dxa"/>
          </w:tcPr>
          <w:p w14:paraId="373B4F94" w14:textId="77777777" w:rsidR="006A522D" w:rsidRDefault="00000000">
            <w:pPr>
              <w:pStyle w:val="Compact"/>
            </w:pPr>
            <w:r>
              <w:t>Lynch Score</w:t>
            </w:r>
          </w:p>
        </w:tc>
        <w:tc>
          <w:tcPr>
            <w:tcW w:w="2926" w:type="dxa"/>
          </w:tcPr>
          <w:p w14:paraId="7968B2F5" w14:textId="77777777" w:rsidR="006A522D" w:rsidRDefault="00000000">
            <w:pPr>
              <w:pStyle w:val="Compact"/>
            </w:pPr>
            <w:r>
              <w:t>One-Line Thesis</w:t>
            </w:r>
          </w:p>
        </w:tc>
      </w:tr>
      <w:tr w:rsidR="006A522D" w14:paraId="0AEDA1A2" w14:textId="77777777">
        <w:tc>
          <w:tcPr>
            <w:tcW w:w="1033" w:type="dxa"/>
          </w:tcPr>
          <w:p w14:paraId="4B6A4EBA" w14:textId="77777777" w:rsidR="006A522D" w:rsidRDefault="00000000">
            <w:pPr>
              <w:pStyle w:val="Compact"/>
            </w:pPr>
            <w:r>
              <w:t>🥇</w:t>
            </w:r>
          </w:p>
        </w:tc>
        <w:tc>
          <w:tcPr>
            <w:tcW w:w="1721" w:type="dxa"/>
          </w:tcPr>
          <w:p w14:paraId="485B03F2" w14:textId="77777777" w:rsidR="006A522D" w:rsidRDefault="00000000">
            <w:pPr>
              <w:pStyle w:val="Compact"/>
            </w:pPr>
            <w:r>
              <w:rPr>
                <w:b/>
                <w:bCs/>
              </w:rPr>
              <w:t>POLYMED</w:t>
            </w:r>
            <w:r>
              <w:t xml:space="preserve"> </w:t>
            </w:r>
            <w:r>
              <w:rPr>
                <w:i/>
                <w:iCs/>
              </w:rPr>
              <w:t>(Poly Medicure)</w:t>
            </w:r>
          </w:p>
        </w:tc>
        <w:tc>
          <w:tcPr>
            <w:tcW w:w="2238" w:type="dxa"/>
          </w:tcPr>
          <w:p w14:paraId="66B3349A" w14:textId="77777777" w:rsidR="006A522D" w:rsidRDefault="00000000">
            <w:pPr>
              <w:pStyle w:val="Compact"/>
            </w:pPr>
            <w:r>
              <w:t>8/10 STRONG</w:t>
            </w:r>
          </w:p>
        </w:tc>
        <w:tc>
          <w:tcPr>
            <w:tcW w:w="2926" w:type="dxa"/>
          </w:tcPr>
          <w:p w14:paraId="03F5E20C" w14:textId="77777777" w:rsidR="006A522D" w:rsidRDefault="00000000">
            <w:pPr>
              <w:pStyle w:val="Compact"/>
            </w:pPr>
            <w:r>
              <w:t>Makes the IV sets, catheters, and disposables every hospital buys daily — clean balance sheet (D/E: 0.08), 31% earnings growth, and a global export kicker.</w:t>
            </w:r>
          </w:p>
        </w:tc>
      </w:tr>
      <w:tr w:rsidR="006A522D" w14:paraId="474BB664" w14:textId="77777777">
        <w:tc>
          <w:tcPr>
            <w:tcW w:w="1033" w:type="dxa"/>
          </w:tcPr>
          <w:p w14:paraId="595E6AF7" w14:textId="77777777" w:rsidR="006A522D" w:rsidRDefault="00000000">
            <w:pPr>
              <w:pStyle w:val="Compact"/>
            </w:pPr>
            <w:r>
              <w:t>🥈</w:t>
            </w:r>
          </w:p>
        </w:tc>
        <w:tc>
          <w:tcPr>
            <w:tcW w:w="1721" w:type="dxa"/>
          </w:tcPr>
          <w:p w14:paraId="163A5887" w14:textId="77777777" w:rsidR="006A522D" w:rsidRDefault="00000000">
            <w:pPr>
              <w:pStyle w:val="Compact"/>
            </w:pPr>
            <w:r>
              <w:rPr>
                <w:b/>
                <w:bCs/>
              </w:rPr>
              <w:t>LALPATHLAB</w:t>
            </w:r>
            <w:r>
              <w:t xml:space="preserve"> </w:t>
            </w:r>
            <w:r>
              <w:rPr>
                <w:i/>
                <w:iCs/>
              </w:rPr>
              <w:t>(Dr. Lal PathLabs)</w:t>
            </w:r>
          </w:p>
        </w:tc>
        <w:tc>
          <w:tcPr>
            <w:tcW w:w="2238" w:type="dxa"/>
          </w:tcPr>
          <w:p w14:paraId="576301DE" w14:textId="77777777" w:rsidR="006A522D" w:rsidRDefault="00000000">
            <w:pPr>
              <w:pStyle w:val="Compact"/>
            </w:pPr>
            <w:r>
              <w:t>7/10 STRONG</w:t>
            </w:r>
          </w:p>
        </w:tc>
        <w:tc>
          <w:tcPr>
            <w:tcW w:w="2926" w:type="dxa"/>
          </w:tcPr>
          <w:p w14:paraId="0C4B7ECA" w14:textId="77777777" w:rsidR="006A522D" w:rsidRDefault="00000000">
            <w:pPr>
              <w:pStyle w:val="Compact"/>
            </w:pPr>
            <w:r>
              <w:t>India’s most trusted diagnostics brand with zero meaningful debt, steady 13% earnings growth, and a network that gets stronger as preventive health testing becomes routine.</w:t>
            </w:r>
          </w:p>
        </w:tc>
      </w:tr>
      <w:tr w:rsidR="006A522D" w14:paraId="1F09AE40" w14:textId="77777777">
        <w:tc>
          <w:tcPr>
            <w:tcW w:w="1033" w:type="dxa"/>
          </w:tcPr>
          <w:p w14:paraId="3EA0FE35" w14:textId="77777777" w:rsidR="006A522D" w:rsidRDefault="00000000">
            <w:pPr>
              <w:pStyle w:val="Compact"/>
            </w:pPr>
            <w:r>
              <w:t>🥉</w:t>
            </w:r>
          </w:p>
        </w:tc>
        <w:tc>
          <w:tcPr>
            <w:tcW w:w="1721" w:type="dxa"/>
          </w:tcPr>
          <w:p w14:paraId="414515F7" w14:textId="77777777" w:rsidR="006A522D" w:rsidRDefault="00000000">
            <w:pPr>
              <w:pStyle w:val="Compact"/>
            </w:pPr>
            <w:r>
              <w:rPr>
                <w:b/>
                <w:bCs/>
              </w:rPr>
              <w:t>TORNTPHARM</w:t>
            </w:r>
            <w:r>
              <w:t xml:space="preserve"> </w:t>
            </w:r>
            <w:r>
              <w:rPr>
                <w:i/>
                <w:iCs/>
              </w:rPr>
              <w:t>(Torrent Pharma)</w:t>
            </w:r>
          </w:p>
        </w:tc>
        <w:tc>
          <w:tcPr>
            <w:tcW w:w="2238" w:type="dxa"/>
          </w:tcPr>
          <w:p w14:paraId="12686EFD" w14:textId="77777777" w:rsidR="006A522D" w:rsidRDefault="00000000">
            <w:pPr>
              <w:pStyle w:val="Compact"/>
            </w:pPr>
            <w:r>
              <w:t>7/10 STRONG</w:t>
            </w:r>
          </w:p>
        </w:tc>
        <w:tc>
          <w:tcPr>
            <w:tcW w:w="2926" w:type="dxa"/>
          </w:tcPr>
          <w:p w14:paraId="4B76939C" w14:textId="77777777" w:rsidR="006A522D" w:rsidRDefault="00000000">
            <w:pPr>
              <w:pStyle w:val="Compact"/>
            </w:pPr>
            <w:r>
              <w:t>Quietly compounding at 24% earnings growth with a focused branded-generics model, strong promoter skin-in-the-game (68%), and manageable debt.</w:t>
            </w:r>
          </w:p>
        </w:tc>
      </w:tr>
      <w:tr w:rsidR="006A522D" w14:paraId="49D51D74" w14:textId="77777777">
        <w:tc>
          <w:tcPr>
            <w:tcW w:w="1033" w:type="dxa"/>
          </w:tcPr>
          <w:p w14:paraId="516E9A47" w14:textId="77777777" w:rsidR="006A522D" w:rsidRDefault="00000000">
            <w:pPr>
              <w:pStyle w:val="Compact"/>
            </w:pPr>
            <w:r>
              <w:lastRenderedPageBreak/>
              <w:t>4️⃣</w:t>
            </w:r>
          </w:p>
        </w:tc>
        <w:tc>
          <w:tcPr>
            <w:tcW w:w="1721" w:type="dxa"/>
          </w:tcPr>
          <w:p w14:paraId="1B216525" w14:textId="77777777" w:rsidR="006A522D" w:rsidRDefault="00000000">
            <w:pPr>
              <w:pStyle w:val="Compact"/>
            </w:pPr>
            <w:r>
              <w:rPr>
                <w:b/>
                <w:bCs/>
              </w:rPr>
              <w:t>ZYDUSLIFE</w:t>
            </w:r>
            <w:r>
              <w:t xml:space="preserve"> </w:t>
            </w:r>
            <w:r>
              <w:rPr>
                <w:i/>
                <w:iCs/>
              </w:rPr>
              <w:t>(Zydus Lifesciences)</w:t>
            </w:r>
          </w:p>
        </w:tc>
        <w:tc>
          <w:tcPr>
            <w:tcW w:w="2238" w:type="dxa"/>
          </w:tcPr>
          <w:p w14:paraId="6B31FDA0" w14:textId="77777777" w:rsidR="006A522D" w:rsidRDefault="00000000">
            <w:pPr>
              <w:pStyle w:val="Compact"/>
            </w:pPr>
            <w:r>
              <w:t>7/10 STRONG</w:t>
            </w:r>
          </w:p>
        </w:tc>
        <w:tc>
          <w:tcPr>
            <w:tcW w:w="2926" w:type="dxa"/>
          </w:tcPr>
          <w:p w14:paraId="77DBE460" w14:textId="77777777" w:rsidR="006A522D" w:rsidRDefault="00000000">
            <w:pPr>
              <w:pStyle w:val="Compact"/>
            </w:pPr>
            <w:r>
              <w:t>Explosive 74% earnings CAGR, the lowest PE in the top tier at 18.7x, and promoters holding 75% — rare combination of value and growth in pharma.</w:t>
            </w:r>
          </w:p>
        </w:tc>
      </w:tr>
      <w:tr w:rsidR="006A522D" w14:paraId="1DCE17E4" w14:textId="77777777">
        <w:tc>
          <w:tcPr>
            <w:tcW w:w="1033" w:type="dxa"/>
          </w:tcPr>
          <w:p w14:paraId="0FD7B83F" w14:textId="77777777" w:rsidR="006A522D" w:rsidRDefault="00000000">
            <w:pPr>
              <w:pStyle w:val="Compact"/>
            </w:pPr>
            <w:r>
              <w:t>5️⃣</w:t>
            </w:r>
          </w:p>
        </w:tc>
        <w:tc>
          <w:tcPr>
            <w:tcW w:w="1721" w:type="dxa"/>
          </w:tcPr>
          <w:p w14:paraId="61C3F8D7" w14:textId="77777777" w:rsidR="006A522D" w:rsidRDefault="00000000">
            <w:pPr>
              <w:pStyle w:val="Compact"/>
            </w:pPr>
            <w:r>
              <w:rPr>
                <w:b/>
                <w:bCs/>
              </w:rPr>
              <w:t>APOLLOHOSP</w:t>
            </w:r>
            <w:r>
              <w:t xml:space="preserve"> </w:t>
            </w:r>
            <w:r>
              <w:rPr>
                <w:i/>
                <w:iCs/>
              </w:rPr>
              <w:t>(Apollo Hospitals)</w:t>
            </w:r>
          </w:p>
        </w:tc>
        <w:tc>
          <w:tcPr>
            <w:tcW w:w="2238" w:type="dxa"/>
          </w:tcPr>
          <w:p w14:paraId="362E3389" w14:textId="77777777" w:rsidR="006A522D" w:rsidRDefault="00000000">
            <w:pPr>
              <w:pStyle w:val="Compact"/>
            </w:pPr>
            <w:r>
              <w:t>6/10 MODERATE</w:t>
            </w:r>
          </w:p>
        </w:tc>
        <w:tc>
          <w:tcPr>
            <w:tcW w:w="2926" w:type="dxa"/>
          </w:tcPr>
          <w:p w14:paraId="257BEA09" w14:textId="77777777" w:rsidR="006A522D" w:rsidRDefault="00000000">
            <w:pPr>
              <w:pStyle w:val="Compact"/>
            </w:pPr>
            <w:r>
              <w:t>The gold-standard hospital brand in India with 24% earnings growth; its digital health platform (Apollo 24/7) is an underappreciated long-term option.</w:t>
            </w:r>
          </w:p>
        </w:tc>
      </w:tr>
    </w:tbl>
    <w:p w14:paraId="06773749" w14:textId="77777777" w:rsidR="006A522D" w:rsidRDefault="00000000">
      <w:r>
        <w:pict w14:anchorId="54D472A9">
          <v:rect id="_x0000_i1028" style="width:0;height:1.5pt" o:hralign="center" o:hrstd="t" o:hr="t"/>
        </w:pict>
      </w:r>
    </w:p>
    <w:p w14:paraId="26909A80" w14:textId="77777777" w:rsidR="006A522D" w:rsidRDefault="00000000">
      <w:pPr>
        <w:pStyle w:val="Heading2"/>
      </w:pPr>
      <w:bookmarkStart w:id="4" w:name="watch-out-for"/>
      <w:bookmarkEnd w:id="3"/>
      <w:r>
        <w:t>4. Watch Out For</w:t>
      </w:r>
    </w:p>
    <w:p w14:paraId="1483F612" w14:textId="77777777" w:rsidR="006A522D" w:rsidRDefault="00000000">
      <w:pPr>
        <w:pStyle w:val="FirstParagraph"/>
      </w:pPr>
      <w:r>
        <w:t xml:space="preserve">⚠️ </w:t>
      </w:r>
      <w:r>
        <w:rPr>
          <w:b/>
          <w:bCs/>
        </w:rPr>
        <w:t>Valuation Stretch</w:t>
      </w:r>
      <w:r>
        <w:t xml:space="preserve"> — Several names here trade at 40–90x earnings. Good businesses at bad prices still make poor investments. Wait for dips or buy in tranches rather than going all-in at once.</w:t>
      </w:r>
    </w:p>
    <w:p w14:paraId="2583D4A7" w14:textId="77777777" w:rsidR="006A522D" w:rsidRDefault="00000000">
      <w:pPr>
        <w:pStyle w:val="BodyText"/>
      </w:pPr>
      <w:r>
        <w:t xml:space="preserve">⚠️ </w:t>
      </w:r>
      <w:r>
        <w:rPr>
          <w:b/>
          <w:bCs/>
        </w:rPr>
        <w:t>Earnings Reversals in Diagnostics</w:t>
      </w:r>
      <w:r>
        <w:t xml:space="preserve"> — THYROCARE and METROPOLIS have seen earnings </w:t>
      </w:r>
      <w:r>
        <w:rPr>
          <w:i/>
          <w:iCs/>
        </w:rPr>
        <w:t>shrink</w:t>
      </w:r>
      <w:r>
        <w:t xml:space="preserve"> 14–15% over three years as post-COVID testing volumes normalised. Don’t assume past peak revenues will return quickly.</w:t>
      </w:r>
    </w:p>
    <w:p w14:paraId="4D81C26A" w14:textId="0922BB8E" w:rsidR="006A522D" w:rsidRDefault="00000000">
      <w:pPr>
        <w:pStyle w:val="BodyText"/>
      </w:pPr>
      <w:r>
        <w:t xml:space="preserve">⚠️ </w:t>
      </w:r>
      <w:r>
        <w:rPr>
          <w:b/>
          <w:bCs/>
        </w:rPr>
        <w:t>Regulatory &amp; Pricing Risk</w:t>
      </w:r>
      <w:r>
        <w:t xml:space="preserve"> — The government periodically caps drug prices and hospital procedure costs. A single policy announcement can compress margins overnight, especially for pharma companies with high domestic exposure.</w:t>
      </w:r>
    </w:p>
    <w:p w14:paraId="060C3BBF" w14:textId="6E6932D5" w:rsidR="006A522D" w:rsidRDefault="00000000">
      <w:r>
        <w:pict w14:anchorId="753FB20E">
          <v:rect id="_x0000_i1029" style="width:0;height:1.5pt" o:hralign="center" o:hrstd="t" o:hr="t"/>
        </w:pict>
      </w:r>
    </w:p>
    <w:p w14:paraId="1E5CBCB2" w14:textId="3C196100" w:rsidR="006A522D" w:rsidRDefault="008B5D7A">
      <w:pPr>
        <w:pStyle w:val="FirstParagraph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2EF5D6" wp14:editId="18CAEE01">
            <wp:simplePos x="0" y="0"/>
            <wp:positionH relativeFrom="column">
              <wp:posOffset>-356713</wp:posOffset>
            </wp:positionH>
            <wp:positionV relativeFrom="paragraph">
              <wp:posOffset>593132</wp:posOffset>
            </wp:positionV>
            <wp:extent cx="6658610" cy="2778760"/>
            <wp:effectExtent l="0" t="0" r="0" b="0"/>
            <wp:wrapSquare wrapText="bothSides"/>
            <wp:docPr id="30641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</w:rPr>
        <w:t>This note is for informational purposes only and does not constitute financial advice. Please do your own due diligence before investing.</w:t>
      </w:r>
      <w:r w:rsidRPr="008B5D7A">
        <w:rPr>
          <w:noProof/>
        </w:rPr>
        <w:t xml:space="preserve"> </w:t>
      </w:r>
      <w:bookmarkEnd w:id="0"/>
      <w:bookmarkEnd w:id="4"/>
    </w:p>
    <w:sectPr w:rsidR="006A52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3EB6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75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22D"/>
    <w:rsid w:val="006A522D"/>
    <w:rsid w:val="008B5D7A"/>
    <w:rsid w:val="00C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18C8"/>
  <w15:docId w15:val="{3A6F46D0-6EF2-4A42-ADB9-FEBE258C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Nitin UDasin</cp:lastModifiedBy>
  <cp:revision>2</cp:revision>
  <dcterms:created xsi:type="dcterms:W3CDTF">2026-04-07T18:18:00Z</dcterms:created>
  <dcterms:modified xsi:type="dcterms:W3CDTF">2026-04-07T18:25:00Z</dcterms:modified>
</cp:coreProperties>
</file>