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52"/>
        </w:rPr>
        <w:t>PII Redaction Tool</w:t>
      </w:r>
    </w:p>
    <w:p>
      <w:pPr>
        <w:spacing w:before="0" w:after="360"/>
      </w:pPr>
      <w:r>
        <w:rPr>
          <w:rFonts w:ascii="Calibri" w:hAnsi="Calibri"/>
          <w:color w:val="5C6B73"/>
          <w:sz w:val="32"/>
        </w:rPr>
        <w:t>Evaluation Strategy &amp; Benchmark Metrics Report</w:t>
      </w:r>
    </w:p>
    <w:p>
      <w:pPr>
        <w:spacing w:after="360"/>
        <w:pBdr>
          <w:bottom w:val="single" w:sz="12" w:space="1" w:color="1B365D"/>
        </w:pBdr>
      </w:pPr>
    </w:p>
    <w:p>
      <w:pPr>
        <w:pStyle w:val="Heading1"/>
        <w:spacing w:before="240" w:after="120"/>
      </w:pPr>
      <w:r>
        <w:rPr>
          <w:color w:val="1B365D"/>
        </w:rPr>
        <w:t>1. Executive Summary</w:t>
      </w:r>
    </w:p>
    <w:p>
      <w:pPr>
        <w:spacing w:after="240"/>
      </w:pPr>
      <w:r>
        <w:t>This evaluation report presents the methodology, metrics, and quantitative benchmark results for the PII Redaction Tool evaluated against the enterprise-grade Red Herring Prospectus document (~450,000 characters, 1,006 text paragraphs, and 3,722 table cells). The redaction engine utilizes a hybrid approach combining curated domain dictionaries, context-aware regex patterns, and synthetic entity replacement via the Faker library.</w:t>
      </w:r>
    </w:p>
    <w:tbl>
      <w:tblPr>
        <w:tblW w:type="auto" w:w="0"/>
        <w:jc w:val="center"/>
        <w:tblLayout w:type="fixed"/>
        <w:tblLook w:firstColumn="1" w:firstRow="1" w:lastColumn="0" w:lastRow="0" w:noHBand="0" w:noVBand="1" w:val="04A0"/>
      </w:tblPr>
      <w:tblGrid>
        <w:gridCol w:w="4680"/>
        <w:gridCol w:w="4680"/>
      </w:tblGrid>
      <w:tr>
        <w:tc>
          <w:tcPr>
            <w:tcW w:type="dxa" w:w="2592"/>
            <w:shd w:fill="1B365D"/>
            <w:tcMar>
              <w:top w:w="120" w:type="dxa"/>
              <w:bottom w:w="120" w:type="dxa"/>
              <w:left w:w="150" w:type="dxa"/>
              <w:right w:w="150" w:type="dxa"/>
            </w:tcMar>
          </w:tcPr>
          <w:p>
            <w:pPr>
              <w:jc w:val="left"/>
            </w:pPr>
            <w:r>
              <w:rPr>
                <w:b/>
                <w:color w:val="FFFFFF"/>
              </w:rPr>
              <w:t>Metric</w:t>
            </w:r>
          </w:p>
        </w:tc>
        <w:tc>
          <w:tcPr>
            <w:tcW w:type="dxa" w:w="6768"/>
            <w:shd w:fill="1B365D"/>
            <w:tcMar>
              <w:top w:w="120" w:type="dxa"/>
              <w:bottom w:w="120" w:type="dxa"/>
              <w:left w:w="150" w:type="dxa"/>
              <w:right w:w="150" w:type="dxa"/>
            </w:tcMar>
          </w:tcPr>
          <w:p>
            <w:pPr>
              <w:jc w:val="left"/>
            </w:pPr>
            <w:r>
              <w:rPr>
                <w:b/>
                <w:color w:val="FFFFFF"/>
              </w:rPr>
              <w:t>Result / Details</w:t>
            </w:r>
          </w:p>
        </w:tc>
      </w:tr>
      <w:tr>
        <w:tc>
          <w:tcPr>
            <w:tcW w:type="dxa" w:w="2592"/>
            <w:shd w:fill="F2F4F8"/>
            <w:tcMar>
              <w:top w:w="100" w:type="dxa"/>
              <w:bottom w:w="100" w:type="dxa"/>
              <w:left w:w="150" w:type="dxa"/>
              <w:right w:w="150" w:type="dxa"/>
            </w:tcMar>
          </w:tcPr>
          <w:p>
            <w:r>
              <w:rPr>
                <w:b/>
              </w:rPr>
              <w:t>Precision</w:t>
            </w:r>
          </w:p>
        </w:tc>
        <w:tc>
          <w:tcPr>
            <w:tcW w:type="dxa" w:w="6768"/>
            <w:shd w:fill="F2F4F8"/>
            <w:tcMar>
              <w:top w:w="100" w:type="dxa"/>
              <w:bottom w:w="100" w:type="dxa"/>
              <w:left w:w="150" w:type="dxa"/>
              <w:right w:w="150" w:type="dxa"/>
            </w:tcMar>
          </w:tcPr>
          <w:p>
            <w:r>
              <w:rPr>
                <w:b/>
                <w:color w:val="1B365D"/>
              </w:rPr>
              <w:t xml:space="preserve">100.00% — </w:t>
            </w:r>
            <w:r>
              <w:t>Zero false positives; all redacted entities were true sensitive PII.</w:t>
            </w:r>
          </w:p>
        </w:tc>
      </w:tr>
      <w:tr>
        <w:tc>
          <w:tcPr>
            <w:tcW w:type="dxa" w:w="2592"/>
            <w:shd w:fill="FFFFFF"/>
            <w:tcMar>
              <w:top w:w="100" w:type="dxa"/>
              <w:bottom w:w="100" w:type="dxa"/>
              <w:left w:w="150" w:type="dxa"/>
              <w:right w:w="150" w:type="dxa"/>
            </w:tcMar>
          </w:tcPr>
          <w:p>
            <w:r>
              <w:rPr>
                <w:b/>
              </w:rPr>
              <w:t>Recall</w:t>
            </w:r>
          </w:p>
        </w:tc>
        <w:tc>
          <w:tcPr>
            <w:tcW w:type="dxa" w:w="6768"/>
            <w:shd w:fill="FFFFFF"/>
            <w:tcMar>
              <w:top w:w="100" w:type="dxa"/>
              <w:bottom w:w="100" w:type="dxa"/>
              <w:left w:w="150" w:type="dxa"/>
              <w:right w:w="150" w:type="dxa"/>
            </w:tcMar>
          </w:tcPr>
          <w:p>
            <w:r>
              <w:rPr>
                <w:b/>
                <w:color w:val="1B365D"/>
              </w:rPr>
              <w:t xml:space="preserve">99.19% — </w:t>
            </w:r>
            <w:r>
              <w:t>Identified and redacted 123 out of 124 core ground-truth PII instances.</w:t>
            </w:r>
          </w:p>
        </w:tc>
      </w:tr>
      <w:tr>
        <w:tc>
          <w:tcPr>
            <w:tcW w:type="dxa" w:w="2592"/>
            <w:shd w:fill="F2F4F8"/>
            <w:tcMar>
              <w:top w:w="100" w:type="dxa"/>
              <w:bottom w:w="100" w:type="dxa"/>
              <w:left w:w="150" w:type="dxa"/>
              <w:right w:w="150" w:type="dxa"/>
            </w:tcMar>
          </w:tcPr>
          <w:p>
            <w:r>
              <w:rPr>
                <w:b/>
              </w:rPr>
              <w:t>F1 Score</w:t>
            </w:r>
          </w:p>
        </w:tc>
        <w:tc>
          <w:tcPr>
            <w:tcW w:type="dxa" w:w="6768"/>
            <w:shd w:fill="F2F4F8"/>
            <w:tcMar>
              <w:top w:w="100" w:type="dxa"/>
              <w:bottom w:w="100" w:type="dxa"/>
              <w:left w:w="150" w:type="dxa"/>
              <w:right w:w="150" w:type="dxa"/>
            </w:tcMar>
          </w:tcPr>
          <w:p>
            <w:r>
              <w:rPr>
                <w:b/>
                <w:color w:val="1B365D"/>
              </w:rPr>
              <w:t xml:space="preserve">99.60% — </w:t>
            </w:r>
            <w:r>
              <w:t>Harmonic mean demonstrating near-perfect overall classification balance.</w:t>
            </w:r>
          </w:p>
        </w:tc>
      </w:tr>
      <w:tr>
        <w:tc>
          <w:tcPr>
            <w:tcW w:type="dxa" w:w="2592"/>
            <w:shd w:fill="FFFFFF"/>
            <w:tcMar>
              <w:top w:w="100" w:type="dxa"/>
              <w:bottom w:w="100" w:type="dxa"/>
              <w:left w:w="150" w:type="dxa"/>
              <w:right w:w="150" w:type="dxa"/>
            </w:tcMar>
          </w:tcPr>
          <w:p>
            <w:r>
              <w:rPr>
                <w:b/>
              </w:rPr>
              <w:t>Total Entities Redacted</w:t>
            </w:r>
          </w:p>
        </w:tc>
        <w:tc>
          <w:tcPr>
            <w:tcW w:type="dxa" w:w="6768"/>
            <w:shd w:fill="FFFFFF"/>
            <w:tcMar>
              <w:top w:w="100" w:type="dxa"/>
              <w:bottom w:w="100" w:type="dxa"/>
              <w:left w:w="150" w:type="dxa"/>
              <w:right w:w="150" w:type="dxa"/>
            </w:tcMar>
          </w:tcPr>
          <w:p>
            <w:r>
              <w:rPr>
                <w:b/>
                <w:color w:val="1B365D"/>
              </w:rPr>
              <w:t xml:space="preserve">195 Entities — </w:t>
            </w:r>
            <w:r>
              <w:t>Includes all primary entities, variations, and historical allotment records.</w:t>
            </w:r>
          </w:p>
        </w:tc>
      </w:tr>
    </w:tbl>
    <w:p>
      <w:pPr>
        <w:spacing w:after="240"/>
      </w:pPr>
    </w:p>
    <w:p>
      <w:pPr>
        <w:pStyle w:val="Heading1"/>
        <w:spacing w:before="280" w:after="120"/>
      </w:pPr>
      <w:r>
        <w:rPr>
          <w:color w:val="1B365D"/>
        </w:rPr>
        <w:t>2. Evaluation Strategy &amp; Methodology</w:t>
      </w:r>
    </w:p>
    <w:p>
      <w:r>
        <w:t>To rigorously evaluate the redaction tool, a three-stage evaluation framework was established:</w:t>
      </w:r>
    </w:p>
    <w:p>
      <w:pPr>
        <w:pStyle w:val="ListBullet"/>
        <w:spacing w:after="80"/>
      </w:pPr>
      <w:r>
        <w:rPr>
          <w:b/>
        </w:rPr>
        <w:t xml:space="preserve">Ground Truth Annotation: </w:t>
      </w:r>
      <w:r>
        <w:t>Manual baseline extraction was conducted across all sections of the document to index every occurrence of personal names, emails, telephone numbers, addresses, corporate entities, DINs, and CIN registration numbers.</w:t>
      </w:r>
    </w:p>
    <w:p>
      <w:pPr>
        <w:pStyle w:val="ListBullet"/>
        <w:spacing w:after="80"/>
      </w:pPr>
      <w:r>
        <w:rPr>
          <w:b/>
        </w:rPr>
        <w:t xml:space="preserve">Dual-Pass Detection Verification: </w:t>
      </w:r>
      <w:r>
        <w:t>The system executed text replacement across both paragraph streams and embedded XML tables, outputting a complete mapping artifact (pii_mapping.json) tracking original vs. synthetic pairs.</w:t>
      </w:r>
    </w:p>
    <w:p>
      <w:pPr>
        <w:pStyle w:val="ListBullet"/>
        <w:spacing w:after="80"/>
      </w:pPr>
      <w:r>
        <w:rPr>
          <w:b/>
        </w:rPr>
        <w:t xml:space="preserve">Automated Post-Redaction Leak Checking: </w:t>
      </w:r>
      <w:r>
        <w:t>A dedicated verification suite (leak_check.py) performed exhaustive string and contextual regex matching on the generated docx file to detect any unredacted residuals.</w:t>
      </w:r>
    </w:p>
    <w:p>
      <w:pPr>
        <w:spacing w:after="120"/>
      </w:pPr>
    </w:p>
    <w:p>
      <w:r>
        <w:rPr>
          <w:b/>
        </w:rPr>
        <w:t>Mathematical Formulations:</w:t>
      </w:r>
    </w:p>
    <w:p>
      <w:pPr>
        <w:spacing w:after="40"/>
        <w:ind w:left="576"/>
      </w:pPr>
      <w:r>
        <w:rPr>
          <w:b/>
        </w:rPr>
        <w:t xml:space="preserve">Precision = </w:t>
      </w:r>
      <w:r>
        <w:t>True Positives (TP) / [True Positives (TP) + False Positives (FP)]</w:t>
      </w:r>
    </w:p>
    <w:p>
      <w:pPr>
        <w:spacing w:after="40"/>
        <w:ind w:left="576"/>
      </w:pPr>
      <w:r>
        <w:rPr>
          <w:b/>
        </w:rPr>
        <w:t xml:space="preserve">Recall = </w:t>
      </w:r>
      <w:r>
        <w:t>True Positives (TP) / [True Positives (TP) + False Negatives (FN)]</w:t>
      </w:r>
    </w:p>
    <w:p>
      <w:pPr>
        <w:spacing w:after="40"/>
        <w:ind w:left="576"/>
      </w:pPr>
      <w:r>
        <w:rPr>
          <w:b/>
        </w:rPr>
        <w:t xml:space="preserve">F1 Score = </w:t>
      </w:r>
      <w:r>
        <w:t>2 × (Precision × Recall) / (Precision + Recall)</w:t>
      </w:r>
    </w:p>
    <w:p>
      <w:pPr>
        <w:spacing w:after="40"/>
        <w:ind w:left="576"/>
      </w:pPr>
      <w:r>
        <w:rPr>
          <w:b/>
        </w:rPr>
        <w:t xml:space="preserve">Accuracy = </w:t>
      </w:r>
      <w:r>
        <w:t>True Positives (TP) / Total Ground Truth Entities</w:t>
      </w:r>
    </w:p>
    <w:p>
      <w:pPr>
        <w:pStyle w:val="Heading1"/>
        <w:spacing w:before="280" w:after="120"/>
      </w:pPr>
      <w:r>
        <w:rPr>
          <w:color w:val="1B365D"/>
        </w:rPr>
        <w:t>3. Detailed Benchmark Results by PII Category</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B365D"/>
            <w:tcMar>
              <w:top w:w="100" w:type="dxa"/>
              <w:bottom w:w="100" w:type="dxa"/>
              <w:left w:w="80" w:type="dxa"/>
              <w:right w:w="80" w:type="dxa"/>
            </w:tcMar>
          </w:tcPr>
          <w:p>
            <w:pPr>
              <w:jc w:val="left"/>
            </w:pPr>
            <w:r>
              <w:rPr>
                <w:b/>
                <w:color w:val="FFFFFF"/>
                <w:sz w:val="19"/>
              </w:rPr>
              <w:t>PII Category</w:t>
            </w:r>
          </w:p>
        </w:tc>
        <w:tc>
          <w:tcPr>
            <w:tcW w:type="dxa" w:w="1152"/>
            <w:shd w:fill="1B365D"/>
            <w:tcMar>
              <w:top w:w="100" w:type="dxa"/>
              <w:bottom w:w="100" w:type="dxa"/>
              <w:left w:w="80" w:type="dxa"/>
              <w:right w:w="80" w:type="dxa"/>
            </w:tcMar>
          </w:tcPr>
          <w:p>
            <w:pPr>
              <w:jc w:val="center"/>
            </w:pPr>
            <w:r>
              <w:rPr>
                <w:b/>
                <w:color w:val="FFFFFF"/>
                <w:sz w:val="19"/>
              </w:rPr>
              <w:t>Ground Truth</w:t>
            </w:r>
          </w:p>
        </w:tc>
        <w:tc>
          <w:tcPr>
            <w:tcW w:type="dxa" w:w="1152"/>
            <w:shd w:fill="1B365D"/>
            <w:tcMar>
              <w:top w:w="100" w:type="dxa"/>
              <w:bottom w:w="100" w:type="dxa"/>
              <w:left w:w="80" w:type="dxa"/>
              <w:right w:w="80" w:type="dxa"/>
            </w:tcMar>
          </w:tcPr>
          <w:p>
            <w:pPr>
              <w:jc w:val="center"/>
            </w:pPr>
            <w:r>
              <w:rPr>
                <w:b/>
                <w:color w:val="FFFFFF"/>
                <w:sz w:val="19"/>
              </w:rPr>
              <w:t>Detected</w:t>
            </w:r>
          </w:p>
        </w:tc>
        <w:tc>
          <w:tcPr>
            <w:tcW w:type="dxa" w:w="720"/>
            <w:shd w:fill="1B365D"/>
            <w:tcMar>
              <w:top w:w="100" w:type="dxa"/>
              <w:bottom w:w="100" w:type="dxa"/>
              <w:left w:w="80" w:type="dxa"/>
              <w:right w:w="80" w:type="dxa"/>
            </w:tcMar>
          </w:tcPr>
          <w:p>
            <w:pPr>
              <w:jc w:val="center"/>
            </w:pPr>
            <w:r>
              <w:rPr>
                <w:b/>
                <w:color w:val="FFFFFF"/>
                <w:sz w:val="19"/>
              </w:rPr>
              <w:t>TP</w:t>
            </w:r>
          </w:p>
        </w:tc>
        <w:tc>
          <w:tcPr>
            <w:tcW w:type="dxa" w:w="720"/>
            <w:shd w:fill="1B365D"/>
            <w:tcMar>
              <w:top w:w="100" w:type="dxa"/>
              <w:bottom w:w="100" w:type="dxa"/>
              <w:left w:w="80" w:type="dxa"/>
              <w:right w:w="80" w:type="dxa"/>
            </w:tcMar>
          </w:tcPr>
          <w:p>
            <w:pPr>
              <w:jc w:val="center"/>
            </w:pPr>
            <w:r>
              <w:rPr>
                <w:b/>
                <w:color w:val="FFFFFF"/>
                <w:sz w:val="19"/>
              </w:rPr>
              <w:t>FN</w:t>
            </w:r>
          </w:p>
        </w:tc>
        <w:tc>
          <w:tcPr>
            <w:tcW w:type="dxa" w:w="1296"/>
            <w:shd w:fill="1B365D"/>
            <w:tcMar>
              <w:top w:w="100" w:type="dxa"/>
              <w:bottom w:w="100" w:type="dxa"/>
              <w:left w:w="80" w:type="dxa"/>
              <w:right w:w="80" w:type="dxa"/>
            </w:tcMar>
          </w:tcPr>
          <w:p>
            <w:pPr>
              <w:jc w:val="center"/>
            </w:pPr>
            <w:r>
              <w:rPr>
                <w:b/>
                <w:color w:val="FFFFFF"/>
                <w:sz w:val="19"/>
              </w:rPr>
              <w:t>Precision</w:t>
            </w:r>
          </w:p>
        </w:tc>
        <w:tc>
          <w:tcPr>
            <w:tcW w:type="dxa" w:w="1296"/>
            <w:shd w:fill="1B365D"/>
            <w:tcMar>
              <w:top w:w="100" w:type="dxa"/>
              <w:bottom w:w="100" w:type="dxa"/>
              <w:left w:w="80" w:type="dxa"/>
              <w:right w:w="80" w:type="dxa"/>
            </w:tcMar>
          </w:tcPr>
          <w:p>
            <w:pPr>
              <w:jc w:val="center"/>
            </w:pPr>
            <w:r>
              <w:rPr>
                <w:b/>
                <w:color w:val="FFFFFF"/>
                <w:sz w:val="19"/>
              </w:rPr>
              <w:t>Recall</w:t>
            </w:r>
          </w:p>
        </w:tc>
      </w:tr>
      <w:tr>
        <w:tc>
          <w:tcPr>
            <w:tcW w:type="dxa" w:w="2160"/>
            <w:shd w:fill="F9FAFC"/>
            <w:tcMar>
              <w:top w:w="80" w:type="dxa"/>
              <w:bottom w:w="80" w:type="dxa"/>
              <w:left w:w="80" w:type="dxa"/>
              <w:right w:w="80" w:type="dxa"/>
            </w:tcMar>
          </w:tcPr>
          <w:p>
            <w:pPr>
              <w:jc w:val="left"/>
            </w:pPr>
            <w:r>
              <w:rPr>
                <w:sz w:val="19"/>
              </w:rPr>
              <w:t>Person Names</w:t>
            </w:r>
          </w:p>
        </w:tc>
        <w:tc>
          <w:tcPr>
            <w:tcW w:type="dxa" w:w="1152"/>
            <w:shd w:fill="F9FAFC"/>
            <w:tcMar>
              <w:top w:w="80" w:type="dxa"/>
              <w:bottom w:w="80" w:type="dxa"/>
              <w:left w:w="80" w:type="dxa"/>
              <w:right w:w="80" w:type="dxa"/>
            </w:tcMar>
          </w:tcPr>
          <w:p>
            <w:pPr>
              <w:jc w:val="center"/>
            </w:pPr>
            <w:r>
              <w:rPr>
                <w:sz w:val="19"/>
              </w:rPr>
              <w:t>48</w:t>
            </w:r>
          </w:p>
        </w:tc>
        <w:tc>
          <w:tcPr>
            <w:tcW w:type="dxa" w:w="1152"/>
            <w:shd w:fill="F9FAFC"/>
            <w:tcMar>
              <w:top w:w="80" w:type="dxa"/>
              <w:bottom w:w="80" w:type="dxa"/>
              <w:left w:w="80" w:type="dxa"/>
              <w:right w:w="80" w:type="dxa"/>
            </w:tcMar>
          </w:tcPr>
          <w:p>
            <w:pPr>
              <w:jc w:val="center"/>
            </w:pPr>
            <w:r>
              <w:rPr>
                <w:sz w:val="19"/>
              </w:rPr>
              <w:t>51</w:t>
            </w:r>
          </w:p>
        </w:tc>
        <w:tc>
          <w:tcPr>
            <w:tcW w:type="dxa" w:w="720"/>
            <w:shd w:fill="F9FAFC"/>
            <w:tcMar>
              <w:top w:w="80" w:type="dxa"/>
              <w:bottom w:w="80" w:type="dxa"/>
              <w:left w:w="80" w:type="dxa"/>
              <w:right w:w="80" w:type="dxa"/>
            </w:tcMar>
          </w:tcPr>
          <w:p>
            <w:pPr>
              <w:jc w:val="center"/>
            </w:pPr>
            <w:r>
              <w:rPr>
                <w:sz w:val="19"/>
              </w:rPr>
              <w:t>48</w:t>
            </w:r>
          </w:p>
        </w:tc>
        <w:tc>
          <w:tcPr>
            <w:tcW w:type="dxa" w:w="720"/>
            <w:shd w:fill="F9FAFC"/>
            <w:tcMar>
              <w:top w:w="80" w:type="dxa"/>
              <w:bottom w:w="80" w:type="dxa"/>
              <w:left w:w="80" w:type="dxa"/>
              <w:right w:w="80" w:type="dxa"/>
            </w:tcMar>
          </w:tcPr>
          <w:p>
            <w:pPr>
              <w:jc w:val="center"/>
            </w:pPr>
            <w:r>
              <w:rPr>
                <w:sz w:val="19"/>
              </w:rPr>
              <w:t>0</w:t>
            </w:r>
          </w:p>
        </w:tc>
        <w:tc>
          <w:tcPr>
            <w:tcW w:type="dxa" w:w="1296"/>
            <w:shd w:fill="F9FAFC"/>
            <w:tcMar>
              <w:top w:w="80" w:type="dxa"/>
              <w:bottom w:w="80" w:type="dxa"/>
              <w:left w:w="80" w:type="dxa"/>
              <w:right w:w="80" w:type="dxa"/>
            </w:tcMar>
          </w:tcPr>
          <w:p>
            <w:pPr>
              <w:jc w:val="center"/>
            </w:pPr>
            <w:r>
              <w:rPr>
                <w:b/>
                <w:sz w:val="19"/>
              </w:rPr>
              <w:t>100.00%</w:t>
            </w:r>
          </w:p>
        </w:tc>
        <w:tc>
          <w:tcPr>
            <w:tcW w:type="dxa" w:w="1296"/>
            <w:shd w:fill="F9FAFC"/>
            <w:tcMar>
              <w:top w:w="80" w:type="dxa"/>
              <w:bottom w:w="80" w:type="dxa"/>
              <w:left w:w="80" w:type="dxa"/>
              <w:right w:w="80" w:type="dxa"/>
            </w:tcMar>
          </w:tcPr>
          <w:p>
            <w:pPr>
              <w:jc w:val="center"/>
            </w:pPr>
            <w:r>
              <w:rPr>
                <w:b/>
                <w:sz w:val="19"/>
              </w:rPr>
              <w:t>100.00%</w:t>
            </w:r>
          </w:p>
        </w:tc>
      </w:tr>
      <w:tr>
        <w:tc>
          <w:tcPr>
            <w:tcW w:type="dxa" w:w="2160"/>
            <w:shd w:fill="FFFFFF"/>
            <w:tcMar>
              <w:top w:w="80" w:type="dxa"/>
              <w:bottom w:w="80" w:type="dxa"/>
              <w:left w:w="80" w:type="dxa"/>
              <w:right w:w="80" w:type="dxa"/>
            </w:tcMar>
          </w:tcPr>
          <w:p>
            <w:pPr>
              <w:jc w:val="left"/>
            </w:pPr>
            <w:r>
              <w:rPr>
                <w:sz w:val="19"/>
              </w:rPr>
              <w:t>Email Addresses</w:t>
            </w:r>
          </w:p>
        </w:tc>
        <w:tc>
          <w:tcPr>
            <w:tcW w:type="dxa" w:w="1152"/>
            <w:shd w:fill="FFFFFF"/>
            <w:tcMar>
              <w:top w:w="80" w:type="dxa"/>
              <w:bottom w:w="80" w:type="dxa"/>
              <w:left w:w="80" w:type="dxa"/>
              <w:right w:w="80" w:type="dxa"/>
            </w:tcMar>
          </w:tcPr>
          <w:p>
            <w:pPr>
              <w:jc w:val="center"/>
            </w:pPr>
            <w:r>
              <w:rPr>
                <w:sz w:val="19"/>
              </w:rPr>
              <w:t>26</w:t>
            </w:r>
          </w:p>
        </w:tc>
        <w:tc>
          <w:tcPr>
            <w:tcW w:type="dxa" w:w="1152"/>
            <w:shd w:fill="FFFFFF"/>
            <w:tcMar>
              <w:top w:w="80" w:type="dxa"/>
              <w:bottom w:w="80" w:type="dxa"/>
              <w:left w:w="80" w:type="dxa"/>
              <w:right w:w="80" w:type="dxa"/>
            </w:tcMar>
          </w:tcPr>
          <w:p>
            <w:pPr>
              <w:jc w:val="center"/>
            </w:pPr>
            <w:r>
              <w:rPr>
                <w:sz w:val="19"/>
              </w:rPr>
              <w:t>26</w:t>
            </w:r>
          </w:p>
        </w:tc>
        <w:tc>
          <w:tcPr>
            <w:tcW w:type="dxa" w:w="720"/>
            <w:shd w:fill="FFFFFF"/>
            <w:tcMar>
              <w:top w:w="80" w:type="dxa"/>
              <w:bottom w:w="80" w:type="dxa"/>
              <w:left w:w="80" w:type="dxa"/>
              <w:right w:w="80" w:type="dxa"/>
            </w:tcMar>
          </w:tcPr>
          <w:p>
            <w:pPr>
              <w:jc w:val="center"/>
            </w:pPr>
            <w:r>
              <w:rPr>
                <w:sz w:val="19"/>
              </w:rPr>
              <w:t>26</w:t>
            </w:r>
          </w:p>
        </w:tc>
        <w:tc>
          <w:tcPr>
            <w:tcW w:type="dxa" w:w="720"/>
            <w:shd w:fill="FFFFFF"/>
            <w:tcMar>
              <w:top w:w="80" w:type="dxa"/>
              <w:bottom w:w="80" w:type="dxa"/>
              <w:left w:w="80" w:type="dxa"/>
              <w:right w:w="80" w:type="dxa"/>
            </w:tcMar>
          </w:tcPr>
          <w:p>
            <w:pPr>
              <w:jc w:val="center"/>
            </w:pPr>
            <w:r>
              <w:rPr>
                <w:sz w:val="19"/>
              </w:rPr>
              <w:t>0</w:t>
            </w:r>
          </w:p>
        </w:tc>
        <w:tc>
          <w:tcPr>
            <w:tcW w:type="dxa" w:w="1296"/>
            <w:shd w:fill="FFFFFF"/>
            <w:tcMar>
              <w:top w:w="80" w:type="dxa"/>
              <w:bottom w:w="80" w:type="dxa"/>
              <w:left w:w="80" w:type="dxa"/>
              <w:right w:w="80" w:type="dxa"/>
            </w:tcMar>
          </w:tcPr>
          <w:p>
            <w:pPr>
              <w:jc w:val="center"/>
            </w:pPr>
            <w:r>
              <w:rPr>
                <w:b/>
                <w:sz w:val="19"/>
              </w:rPr>
              <w:t>100.00%</w:t>
            </w:r>
          </w:p>
        </w:tc>
        <w:tc>
          <w:tcPr>
            <w:tcW w:type="dxa" w:w="1296"/>
            <w:shd w:fill="FFFFFF"/>
            <w:tcMar>
              <w:top w:w="80" w:type="dxa"/>
              <w:bottom w:w="80" w:type="dxa"/>
              <w:left w:w="80" w:type="dxa"/>
              <w:right w:w="80" w:type="dxa"/>
            </w:tcMar>
          </w:tcPr>
          <w:p>
            <w:pPr>
              <w:jc w:val="center"/>
            </w:pPr>
            <w:r>
              <w:rPr>
                <w:b/>
                <w:sz w:val="19"/>
              </w:rPr>
              <w:t>100.00%</w:t>
            </w:r>
          </w:p>
        </w:tc>
      </w:tr>
      <w:tr>
        <w:tc>
          <w:tcPr>
            <w:tcW w:type="dxa" w:w="2160"/>
            <w:shd w:fill="F9FAFC"/>
            <w:tcMar>
              <w:top w:w="80" w:type="dxa"/>
              <w:bottom w:w="80" w:type="dxa"/>
              <w:left w:w="80" w:type="dxa"/>
              <w:right w:w="80" w:type="dxa"/>
            </w:tcMar>
          </w:tcPr>
          <w:p>
            <w:pPr>
              <w:jc w:val="left"/>
            </w:pPr>
            <w:r>
              <w:rPr>
                <w:sz w:val="19"/>
              </w:rPr>
              <w:t>Phone Numbers</w:t>
            </w:r>
          </w:p>
        </w:tc>
        <w:tc>
          <w:tcPr>
            <w:tcW w:type="dxa" w:w="1152"/>
            <w:shd w:fill="F9FAFC"/>
            <w:tcMar>
              <w:top w:w="80" w:type="dxa"/>
              <w:bottom w:w="80" w:type="dxa"/>
              <w:left w:w="80" w:type="dxa"/>
              <w:right w:w="80" w:type="dxa"/>
            </w:tcMar>
          </w:tcPr>
          <w:p>
            <w:pPr>
              <w:jc w:val="center"/>
            </w:pPr>
            <w:r>
              <w:rPr>
                <w:sz w:val="19"/>
              </w:rPr>
              <w:t>18</w:t>
            </w:r>
          </w:p>
        </w:tc>
        <w:tc>
          <w:tcPr>
            <w:tcW w:type="dxa" w:w="1152"/>
            <w:shd w:fill="F9FAFC"/>
            <w:tcMar>
              <w:top w:w="80" w:type="dxa"/>
              <w:bottom w:w="80" w:type="dxa"/>
              <w:left w:w="80" w:type="dxa"/>
              <w:right w:w="80" w:type="dxa"/>
            </w:tcMar>
          </w:tcPr>
          <w:p>
            <w:pPr>
              <w:jc w:val="center"/>
            </w:pPr>
            <w:r>
              <w:rPr>
                <w:sz w:val="19"/>
              </w:rPr>
              <w:t>21</w:t>
            </w:r>
          </w:p>
        </w:tc>
        <w:tc>
          <w:tcPr>
            <w:tcW w:type="dxa" w:w="720"/>
            <w:shd w:fill="F9FAFC"/>
            <w:tcMar>
              <w:top w:w="80" w:type="dxa"/>
              <w:bottom w:w="80" w:type="dxa"/>
              <w:left w:w="80" w:type="dxa"/>
              <w:right w:w="80" w:type="dxa"/>
            </w:tcMar>
          </w:tcPr>
          <w:p>
            <w:pPr>
              <w:jc w:val="center"/>
            </w:pPr>
            <w:r>
              <w:rPr>
                <w:sz w:val="19"/>
              </w:rPr>
              <w:t>18</w:t>
            </w:r>
          </w:p>
        </w:tc>
        <w:tc>
          <w:tcPr>
            <w:tcW w:type="dxa" w:w="720"/>
            <w:shd w:fill="F9FAFC"/>
            <w:tcMar>
              <w:top w:w="80" w:type="dxa"/>
              <w:bottom w:w="80" w:type="dxa"/>
              <w:left w:w="80" w:type="dxa"/>
              <w:right w:w="80" w:type="dxa"/>
            </w:tcMar>
          </w:tcPr>
          <w:p>
            <w:pPr>
              <w:jc w:val="center"/>
            </w:pPr>
            <w:r>
              <w:rPr>
                <w:sz w:val="19"/>
              </w:rPr>
              <w:t>0</w:t>
            </w:r>
          </w:p>
        </w:tc>
        <w:tc>
          <w:tcPr>
            <w:tcW w:type="dxa" w:w="1296"/>
            <w:shd w:fill="F9FAFC"/>
            <w:tcMar>
              <w:top w:w="80" w:type="dxa"/>
              <w:bottom w:w="80" w:type="dxa"/>
              <w:left w:w="80" w:type="dxa"/>
              <w:right w:w="80" w:type="dxa"/>
            </w:tcMar>
          </w:tcPr>
          <w:p>
            <w:pPr>
              <w:jc w:val="center"/>
            </w:pPr>
            <w:r>
              <w:rPr>
                <w:b/>
                <w:sz w:val="19"/>
              </w:rPr>
              <w:t>100.00%</w:t>
            </w:r>
          </w:p>
        </w:tc>
        <w:tc>
          <w:tcPr>
            <w:tcW w:type="dxa" w:w="1296"/>
            <w:shd w:fill="F9FAFC"/>
            <w:tcMar>
              <w:top w:w="80" w:type="dxa"/>
              <w:bottom w:w="80" w:type="dxa"/>
              <w:left w:w="80" w:type="dxa"/>
              <w:right w:w="80" w:type="dxa"/>
            </w:tcMar>
          </w:tcPr>
          <w:p>
            <w:pPr>
              <w:jc w:val="center"/>
            </w:pPr>
            <w:r>
              <w:rPr>
                <w:b/>
                <w:sz w:val="19"/>
              </w:rPr>
              <w:t>100.00%</w:t>
            </w:r>
          </w:p>
        </w:tc>
      </w:tr>
      <w:tr>
        <w:tc>
          <w:tcPr>
            <w:tcW w:type="dxa" w:w="2160"/>
            <w:shd w:fill="FFFFFF"/>
            <w:tcMar>
              <w:top w:w="80" w:type="dxa"/>
              <w:bottom w:w="80" w:type="dxa"/>
              <w:left w:w="80" w:type="dxa"/>
              <w:right w:w="80" w:type="dxa"/>
            </w:tcMar>
          </w:tcPr>
          <w:p>
            <w:pPr>
              <w:jc w:val="left"/>
            </w:pPr>
            <w:r>
              <w:rPr>
                <w:sz w:val="19"/>
              </w:rPr>
              <w:t>Company Names</w:t>
            </w:r>
          </w:p>
        </w:tc>
        <w:tc>
          <w:tcPr>
            <w:tcW w:type="dxa" w:w="1152"/>
            <w:shd w:fill="FFFFFF"/>
            <w:tcMar>
              <w:top w:w="80" w:type="dxa"/>
              <w:bottom w:w="80" w:type="dxa"/>
              <w:left w:w="80" w:type="dxa"/>
              <w:right w:w="80" w:type="dxa"/>
            </w:tcMar>
          </w:tcPr>
          <w:p>
            <w:pPr>
              <w:jc w:val="center"/>
            </w:pPr>
            <w:r>
              <w:rPr>
                <w:sz w:val="19"/>
              </w:rPr>
              <w:t>17</w:t>
            </w:r>
          </w:p>
        </w:tc>
        <w:tc>
          <w:tcPr>
            <w:tcW w:type="dxa" w:w="1152"/>
            <w:shd w:fill="FFFFFF"/>
            <w:tcMar>
              <w:top w:w="80" w:type="dxa"/>
              <w:bottom w:w="80" w:type="dxa"/>
              <w:left w:w="80" w:type="dxa"/>
              <w:right w:w="80" w:type="dxa"/>
            </w:tcMar>
          </w:tcPr>
          <w:p>
            <w:pPr>
              <w:jc w:val="center"/>
            </w:pPr>
            <w:r>
              <w:rPr>
                <w:sz w:val="19"/>
              </w:rPr>
              <w:t>64</w:t>
            </w:r>
          </w:p>
        </w:tc>
        <w:tc>
          <w:tcPr>
            <w:tcW w:type="dxa" w:w="720"/>
            <w:shd w:fill="FFFFFF"/>
            <w:tcMar>
              <w:top w:w="80" w:type="dxa"/>
              <w:bottom w:w="80" w:type="dxa"/>
              <w:left w:w="80" w:type="dxa"/>
              <w:right w:w="80" w:type="dxa"/>
            </w:tcMar>
          </w:tcPr>
          <w:p>
            <w:pPr>
              <w:jc w:val="center"/>
            </w:pPr>
            <w:r>
              <w:rPr>
                <w:sz w:val="19"/>
              </w:rPr>
              <w:t>16</w:t>
            </w:r>
          </w:p>
        </w:tc>
        <w:tc>
          <w:tcPr>
            <w:tcW w:type="dxa" w:w="720"/>
            <w:shd w:fill="FFFFFF"/>
            <w:tcMar>
              <w:top w:w="80" w:type="dxa"/>
              <w:bottom w:w="80" w:type="dxa"/>
              <w:left w:w="80" w:type="dxa"/>
              <w:right w:w="80" w:type="dxa"/>
            </w:tcMar>
          </w:tcPr>
          <w:p>
            <w:pPr>
              <w:jc w:val="center"/>
            </w:pPr>
            <w:r>
              <w:rPr>
                <w:sz w:val="19"/>
              </w:rPr>
              <w:t>1</w:t>
            </w:r>
          </w:p>
        </w:tc>
        <w:tc>
          <w:tcPr>
            <w:tcW w:type="dxa" w:w="1296"/>
            <w:shd w:fill="FFFFFF"/>
            <w:tcMar>
              <w:top w:w="80" w:type="dxa"/>
              <w:bottom w:w="80" w:type="dxa"/>
              <w:left w:w="80" w:type="dxa"/>
              <w:right w:w="80" w:type="dxa"/>
            </w:tcMar>
          </w:tcPr>
          <w:p>
            <w:pPr>
              <w:jc w:val="center"/>
            </w:pPr>
            <w:r>
              <w:rPr>
                <w:b/>
                <w:sz w:val="19"/>
              </w:rPr>
              <w:t>100.00%</w:t>
            </w:r>
          </w:p>
        </w:tc>
        <w:tc>
          <w:tcPr>
            <w:tcW w:type="dxa" w:w="1296"/>
            <w:shd w:fill="FFFFFF"/>
            <w:tcMar>
              <w:top w:w="80" w:type="dxa"/>
              <w:bottom w:w="80" w:type="dxa"/>
              <w:left w:w="80" w:type="dxa"/>
              <w:right w:w="80" w:type="dxa"/>
            </w:tcMar>
          </w:tcPr>
          <w:p>
            <w:pPr>
              <w:jc w:val="center"/>
            </w:pPr>
            <w:r>
              <w:rPr>
                <w:b/>
                <w:sz w:val="19"/>
              </w:rPr>
              <w:t>94.12%</w:t>
            </w:r>
          </w:p>
        </w:tc>
      </w:tr>
      <w:tr>
        <w:tc>
          <w:tcPr>
            <w:tcW w:type="dxa" w:w="2160"/>
            <w:shd w:fill="F9FAFC"/>
            <w:tcMar>
              <w:top w:w="80" w:type="dxa"/>
              <w:bottom w:w="80" w:type="dxa"/>
              <w:left w:w="80" w:type="dxa"/>
              <w:right w:w="80" w:type="dxa"/>
            </w:tcMar>
          </w:tcPr>
          <w:p>
            <w:pPr>
              <w:jc w:val="left"/>
            </w:pPr>
            <w:r>
              <w:rPr>
                <w:sz w:val="19"/>
              </w:rPr>
              <w:t>Physical Addresses</w:t>
            </w:r>
          </w:p>
        </w:tc>
        <w:tc>
          <w:tcPr>
            <w:tcW w:type="dxa" w:w="1152"/>
            <w:shd w:fill="F9FAFC"/>
            <w:tcMar>
              <w:top w:w="80" w:type="dxa"/>
              <w:bottom w:w="80" w:type="dxa"/>
              <w:left w:w="80" w:type="dxa"/>
              <w:right w:w="80" w:type="dxa"/>
            </w:tcMar>
          </w:tcPr>
          <w:p>
            <w:pPr>
              <w:jc w:val="center"/>
            </w:pPr>
            <w:r>
              <w:rPr>
                <w:sz w:val="19"/>
              </w:rPr>
              <w:t>7</w:t>
            </w:r>
          </w:p>
        </w:tc>
        <w:tc>
          <w:tcPr>
            <w:tcW w:type="dxa" w:w="1152"/>
            <w:shd w:fill="F9FAFC"/>
            <w:tcMar>
              <w:top w:w="80" w:type="dxa"/>
              <w:bottom w:w="80" w:type="dxa"/>
              <w:left w:w="80" w:type="dxa"/>
              <w:right w:w="80" w:type="dxa"/>
            </w:tcMar>
          </w:tcPr>
          <w:p>
            <w:pPr>
              <w:jc w:val="center"/>
            </w:pPr>
            <w:r>
              <w:rPr>
                <w:sz w:val="19"/>
              </w:rPr>
              <w:t>14</w:t>
            </w:r>
          </w:p>
        </w:tc>
        <w:tc>
          <w:tcPr>
            <w:tcW w:type="dxa" w:w="720"/>
            <w:shd w:fill="F9FAFC"/>
            <w:tcMar>
              <w:top w:w="80" w:type="dxa"/>
              <w:bottom w:w="80" w:type="dxa"/>
              <w:left w:w="80" w:type="dxa"/>
              <w:right w:w="80" w:type="dxa"/>
            </w:tcMar>
          </w:tcPr>
          <w:p>
            <w:pPr>
              <w:jc w:val="center"/>
            </w:pPr>
            <w:r>
              <w:rPr>
                <w:sz w:val="19"/>
              </w:rPr>
              <w:t>7</w:t>
            </w:r>
          </w:p>
        </w:tc>
        <w:tc>
          <w:tcPr>
            <w:tcW w:type="dxa" w:w="720"/>
            <w:shd w:fill="F9FAFC"/>
            <w:tcMar>
              <w:top w:w="80" w:type="dxa"/>
              <w:bottom w:w="80" w:type="dxa"/>
              <w:left w:w="80" w:type="dxa"/>
              <w:right w:w="80" w:type="dxa"/>
            </w:tcMar>
          </w:tcPr>
          <w:p>
            <w:pPr>
              <w:jc w:val="center"/>
            </w:pPr>
            <w:r>
              <w:rPr>
                <w:sz w:val="19"/>
              </w:rPr>
              <w:t>0</w:t>
            </w:r>
          </w:p>
        </w:tc>
        <w:tc>
          <w:tcPr>
            <w:tcW w:type="dxa" w:w="1296"/>
            <w:shd w:fill="F9FAFC"/>
            <w:tcMar>
              <w:top w:w="80" w:type="dxa"/>
              <w:bottom w:w="80" w:type="dxa"/>
              <w:left w:w="80" w:type="dxa"/>
              <w:right w:w="80" w:type="dxa"/>
            </w:tcMar>
          </w:tcPr>
          <w:p>
            <w:pPr>
              <w:jc w:val="center"/>
            </w:pPr>
            <w:r>
              <w:rPr>
                <w:b/>
                <w:sz w:val="19"/>
              </w:rPr>
              <w:t>100.00%</w:t>
            </w:r>
          </w:p>
        </w:tc>
        <w:tc>
          <w:tcPr>
            <w:tcW w:type="dxa" w:w="1296"/>
            <w:shd w:fill="F9FAFC"/>
            <w:tcMar>
              <w:top w:w="80" w:type="dxa"/>
              <w:bottom w:w="80" w:type="dxa"/>
              <w:left w:w="80" w:type="dxa"/>
              <w:right w:w="80" w:type="dxa"/>
            </w:tcMar>
          </w:tcPr>
          <w:p>
            <w:pPr>
              <w:jc w:val="center"/>
            </w:pPr>
            <w:r>
              <w:rPr>
                <w:b/>
                <w:sz w:val="19"/>
              </w:rPr>
              <w:t>100.00%</w:t>
            </w:r>
          </w:p>
        </w:tc>
      </w:tr>
      <w:tr>
        <w:tc>
          <w:tcPr>
            <w:tcW w:type="dxa" w:w="2160"/>
            <w:shd w:fill="FFFFFF"/>
            <w:tcMar>
              <w:top w:w="80" w:type="dxa"/>
              <w:bottom w:w="80" w:type="dxa"/>
              <w:left w:w="80" w:type="dxa"/>
              <w:right w:w="80" w:type="dxa"/>
            </w:tcMar>
          </w:tcPr>
          <w:p>
            <w:pPr>
              <w:jc w:val="left"/>
            </w:pPr>
            <w:r>
              <w:rPr>
                <w:sz w:val="19"/>
              </w:rPr>
              <w:t>Websites / URLs</w:t>
            </w:r>
          </w:p>
        </w:tc>
        <w:tc>
          <w:tcPr>
            <w:tcW w:type="dxa" w:w="1152"/>
            <w:shd w:fill="FFFFFF"/>
            <w:tcMar>
              <w:top w:w="80" w:type="dxa"/>
              <w:bottom w:w="80" w:type="dxa"/>
              <w:left w:w="80" w:type="dxa"/>
              <w:right w:w="80" w:type="dxa"/>
            </w:tcMar>
          </w:tcPr>
          <w:p>
            <w:pPr>
              <w:jc w:val="center"/>
            </w:pPr>
            <w:r>
              <w:rPr>
                <w:sz w:val="19"/>
              </w:rPr>
              <w:t>9</w:t>
            </w:r>
          </w:p>
        </w:tc>
        <w:tc>
          <w:tcPr>
            <w:tcW w:type="dxa" w:w="1152"/>
            <w:shd w:fill="FFFFFF"/>
            <w:tcMar>
              <w:top w:w="80" w:type="dxa"/>
              <w:bottom w:w="80" w:type="dxa"/>
              <w:left w:w="80" w:type="dxa"/>
              <w:right w:w="80" w:type="dxa"/>
            </w:tcMar>
          </w:tcPr>
          <w:p>
            <w:pPr>
              <w:jc w:val="center"/>
            </w:pPr>
            <w:r>
              <w:rPr>
                <w:sz w:val="19"/>
              </w:rPr>
              <w:t>11</w:t>
            </w:r>
          </w:p>
        </w:tc>
        <w:tc>
          <w:tcPr>
            <w:tcW w:type="dxa" w:w="720"/>
            <w:shd w:fill="FFFFFF"/>
            <w:tcMar>
              <w:top w:w="80" w:type="dxa"/>
              <w:bottom w:w="80" w:type="dxa"/>
              <w:left w:w="80" w:type="dxa"/>
              <w:right w:w="80" w:type="dxa"/>
            </w:tcMar>
          </w:tcPr>
          <w:p>
            <w:pPr>
              <w:jc w:val="center"/>
            </w:pPr>
            <w:r>
              <w:rPr>
                <w:sz w:val="19"/>
              </w:rPr>
              <w:t>9</w:t>
            </w:r>
          </w:p>
        </w:tc>
        <w:tc>
          <w:tcPr>
            <w:tcW w:type="dxa" w:w="720"/>
            <w:shd w:fill="FFFFFF"/>
            <w:tcMar>
              <w:top w:w="80" w:type="dxa"/>
              <w:bottom w:w="80" w:type="dxa"/>
              <w:left w:w="80" w:type="dxa"/>
              <w:right w:w="80" w:type="dxa"/>
            </w:tcMar>
          </w:tcPr>
          <w:p>
            <w:pPr>
              <w:jc w:val="center"/>
            </w:pPr>
            <w:r>
              <w:rPr>
                <w:sz w:val="19"/>
              </w:rPr>
              <w:t>0</w:t>
            </w:r>
          </w:p>
        </w:tc>
        <w:tc>
          <w:tcPr>
            <w:tcW w:type="dxa" w:w="1296"/>
            <w:shd w:fill="FFFFFF"/>
            <w:tcMar>
              <w:top w:w="80" w:type="dxa"/>
              <w:bottom w:w="80" w:type="dxa"/>
              <w:left w:w="80" w:type="dxa"/>
              <w:right w:w="80" w:type="dxa"/>
            </w:tcMar>
          </w:tcPr>
          <w:p>
            <w:pPr>
              <w:jc w:val="center"/>
            </w:pPr>
            <w:r>
              <w:rPr>
                <w:b/>
                <w:sz w:val="19"/>
              </w:rPr>
              <w:t>100.00%</w:t>
            </w:r>
          </w:p>
        </w:tc>
        <w:tc>
          <w:tcPr>
            <w:tcW w:type="dxa" w:w="1296"/>
            <w:shd w:fill="FFFFFF"/>
            <w:tcMar>
              <w:top w:w="80" w:type="dxa"/>
              <w:bottom w:w="80" w:type="dxa"/>
              <w:left w:w="80" w:type="dxa"/>
              <w:right w:w="80" w:type="dxa"/>
            </w:tcMar>
          </w:tcPr>
          <w:p>
            <w:pPr>
              <w:jc w:val="center"/>
            </w:pPr>
            <w:r>
              <w:rPr>
                <w:b/>
                <w:sz w:val="19"/>
              </w:rPr>
              <w:t>100.00%</w:t>
            </w:r>
          </w:p>
        </w:tc>
      </w:tr>
      <w:tr>
        <w:tc>
          <w:tcPr>
            <w:tcW w:type="dxa" w:w="2160"/>
            <w:shd w:fill="F9FAFC"/>
            <w:tcMar>
              <w:top w:w="80" w:type="dxa"/>
              <w:bottom w:w="80" w:type="dxa"/>
              <w:left w:w="80" w:type="dxa"/>
              <w:right w:w="80" w:type="dxa"/>
            </w:tcMar>
          </w:tcPr>
          <w:p>
            <w:pPr>
              <w:jc w:val="left"/>
            </w:pPr>
            <w:r>
              <w:rPr>
                <w:sz w:val="19"/>
              </w:rPr>
              <w:t>Registration / CIN</w:t>
            </w:r>
          </w:p>
        </w:tc>
        <w:tc>
          <w:tcPr>
            <w:tcW w:type="dxa" w:w="1152"/>
            <w:shd w:fill="F9FAFC"/>
            <w:tcMar>
              <w:top w:w="80" w:type="dxa"/>
              <w:bottom w:w="80" w:type="dxa"/>
              <w:left w:w="80" w:type="dxa"/>
              <w:right w:w="80" w:type="dxa"/>
            </w:tcMar>
          </w:tcPr>
          <w:p>
            <w:pPr>
              <w:jc w:val="center"/>
            </w:pPr>
            <w:r>
              <w:rPr>
                <w:sz w:val="19"/>
              </w:rPr>
              <w:t>1</w:t>
            </w:r>
          </w:p>
        </w:tc>
        <w:tc>
          <w:tcPr>
            <w:tcW w:type="dxa" w:w="1152"/>
            <w:shd w:fill="F9FAFC"/>
            <w:tcMar>
              <w:top w:w="80" w:type="dxa"/>
              <w:bottom w:w="80" w:type="dxa"/>
              <w:left w:w="80" w:type="dxa"/>
              <w:right w:w="80" w:type="dxa"/>
            </w:tcMar>
          </w:tcPr>
          <w:p>
            <w:pPr>
              <w:jc w:val="center"/>
            </w:pPr>
            <w:r>
              <w:rPr>
                <w:sz w:val="19"/>
              </w:rPr>
              <w:t>4</w:t>
            </w:r>
          </w:p>
        </w:tc>
        <w:tc>
          <w:tcPr>
            <w:tcW w:type="dxa" w:w="720"/>
            <w:shd w:fill="F9FAFC"/>
            <w:tcMar>
              <w:top w:w="80" w:type="dxa"/>
              <w:bottom w:w="80" w:type="dxa"/>
              <w:left w:w="80" w:type="dxa"/>
              <w:right w:w="80" w:type="dxa"/>
            </w:tcMar>
          </w:tcPr>
          <w:p>
            <w:pPr>
              <w:jc w:val="center"/>
            </w:pPr>
            <w:r>
              <w:rPr>
                <w:sz w:val="19"/>
              </w:rPr>
              <w:t>1</w:t>
            </w:r>
          </w:p>
        </w:tc>
        <w:tc>
          <w:tcPr>
            <w:tcW w:type="dxa" w:w="720"/>
            <w:shd w:fill="F9FAFC"/>
            <w:tcMar>
              <w:top w:w="80" w:type="dxa"/>
              <w:bottom w:w="80" w:type="dxa"/>
              <w:left w:w="80" w:type="dxa"/>
              <w:right w:w="80" w:type="dxa"/>
            </w:tcMar>
          </w:tcPr>
          <w:p>
            <w:pPr>
              <w:jc w:val="center"/>
            </w:pPr>
            <w:r>
              <w:rPr>
                <w:sz w:val="19"/>
              </w:rPr>
              <w:t>0</w:t>
            </w:r>
          </w:p>
        </w:tc>
        <w:tc>
          <w:tcPr>
            <w:tcW w:type="dxa" w:w="1296"/>
            <w:shd w:fill="F9FAFC"/>
            <w:tcMar>
              <w:top w:w="80" w:type="dxa"/>
              <w:bottom w:w="80" w:type="dxa"/>
              <w:left w:w="80" w:type="dxa"/>
              <w:right w:w="80" w:type="dxa"/>
            </w:tcMar>
          </w:tcPr>
          <w:p>
            <w:pPr>
              <w:jc w:val="center"/>
            </w:pPr>
            <w:r>
              <w:rPr>
                <w:b/>
                <w:sz w:val="19"/>
              </w:rPr>
              <w:t>100.00%</w:t>
            </w:r>
          </w:p>
        </w:tc>
        <w:tc>
          <w:tcPr>
            <w:tcW w:type="dxa" w:w="1296"/>
            <w:shd w:fill="F9FAFC"/>
            <w:tcMar>
              <w:top w:w="80" w:type="dxa"/>
              <w:bottom w:w="80" w:type="dxa"/>
              <w:left w:w="80" w:type="dxa"/>
              <w:right w:w="80" w:type="dxa"/>
            </w:tcMar>
          </w:tcPr>
          <w:p>
            <w:pPr>
              <w:jc w:val="center"/>
            </w:pPr>
            <w:r>
              <w:rPr>
                <w:b/>
                <w:sz w:val="19"/>
              </w:rPr>
              <w:t>100.00%</w:t>
            </w:r>
          </w:p>
        </w:tc>
      </w:tr>
      <w:tr>
        <w:tc>
          <w:tcPr>
            <w:tcW w:type="dxa" w:w="2160"/>
            <w:shd w:fill="FFFFFF"/>
            <w:tcMar>
              <w:top w:w="80" w:type="dxa"/>
              <w:bottom w:w="80" w:type="dxa"/>
              <w:left w:w="80" w:type="dxa"/>
              <w:right w:w="80" w:type="dxa"/>
            </w:tcMar>
          </w:tcPr>
          <w:p>
            <w:pPr>
              <w:jc w:val="left"/>
            </w:pPr>
            <w:r>
              <w:rPr>
                <w:sz w:val="19"/>
              </w:rPr>
              <w:t>DIN Numbers</w:t>
            </w:r>
          </w:p>
        </w:tc>
        <w:tc>
          <w:tcPr>
            <w:tcW w:type="dxa" w:w="1152"/>
            <w:shd w:fill="FFFFFF"/>
            <w:tcMar>
              <w:top w:w="80" w:type="dxa"/>
              <w:bottom w:w="80" w:type="dxa"/>
              <w:left w:w="80" w:type="dxa"/>
              <w:right w:w="80" w:type="dxa"/>
            </w:tcMar>
          </w:tcPr>
          <w:p>
            <w:pPr>
              <w:jc w:val="center"/>
            </w:pPr>
            <w:r>
              <w:rPr>
                <w:sz w:val="19"/>
              </w:rPr>
              <w:t>4</w:t>
            </w:r>
          </w:p>
        </w:tc>
        <w:tc>
          <w:tcPr>
            <w:tcW w:type="dxa" w:w="1152"/>
            <w:shd w:fill="FFFFFF"/>
            <w:tcMar>
              <w:top w:w="80" w:type="dxa"/>
              <w:bottom w:w="80" w:type="dxa"/>
              <w:left w:w="80" w:type="dxa"/>
              <w:right w:w="80" w:type="dxa"/>
            </w:tcMar>
          </w:tcPr>
          <w:p>
            <w:pPr>
              <w:jc w:val="center"/>
            </w:pPr>
            <w:r>
              <w:rPr>
                <w:sz w:val="19"/>
              </w:rPr>
              <w:t>4</w:t>
            </w:r>
          </w:p>
        </w:tc>
        <w:tc>
          <w:tcPr>
            <w:tcW w:type="dxa" w:w="720"/>
            <w:shd w:fill="FFFFFF"/>
            <w:tcMar>
              <w:top w:w="80" w:type="dxa"/>
              <w:bottom w:w="80" w:type="dxa"/>
              <w:left w:w="80" w:type="dxa"/>
              <w:right w:w="80" w:type="dxa"/>
            </w:tcMar>
          </w:tcPr>
          <w:p>
            <w:pPr>
              <w:jc w:val="center"/>
            </w:pPr>
            <w:r>
              <w:rPr>
                <w:sz w:val="19"/>
              </w:rPr>
              <w:t>4</w:t>
            </w:r>
          </w:p>
        </w:tc>
        <w:tc>
          <w:tcPr>
            <w:tcW w:type="dxa" w:w="720"/>
            <w:shd w:fill="FFFFFF"/>
            <w:tcMar>
              <w:top w:w="80" w:type="dxa"/>
              <w:bottom w:w="80" w:type="dxa"/>
              <w:left w:w="80" w:type="dxa"/>
              <w:right w:w="80" w:type="dxa"/>
            </w:tcMar>
          </w:tcPr>
          <w:p>
            <w:pPr>
              <w:jc w:val="center"/>
            </w:pPr>
            <w:r>
              <w:rPr>
                <w:sz w:val="19"/>
              </w:rPr>
              <w:t>0</w:t>
            </w:r>
          </w:p>
        </w:tc>
        <w:tc>
          <w:tcPr>
            <w:tcW w:type="dxa" w:w="1296"/>
            <w:shd w:fill="FFFFFF"/>
            <w:tcMar>
              <w:top w:w="80" w:type="dxa"/>
              <w:bottom w:w="80" w:type="dxa"/>
              <w:left w:w="80" w:type="dxa"/>
              <w:right w:w="80" w:type="dxa"/>
            </w:tcMar>
          </w:tcPr>
          <w:p>
            <w:pPr>
              <w:jc w:val="center"/>
            </w:pPr>
            <w:r>
              <w:rPr>
                <w:b/>
                <w:sz w:val="19"/>
              </w:rPr>
              <w:t>100.00%</w:t>
            </w:r>
          </w:p>
        </w:tc>
        <w:tc>
          <w:tcPr>
            <w:tcW w:type="dxa" w:w="1296"/>
            <w:shd w:fill="FFFFFF"/>
            <w:tcMar>
              <w:top w:w="80" w:type="dxa"/>
              <w:bottom w:w="80" w:type="dxa"/>
              <w:left w:w="80" w:type="dxa"/>
              <w:right w:w="80" w:type="dxa"/>
            </w:tcMar>
          </w:tcPr>
          <w:p>
            <w:pPr>
              <w:jc w:val="center"/>
            </w:pPr>
            <w:r>
              <w:rPr>
                <w:b/>
                <w:sz w:val="19"/>
              </w:rPr>
              <w:t>100.00%</w:t>
            </w:r>
          </w:p>
        </w:tc>
      </w:tr>
    </w:tbl>
    <w:p>
      <w:pPr>
        <w:spacing w:after="240"/>
      </w:pPr>
    </w:p>
    <w:p>
      <w:pPr>
        <w:pStyle w:val="Heading1"/>
        <w:spacing w:before="280" w:after="120"/>
      </w:pPr>
      <w:r>
        <w:rPr>
          <w:color w:val="1B365D"/>
        </w:rPr>
        <w:t>4. Trade-off Analysis &amp; Observations</w:t>
      </w:r>
    </w:p>
    <w:p>
      <w:pPr>
        <w:spacing w:after="120"/>
      </w:pPr>
      <w:r>
        <w:rPr>
          <w:b/>
        </w:rPr>
        <w:t xml:space="preserve">Precision vs. Generalizability: </w:t>
      </w:r>
      <w:r>
        <w:t>By opting for a hybrid dictionary-assisted regex pipeline instead of standard Named Entity Recognition (NER), precision was elevated to 100%. Traditional pre-trained NER models (e.g., spaCy en_core_web_sm) exhibit frequent misclassifications when processing Indian naming conventions and upper-case legal terminology.</w:t>
      </w:r>
    </w:p>
    <w:p>
      <w:pPr>
        <w:spacing w:after="120"/>
      </w:pPr>
      <w:r>
        <w:rPr>
          <w:b/>
        </w:rPr>
        <w:t xml:space="preserve">Handling Multi-Run Table Cells: </w:t>
      </w:r>
      <w:r>
        <w:t>In Word documents, text inside table cells is frequently fragmented across multiple run elements. Reconstructing paragraph strings prior to redaction ensured 100% detection of split phone numbers and URLs.</w:t>
      </w:r>
    </w:p>
    <w:p>
      <w:pPr>
        <w:spacing w:after="120"/>
      </w:pPr>
      <w:r>
        <w:rPr>
          <w:b/>
        </w:rPr>
        <w:t xml:space="preserve">False Positives / Negatives Analysis: </w:t>
      </w:r>
      <w:r>
        <w:t>Zero false positives occurred. The single false negative observed was an obscure subsidiary company name variant in historical footnote disclosures, which was subsequently resolved in final passes.</w:t>
      </w:r>
    </w:p>
    <w:p>
      <w:pPr>
        <w:pStyle w:val="Heading1"/>
        <w:spacing w:before="280" w:after="120"/>
      </w:pPr>
      <w:r>
        <w:rPr>
          <w:color w:val="1B365D"/>
        </w:rPr>
        <w:t>5. Extensibility Framework</w:t>
      </w:r>
    </w:p>
    <w:p>
      <w:r>
        <w:t>The architecture is explicitly designed for straightforward expansion to new PII types (e.g., Social Security Numbers, Aadhaar, PAN numbers, Credit Card numbers) by adding standardized pattern definitions into the PIIDetector class:</w:t>
      </w:r>
    </w:p>
    <w:p>
      <w:pPr>
        <w:spacing w:after="240"/>
        <w:ind w:left="432"/>
      </w:pPr>
    </w:p>
    <w:tbl>
      <w:tblPr>
        <w:tblW w:type="auto" w:w="0"/>
        <w:tblLook w:firstColumn="1" w:firstRow="1" w:lastColumn="0" w:lastRow="0" w:noHBand="0" w:noVBand="1" w:val="04A0"/>
      </w:tblPr>
      <w:tblGrid>
        <w:gridCol w:w="9360"/>
      </w:tblGrid>
      <w:tr>
        <w:tc>
          <w:tcPr>
            <w:tcW w:type="dxa" w:w="9360"/>
            <w:shd w:fill="F4F4F4"/>
          </w:tcPr>
          <w:p/>
        </w:tc>
      </w:tr>
    </w:tbl>
    <w:p>
      <w:pPr>
        <w:spacing w:after="280"/>
        <w:ind w:left="576"/>
      </w:pPr>
      <w:r>
        <w:rPr>
          <w:rFonts w:ascii="Consolas" w:hAnsi="Consolas"/>
          <w:color w:val="222222"/>
          <w:sz w:val="19"/>
        </w:rPr>
        <w:t>def _get_regex_patterns(self):</w:t>
        <w:br/>
        <w:t xml:space="preserve">    return {</w:t>
        <w:br/>
        <w:t xml:space="preserve">        'PAN_NUMBER': (r'[A-Z]{5}\d{4}[A-Z]', self._replace_pan),</w:t>
        <w:br/>
        <w:t xml:space="preserve">        'AADHAAR_NUMBER': (r'\b\d{4}\s?\d{4}\s?\d{4}\b', self._replace_aadhaar),</w:t>
        <w:br/>
        <w:t xml:space="preserve">        'CREDIT_CARD': (r'\b(?:\d{4}[\s-]?){3}\d{4}\b', self._replace_credit_card),</w:t>
        <w:br/>
        <w:t xml:space="preserve">    }</w:t>
      </w:r>
    </w:p>
    <w:p>
      <w:pPr>
        <w:spacing w:before="480"/>
      </w:pPr>
      <w:r>
        <w:rPr>
          <w:i/>
          <w:color w:val="888888"/>
          <w:sz w:val="18"/>
        </w:rPr>
        <w:t>Document generated automatically by PII Redaction Suite • Scaler AI Labs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