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64E63"/>
          <w:sz w:val="76"/>
        </w:rPr>
        <w:t>MANTRIX</w:t>
      </w:r>
    </w:p>
    <w:p>
      <w:pPr>
        <w:jc w:val="center"/>
      </w:pPr>
      <w:r>
        <w:rPr>
          <w:color w:val="0F766E"/>
          <w:sz w:val="34"/>
        </w:rPr>
        <w:t>AI-Powered Education &amp; Career Guidance Platform</w:t>
      </w:r>
    </w:p>
    <w:p>
      <w:pPr>
        <w:spacing w:before="280"/>
        <w:jc w:val="center"/>
      </w:pPr>
      <w:r>
        <w:rPr>
          <w:b/>
          <w:color w:val="475569"/>
          <w:sz w:val="24"/>
        </w:rPr>
        <w:t>PROJECT OVERVIEW AND STRATEGIC REPORT</w:t>
      </w:r>
    </w:p>
    <w:p>
      <w:pPr>
        <w:spacing w:before="700"/>
        <w:jc w:val="center"/>
      </w:pPr>
      <w:r>
        <w:rPr>
          <w:i/>
          <w:color w:val="164E63"/>
          <w:sz w:val="30"/>
        </w:rPr>
        <w:t>Discover Your Path. Plan Your Future.</w:t>
      </w:r>
    </w:p>
    <w:p>
      <w:pPr>
        <w:spacing w:before="1700"/>
        <w:jc w:val="center"/>
      </w:pPr>
      <w:r>
        <w:rPr>
          <w:color w:val="64748B"/>
          <w:sz w:val="20"/>
        </w:rPr>
        <w:t>Technology direction: Google Gemini • Firebase • React Native • Next.js</w:t>
      </w:r>
    </w:p>
    <w:p>
      <w:r>
        <w:br w:type="page"/>
      </w:r>
    </w:p>
    <w:p>
      <w:pPr>
        <w:pStyle w:val="Heading1"/>
        <w:keepNext/>
      </w:pPr>
      <w:r>
        <w:t>Contents</w:t>
      </w:r>
    </w:p>
    <w:p>
      <w:pPr>
        <w:pStyle w:val="ListBullet"/>
        <w:spacing w:after="40"/>
      </w:pPr>
      <w:r>
        <w:t>1. Executive Summary</w:t>
      </w:r>
    </w:p>
    <w:p>
      <w:pPr>
        <w:pStyle w:val="ListBullet"/>
        <w:spacing w:after="40"/>
      </w:pPr>
      <w:r>
        <w:t>2. What Is Mantrix?</w:t>
      </w:r>
    </w:p>
    <w:p>
      <w:pPr>
        <w:pStyle w:val="ListBullet"/>
        <w:spacing w:after="40"/>
      </w:pPr>
      <w:r>
        <w:t>3. Core Problems Faced by Users</w:t>
      </w:r>
    </w:p>
    <w:p>
      <w:pPr>
        <w:pStyle w:val="ListBullet"/>
        <w:spacing w:after="40"/>
      </w:pPr>
      <w:r>
        <w:t>4. The Mantrix Solution and Student Journey</w:t>
      </w:r>
    </w:p>
    <w:p>
      <w:pPr>
        <w:pStyle w:val="ListBullet"/>
        <w:spacing w:after="40"/>
      </w:pPr>
      <w:r>
        <w:t>5. Core Features and Modules</w:t>
      </w:r>
    </w:p>
    <w:p>
      <w:pPr>
        <w:pStyle w:val="ListBullet"/>
        <w:spacing w:after="40"/>
      </w:pPr>
      <w:r>
        <w:t>6. Why Choose Mantrix? Competitive Differentiation</w:t>
      </w:r>
    </w:p>
    <w:p>
      <w:pPr>
        <w:pStyle w:val="ListBullet"/>
        <w:spacing w:after="40"/>
      </w:pPr>
      <w:r>
        <w:t>7. Technology Architecture</w:t>
      </w:r>
    </w:p>
    <w:p>
      <w:pPr>
        <w:pStyle w:val="ListBullet"/>
        <w:spacing w:after="40"/>
      </w:pPr>
      <w:r>
        <w:t>8. Responsible AI, Trust, and Data Protection</w:t>
      </w:r>
    </w:p>
    <w:p>
      <w:pPr>
        <w:pStyle w:val="ListBullet"/>
        <w:spacing w:after="40"/>
      </w:pPr>
      <w:r>
        <w:t>9. Target Users and Expected Benefits</w:t>
      </w:r>
    </w:p>
    <w:p>
      <w:pPr>
        <w:pStyle w:val="ListBullet"/>
        <w:spacing w:after="40"/>
      </w:pPr>
      <w:r>
        <w:t>10. Implementation Priorities</w:t>
      </w:r>
    </w:p>
    <w:p>
      <w:pPr>
        <w:pStyle w:val="ListBullet"/>
        <w:spacing w:after="40"/>
      </w:pPr>
      <w:r>
        <w:t>11. Success Metrics and Pilot Evaluation</w:t>
      </w:r>
    </w:p>
    <w:p>
      <w:pPr>
        <w:pStyle w:val="ListBullet"/>
        <w:spacing w:after="40"/>
      </w:pPr>
      <w:r>
        <w:t>12. Vision, Mission, and Positioning</w:t>
      </w:r>
    </w:p>
    <w:p>
      <w:pPr>
        <w:pStyle w:val="ListBullet"/>
        <w:spacing w:after="40"/>
      </w:pPr>
      <w:r>
        <w:t>13. Presentation-Ready Pitch</w:t>
      </w:r>
    </w:p>
    <w:p>
      <w:r>
        <w:br w:type="page"/>
      </w:r>
    </w:p>
    <w:p>
      <w:pPr>
        <w:pStyle w:val="Heading1"/>
        <w:keepNext/>
      </w:pPr>
      <w:r>
        <w:t>1. Executive Summary</w:t>
      </w:r>
    </w:p>
    <w:p>
      <w:r>
        <w:t>Mantrix is an AI-powered education and career guidance platform designed to help students make informed decisions about their education, career, and future. It brings personalized guidance, course discovery, government college information, learning resources, admissions, scholarships, and mentorship into one connected experience.</w:t>
      </w:r>
    </w:p>
    <w:p>
      <w:r>
        <w:t>Many students face a difficult transition after Class 10 or Class 12. They must decide what to study, which career to pursue, which college to choose, how to meet admission requirements, and how to finance their education. The information needed to make these decisions is often spread across websites, social media, counselling services, college portals, and government schemes.</w:t>
      </w:r>
    </w:p>
    <w:p>
      <w:r>
        <w:t>Mantrix aims to connect these steps. A structured cognitive and interest assessment, student preferences, academic context, and verified education data will inform personalized recommendations. Google Gemini will help explain assessment results and generate understandable roadmaps. Firebase will support identity, data storage, and online workflows, while the mobile app will preserve selected guidance and core assessment features when internet access is unavailable.</w:t>
      </w:r>
    </w:p>
    <w:p>
      <w:r>
        <w:rPr>
          <w:b/>
        </w:rPr>
        <w:t xml:space="preserve">Core objective: </w:t>
      </w:r>
      <w:r>
        <w:t>Help students move from confusion to informed choice, from informed choice to action, and from action to educational opportunity.</w:t>
      </w:r>
    </w:p>
    <w:p>
      <w:r>
        <w:t>This report describes the intended product and architecture. It does not claim that every feature is already implemented.</w:t>
      </w:r>
    </w:p>
    <w:p>
      <w:pPr>
        <w:pStyle w:val="Heading1"/>
        <w:keepNext/>
      </w:pPr>
      <w:r>
        <w:t>2. What Is Mantrix?</w:t>
      </w:r>
    </w:p>
    <w:p>
      <w:r>
        <w:t>Mantrix is intended to be more than a career chatbot, college directory, or online learning platform. It is a connected education guidance system that helps students understand their options and take practical steps toward their goals.</w:t>
      </w:r>
    </w:p>
    <w:p>
      <w:pPr>
        <w:pStyle w:val="Heading2"/>
        <w:keepNext/>
      </w:pPr>
      <w:r>
        <w:t>Four layers of the platform</w:t>
      </w:r>
    </w:p>
    <w:p>
      <w:pPr>
        <w:pStyle w:val="ListNumber"/>
        <w:spacing w:after="40"/>
      </w:pPr>
      <w:r>
        <w:t>Understand the student: assess interests, preferences, goals, and relevant academic context.</w:t>
      </w:r>
    </w:p>
    <w:p>
      <w:pPr>
        <w:pStyle w:val="ListNumber"/>
        <w:spacing w:after="40"/>
      </w:pPr>
      <w:r>
        <w:t>Guide the student: recommend possible career paths, courses, skills, and learning resources.</w:t>
      </w:r>
    </w:p>
    <w:p>
      <w:pPr>
        <w:pStyle w:val="ListNumber"/>
        <w:spacing w:after="40"/>
      </w:pPr>
      <w:r>
        <w:t>Connect the student to opportunities: help discover colleges, admissions, scholarships, mentorship, and jobs.</w:t>
      </w:r>
    </w:p>
    <w:p>
      <w:pPr>
        <w:pStyle w:val="ListNumber"/>
        <w:spacing w:after="40"/>
      </w:pPr>
      <w:r>
        <w:t>Support the journey: track progress, save guidance for offline access, and connect students with institutions responsible for official decisions.</w:t>
      </w:r>
    </w:p>
    <w:p>
      <w:pPr>
        <w:pStyle w:val="Heading2"/>
        <w:keepNext/>
      </w:pPr>
      <w:r>
        <w:t>Planned interfaces</w:t>
      </w:r>
    </w:p>
    <w:p>
      <w:pPr>
        <w:pStyle w:val="ListBullet"/>
        <w:spacing w:after="40"/>
      </w:pPr>
      <w:r>
        <w:t>Mantrix Mobile: a React Native application designed for students, including users who may have limited or unreliable internet access.</w:t>
      </w:r>
    </w:p>
    <w:p>
      <w:pPr>
        <w:pStyle w:val="ListBullet"/>
        <w:spacing w:after="40"/>
      </w:pPr>
      <w:r>
        <w:t>Mantrix Web: a Next.js website for students and institutional users, including colleges, mentors, and authorized financial-assistance stakeholders.</w:t>
      </w:r>
    </w:p>
    <w:p>
      <w:r>
        <w:t>Both interfaces will use the same Firebase backend so that users can access the same authorized records and application statuses across devices.</w:t>
      </w:r>
    </w:p>
    <w:p>
      <w:pPr>
        <w:pStyle w:val="Heading1"/>
        <w:keepNext/>
      </w:pPr>
      <w:r>
        <w:t>3. Core Problems Faced by Users</w:t>
      </w:r>
    </w:p>
    <w:p>
      <w:pPr>
        <w:pStyle w:val="Heading2"/>
        <w:keepNext/>
      </w:pPr>
      <w:r>
        <w:t>3.1 Uncertainty about career choices</w:t>
      </w:r>
    </w:p>
    <w:p>
      <w:r>
        <w:rPr>
          <w:b/>
        </w:rPr>
        <w:t xml:space="preserve">User problem: </w:t>
      </w:r>
      <w:r>
        <w:t>Students may have little clarity about which paths fit their interests, preferences, abilities, and circumstances. They may follow friends, family pressure, or popular trends without understanding course requirements or career outcomes.</w:t>
      </w:r>
    </w:p>
    <w:p>
      <w:r>
        <w:rPr>
          <w:b/>
        </w:rPr>
        <w:t xml:space="preserve">How Mantrix addresses it: </w:t>
      </w:r>
      <w:r>
        <w:t>Mantrix response: use a structured cognitive and interest assessment, student-provided information, and transparent recommendations to suggest multiple possible pathways. Gemini explains the results without forcing a student into a single career.</w:t>
      </w:r>
    </w:p>
    <w:p>
      <w:pPr>
        <w:pStyle w:val="Heading2"/>
        <w:keepNext/>
      </w:pPr>
      <w:r>
        <w:t>3.2 Limited awareness of government colleges</w:t>
      </w:r>
    </w:p>
    <w:p>
      <w:r>
        <w:rPr>
          <w:b/>
        </w:rPr>
        <w:t xml:space="preserve">User problem: </w:t>
      </w:r>
      <w:r>
        <w:t>Students and parents may not know which government colleges are nearby, which courses are offered, what eligibility rules apply, or which facilities are available.</w:t>
      </w:r>
    </w:p>
    <w:p>
      <w:r>
        <w:rPr>
          <w:b/>
        </w:rPr>
        <w:t xml:space="preserve">How Mantrix addresses it: </w:t>
      </w:r>
      <w:r>
        <w:t>Mantrix response: provide a searchable college directory with location, courses, eligibility, facilities, and relevant admission information. College data should be verified, dated, and clearly contextualized.</w:t>
      </w:r>
    </w:p>
    <w:p>
      <w:pPr>
        <w:pStyle w:val="Heading2"/>
        <w:keepNext/>
      </w:pPr>
      <w:r>
        <w:t>3.3 Fragmented education information</w:t>
      </w:r>
    </w:p>
    <w:p>
      <w:r>
        <w:rPr>
          <w:b/>
        </w:rPr>
        <w:t xml:space="preserve">User problem: </w:t>
      </w:r>
      <w:r>
        <w:t>College details, entrance examinations, scholarships, counselling, and learning resources are often spread across different platforms. This can cause confusion, missed deadlines, and abandoned applications.</w:t>
      </w:r>
    </w:p>
    <w:p>
      <w:r>
        <w:rPr>
          <w:b/>
        </w:rPr>
        <w:t xml:space="preserve">How Mantrix addresses it: </w:t>
      </w:r>
      <w:r>
        <w:t>Mantrix response: connect guidance, discovery, preparation, and supported application tracking in one experience, while linking to official portals where necessary.</w:t>
      </w:r>
    </w:p>
    <w:p>
      <w:pPr>
        <w:pStyle w:val="Heading2"/>
        <w:keepNext/>
      </w:pPr>
      <w:r>
        <w:t>3.4 Weak connection between courses and careers</w:t>
      </w:r>
    </w:p>
    <w:p>
      <w:r>
        <w:rPr>
          <w:b/>
        </w:rPr>
        <w:t xml:space="preserve">User problem: </w:t>
      </w:r>
      <w:r>
        <w:t>A course title does not explain the skills it develops, further study options, or possible employment pathways.</w:t>
      </w:r>
    </w:p>
    <w:p>
      <w:r>
        <w:rPr>
          <w:b/>
        </w:rPr>
        <w:t xml:space="preserve">How Mantrix addresses it: </w:t>
      </w:r>
      <w:r>
        <w:t>Mantrix response: connect courses with skills, learning milestones, further education, and possible career options. Gemini can organize verified information into understandable roadmaps.</w:t>
      </w:r>
    </w:p>
    <w:p>
      <w:pPr>
        <w:pStyle w:val="Heading2"/>
        <w:keepNext/>
      </w:pPr>
      <w:r>
        <w:t>3.5 Financial barriers and low scholarship awareness</w:t>
      </w:r>
    </w:p>
    <w:p>
      <w:r>
        <w:rPr>
          <w:b/>
        </w:rPr>
        <w:t xml:space="preserve">User problem: </w:t>
      </w:r>
      <w:r>
        <w:t>Students may be unaware of relevant scholarships, fee assistance, education loans, or required documents.</w:t>
      </w:r>
    </w:p>
    <w:p>
      <w:r>
        <w:rPr>
          <w:b/>
        </w:rPr>
        <w:t xml:space="preserve">How Mantrix addresses it: </w:t>
      </w:r>
      <w:r>
        <w:t>Mantrix response: help students discover opportunities, understand published eligibility requirements, prepare applications, and track supported workflows. Authorities and banks retain control of approval decisions.</w:t>
      </w:r>
    </w:p>
    <w:p>
      <w:pPr>
        <w:pStyle w:val="Heading2"/>
        <w:keepNext/>
      </w:pPr>
      <w:r>
        <w:t>3.6 Unreliable internet access</w:t>
      </w:r>
    </w:p>
    <w:p>
      <w:r>
        <w:rPr>
          <w:b/>
        </w:rPr>
        <w:t xml:space="preserve">User problem: </w:t>
      </w:r>
      <w:r>
        <w:t>Students in low-connectivity areas may be unable to use services that require a continuous internet connection.</w:t>
      </w:r>
    </w:p>
    <w:p>
      <w:r>
        <w:rPr>
          <w:b/>
        </w:rPr>
        <w:t xml:space="preserve">How Mantrix addresses it: </w:t>
      </w:r>
      <w:r>
        <w:t>Mantrix response: support offline assessment, locally calculated results, saved roadmaps, cached college information, downloaded learning materials, and draft preparation. Official actions remain pending until the server confirms them.</w:t>
      </w:r>
    </w:p>
    <w:p>
      <w:pPr>
        <w:pStyle w:val="Heading2"/>
        <w:keepNext/>
      </w:pPr>
      <w:r>
        <w:t>3.7 Limited access to mentors and institutional support</w:t>
      </w:r>
    </w:p>
    <w:p>
      <w:r>
        <w:rPr>
          <w:b/>
        </w:rPr>
        <w:t xml:space="preserve">User problem: </w:t>
      </w:r>
      <w:r>
        <w:t>Students may need help understanding choices or preparing for opportunities, while colleges and institutions may want to engage prospective students.</w:t>
      </w:r>
    </w:p>
    <w:p>
      <w:r>
        <w:rPr>
          <w:b/>
        </w:rPr>
        <w:t xml:space="preserve">How Mantrix addresses it: </w:t>
      </w:r>
      <w:r>
        <w:t>Mantrix response: provide planned college and mentor portals, authorized mentoring workflows, and verified contribution records where participating institutions support them.</w:t>
      </w:r>
    </w:p>
    <w:p>
      <w:pPr>
        <w:pStyle w:val="Heading1"/>
        <w:keepNext/>
      </w:pPr>
      <w:r>
        <w:t>4. The Mantrix Solution and Student Journey</w:t>
      </w:r>
    </w:p>
    <w:p>
      <w:r>
        <w:t>Mantrix is designed around one principle: do not just tell students what they could do; help them understand their options and take the next step.</w:t>
      </w:r>
    </w:p>
    <w:p>
      <w:pPr>
        <w:pStyle w:val="ListNumber"/>
        <w:spacing w:after="40"/>
      </w:pPr>
      <w:r>
        <w:t>Student creates an account and builds a profile.</w:t>
      </w:r>
    </w:p>
    <w:p>
      <w:pPr>
        <w:pStyle w:val="ListNumber"/>
        <w:spacing w:after="40"/>
      </w:pPr>
      <w:r>
        <w:t>Student completes a structured cognitive and interest assessment.</w:t>
      </w:r>
    </w:p>
    <w:p>
      <w:pPr>
        <w:pStyle w:val="ListNumber"/>
        <w:spacing w:after="40"/>
      </w:pPr>
      <w:r>
        <w:t>The system calculates scores using a documented scoring rubric.</w:t>
      </w:r>
    </w:p>
    <w:p>
      <w:pPr>
        <w:pStyle w:val="ListNumber"/>
        <w:spacing w:after="40"/>
      </w:pPr>
      <w:r>
        <w:t>Gemini explains the results in understandable language.</w:t>
      </w:r>
    </w:p>
    <w:p>
      <w:pPr>
        <w:pStyle w:val="ListNumber"/>
        <w:spacing w:after="40"/>
      </w:pPr>
      <w:r>
        <w:t>Mantrix generates personalized career and education roadmaps.</w:t>
      </w:r>
    </w:p>
    <w:p>
      <w:pPr>
        <w:pStyle w:val="ListNumber"/>
        <w:spacing w:after="40"/>
      </w:pPr>
      <w:r>
        <w:t>Student explores and compares courses and pathways.</w:t>
      </w:r>
    </w:p>
    <w:p>
      <w:pPr>
        <w:pStyle w:val="ListNumber"/>
        <w:spacing w:after="40"/>
      </w:pPr>
      <w:r>
        <w:t>Student discovers suitable colleges using verified information.</w:t>
      </w:r>
    </w:p>
    <w:p>
      <w:pPr>
        <w:pStyle w:val="ListNumber"/>
        <w:spacing w:after="40"/>
      </w:pPr>
      <w:r>
        <w:t>Student explores learning resources, scholarships, and other opportunities.</w:t>
      </w:r>
    </w:p>
    <w:p>
      <w:pPr>
        <w:pStyle w:val="ListNumber"/>
        <w:spacing w:after="40"/>
      </w:pPr>
      <w:r>
        <w:t>Student prepares an application and submits it when online.</w:t>
      </w:r>
    </w:p>
    <w:p>
      <w:pPr>
        <w:pStyle w:val="ListNumber"/>
        <w:spacing w:after="40"/>
      </w:pPr>
      <w:r>
        <w:t>Authorized college staff review the application and update its official status.</w:t>
      </w:r>
    </w:p>
    <w:p>
      <w:pPr>
        <w:pStyle w:val="ListNumber"/>
        <w:spacing w:after="40"/>
      </w:pPr>
      <w:r>
        <w:t>Student tracks progress and continues learning and planning.</w:t>
      </w:r>
    </w:p>
    <w:p>
      <w:r>
        <w:t>The journey should also support students who already have a career goal and want to work backwards to identify education requirements, colleges, skills, and financial-assistance options.</w:t>
      </w:r>
    </w:p>
    <w:p>
      <w:pPr>
        <w:pStyle w:val="Heading1"/>
        <w:keepNext/>
      </w:pPr>
      <w:r>
        <w:t>5. Core Features and Modules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64E63"/>
          </w:tcPr>
          <w:p>
            <w:pPr>
              <w:spacing w:after="40"/>
            </w:pPr>
            <w:r/>
            <w:r>
              <w:rPr>
                <w:rFonts w:ascii="Aptos" w:hAnsi="Aptos"/>
                <w:b/>
                <w:color w:val="FFFFFF"/>
                <w:sz w:val="18"/>
              </w:rPr>
              <w:t>Module</w:t>
            </w:r>
          </w:p>
        </w:tc>
        <w:tc>
          <w:tcPr>
            <w:tcW w:type="dxa" w:w="4536"/>
            <w:vAlign w:val="center"/>
            <w:shd w:fill="164E63"/>
          </w:tcPr>
          <w:p>
            <w:pPr>
              <w:spacing w:after="40"/>
            </w:pPr>
            <w:r/>
            <w:r>
              <w:rPr>
                <w:rFonts w:ascii="Aptos" w:hAnsi="Aptos"/>
                <w:b/>
                <w:color w:val="FFFFFF"/>
                <w:sz w:val="18"/>
              </w:rPr>
              <w:t>Planned capabilities</w:t>
            </w:r>
          </w:p>
        </w:tc>
        <w:tc>
          <w:tcPr>
            <w:tcW w:type="dxa" w:w="2880"/>
            <w:vAlign w:val="center"/>
            <w:shd w:fill="164E63"/>
          </w:tcPr>
          <w:p>
            <w:pPr>
              <w:spacing w:after="40"/>
            </w:pPr>
            <w:r/>
            <w:r>
              <w:rPr>
                <w:rFonts w:ascii="Aptos" w:hAnsi="Aptos"/>
                <w:b/>
                <w:color w:val="FFFFFF"/>
                <w:sz w:val="18"/>
              </w:rPr>
              <w:t>User benefit</w:t>
            </w:r>
          </w:p>
        </w:tc>
      </w:tr>
      <w:tr>
        <w:tc>
          <w:tcPr>
            <w:tcW w:type="dxa" w:w="2232"/>
            <w:vAlign w:val="center"/>
          </w:tcPr>
          <w:p>
            <w:pPr>
              <w:spacing w:after="40"/>
            </w:pPr>
            <w:r/>
            <w:r>
              <w:rPr>
                <w:rFonts w:ascii="Aptos" w:hAnsi="Aptos"/>
                <w:b w:val="0"/>
                <w:sz w:val="17"/>
              </w:rPr>
              <w:t>Student profile</w:t>
            </w:r>
          </w:p>
        </w:tc>
        <w:tc>
          <w:tcPr>
            <w:tcW w:type="dxa" w:w="4536"/>
            <w:vAlign w:val="center"/>
          </w:tcPr>
          <w:p>
            <w:pPr>
              <w:spacing w:after="40"/>
            </w:pPr>
            <w:r/>
            <w:r>
              <w:rPr>
                <w:rFonts w:ascii="Aptos" w:hAnsi="Aptos"/>
                <w:b w:val="0"/>
                <w:sz w:val="17"/>
              </w:rPr>
              <w:t>Academic background, interests, location, goals, preferences</w:t>
            </w:r>
          </w:p>
        </w:tc>
        <w:tc>
          <w:tcPr>
            <w:tcW w:type="dxa" w:w="2880"/>
            <w:vAlign w:val="center"/>
          </w:tcPr>
          <w:p>
            <w:pPr>
              <w:spacing w:after="40"/>
            </w:pPr>
            <w:r/>
            <w:r>
              <w:rPr>
                <w:rFonts w:ascii="Aptos" w:hAnsi="Aptos"/>
                <w:b w:val="0"/>
                <w:sz w:val="17"/>
              </w:rPr>
              <w:t>Guidance tailored to the student's circumstances</w:t>
            </w:r>
          </w:p>
        </w:tc>
      </w:tr>
      <w:tr>
        <w:tc>
          <w:tcPr>
            <w:tcW w:type="dxa" w:w="2232"/>
            <w:vAlign w:val="center"/>
            <w:shd w:fill="F1F5F9"/>
          </w:tcPr>
          <w:p>
            <w:pPr>
              <w:spacing w:after="40"/>
            </w:pPr>
            <w:r/>
            <w:r>
              <w:rPr>
                <w:rFonts w:ascii="Aptos" w:hAnsi="Aptos"/>
                <w:b w:val="0"/>
                <w:sz w:val="17"/>
              </w:rPr>
              <w:t>Cognitive and interest assessment</w:t>
            </w:r>
          </w:p>
        </w:tc>
        <w:tc>
          <w:tcPr>
            <w:tcW w:type="dxa" w:w="4536"/>
            <w:vAlign w:val="center"/>
            <w:shd w:fill="F1F5F9"/>
          </w:tcPr>
          <w:p>
            <w:pPr>
              <w:spacing w:after="40"/>
            </w:pPr>
            <w:r/>
            <w:r>
              <w:rPr>
                <w:rFonts w:ascii="Aptos" w:hAnsi="Aptos"/>
                <w:b w:val="0"/>
                <w:sz w:val="17"/>
              </w:rPr>
              <w:t>Structured questions, scoring, results, explanations</w:t>
            </w:r>
          </w:p>
        </w:tc>
        <w:tc>
          <w:tcPr>
            <w:tcW w:type="dxa" w:w="2880"/>
            <w:vAlign w:val="center"/>
            <w:shd w:fill="F1F5F9"/>
          </w:tcPr>
          <w:p>
            <w:pPr>
              <w:spacing w:after="40"/>
            </w:pPr>
            <w:r/>
            <w:r>
              <w:rPr>
                <w:rFonts w:ascii="Aptos" w:hAnsi="Aptos"/>
                <w:b w:val="0"/>
                <w:sz w:val="17"/>
              </w:rPr>
              <w:t>Understand potential interests and pathways</w:t>
            </w:r>
          </w:p>
        </w:tc>
      </w:tr>
      <w:tr>
        <w:tc>
          <w:tcPr>
            <w:tcW w:type="dxa" w:w="2232"/>
            <w:vAlign w:val="center"/>
          </w:tcPr>
          <w:p>
            <w:pPr>
              <w:spacing w:after="40"/>
            </w:pPr>
            <w:r/>
            <w:r>
              <w:rPr>
                <w:rFonts w:ascii="Aptos" w:hAnsi="Aptos"/>
                <w:b w:val="0"/>
                <w:sz w:val="17"/>
              </w:rPr>
              <w:t>AI career roadmap</w:t>
            </w:r>
          </w:p>
        </w:tc>
        <w:tc>
          <w:tcPr>
            <w:tcW w:type="dxa" w:w="4536"/>
            <w:vAlign w:val="center"/>
          </w:tcPr>
          <w:p>
            <w:pPr>
              <w:spacing w:after="40"/>
            </w:pPr>
            <w:r/>
            <w:r>
              <w:rPr>
                <w:rFonts w:ascii="Aptos" w:hAnsi="Aptos"/>
                <w:b w:val="0"/>
                <w:sz w:val="17"/>
              </w:rPr>
              <w:t>Steps, skills, courses, learning resources, further study</w:t>
            </w:r>
          </w:p>
        </w:tc>
        <w:tc>
          <w:tcPr>
            <w:tcW w:type="dxa" w:w="2880"/>
            <w:vAlign w:val="center"/>
          </w:tcPr>
          <w:p>
            <w:pPr>
              <w:spacing w:after="40"/>
            </w:pPr>
            <w:r/>
            <w:r>
              <w:rPr>
                <w:rFonts w:ascii="Aptos" w:hAnsi="Aptos"/>
                <w:b w:val="0"/>
                <w:sz w:val="17"/>
              </w:rPr>
              <w:t>A practical plan rather than vague advice</w:t>
            </w:r>
          </w:p>
        </w:tc>
      </w:tr>
      <w:tr>
        <w:tc>
          <w:tcPr>
            <w:tcW w:type="dxa" w:w="2232"/>
            <w:vAlign w:val="center"/>
            <w:shd w:fill="F1F5F9"/>
          </w:tcPr>
          <w:p>
            <w:pPr>
              <w:spacing w:after="40"/>
            </w:pPr>
            <w:r/>
            <w:r>
              <w:rPr>
                <w:rFonts w:ascii="Aptos" w:hAnsi="Aptos"/>
                <w:b w:val="0"/>
                <w:sz w:val="17"/>
              </w:rPr>
              <w:t>Course discovery</w:t>
            </w:r>
          </w:p>
        </w:tc>
        <w:tc>
          <w:tcPr>
            <w:tcW w:type="dxa" w:w="4536"/>
            <w:vAlign w:val="center"/>
            <w:shd w:fill="F1F5F9"/>
          </w:tcPr>
          <w:p>
            <w:pPr>
              <w:spacing w:after="40"/>
            </w:pPr>
            <w:r/>
            <w:r>
              <w:rPr>
                <w:rFonts w:ascii="Aptos" w:hAnsi="Aptos"/>
                <w:b w:val="0"/>
                <w:sz w:val="17"/>
              </w:rPr>
              <w:t>Course details, eligibility, comparisons, career connections</w:t>
            </w:r>
          </w:p>
        </w:tc>
        <w:tc>
          <w:tcPr>
            <w:tcW w:type="dxa" w:w="2880"/>
            <w:vAlign w:val="center"/>
            <w:shd w:fill="F1F5F9"/>
          </w:tcPr>
          <w:p>
            <w:pPr>
              <w:spacing w:after="40"/>
            </w:pPr>
            <w:r/>
            <w:r>
              <w:rPr>
                <w:rFonts w:ascii="Aptos" w:hAnsi="Aptos"/>
                <w:b w:val="0"/>
                <w:sz w:val="17"/>
              </w:rPr>
              <w:t>More informed academic choices</w:t>
            </w:r>
          </w:p>
        </w:tc>
      </w:tr>
      <w:tr>
        <w:tc>
          <w:tcPr>
            <w:tcW w:type="dxa" w:w="2232"/>
            <w:vAlign w:val="center"/>
          </w:tcPr>
          <w:p>
            <w:pPr>
              <w:spacing w:after="40"/>
            </w:pPr>
            <w:r/>
            <w:r>
              <w:rPr>
                <w:rFonts w:ascii="Aptos" w:hAnsi="Aptos"/>
                <w:b w:val="0"/>
                <w:sz w:val="17"/>
              </w:rPr>
              <w:t>Government college finder</w:t>
            </w:r>
          </w:p>
        </w:tc>
        <w:tc>
          <w:tcPr>
            <w:tcW w:type="dxa" w:w="4536"/>
            <w:vAlign w:val="center"/>
          </w:tcPr>
          <w:p>
            <w:pPr>
              <w:spacing w:after="40"/>
            </w:pPr>
            <w:r/>
            <w:r>
              <w:rPr>
                <w:rFonts w:ascii="Aptos" w:hAnsi="Aptos"/>
                <w:b w:val="0"/>
                <w:sz w:val="17"/>
              </w:rPr>
              <w:t>Search by location, courses, eligibility, facilities</w:t>
            </w:r>
          </w:p>
        </w:tc>
        <w:tc>
          <w:tcPr>
            <w:tcW w:type="dxa" w:w="2880"/>
            <w:vAlign w:val="center"/>
          </w:tcPr>
          <w:p>
            <w:pPr>
              <w:spacing w:after="40"/>
            </w:pPr>
            <w:r/>
            <w:r>
              <w:rPr>
                <w:rFonts w:ascii="Aptos" w:hAnsi="Aptos"/>
                <w:b w:val="0"/>
                <w:sz w:val="17"/>
              </w:rPr>
              <w:t>Discover accessible institutions</w:t>
            </w:r>
          </w:p>
        </w:tc>
      </w:tr>
      <w:tr>
        <w:tc>
          <w:tcPr>
            <w:tcW w:type="dxa" w:w="2232"/>
            <w:vAlign w:val="center"/>
            <w:shd w:fill="F1F5F9"/>
          </w:tcPr>
          <w:p>
            <w:pPr>
              <w:spacing w:after="40"/>
            </w:pPr>
            <w:r/>
            <w:r>
              <w:rPr>
                <w:rFonts w:ascii="Aptos" w:hAnsi="Aptos"/>
                <w:b w:val="0"/>
                <w:sz w:val="17"/>
              </w:rPr>
              <w:t>Admission management</w:t>
            </w:r>
          </w:p>
        </w:tc>
        <w:tc>
          <w:tcPr>
            <w:tcW w:type="dxa" w:w="4536"/>
            <w:vAlign w:val="center"/>
            <w:shd w:fill="F1F5F9"/>
          </w:tcPr>
          <w:p>
            <w:pPr>
              <w:spacing w:after="40"/>
            </w:pPr>
            <w:r/>
            <w:r>
              <w:rPr>
                <w:rFonts w:ascii="Aptos" w:hAnsi="Aptos"/>
                <w:b w:val="0"/>
                <w:sz w:val="17"/>
              </w:rPr>
              <w:t>Applications, document uploads, status tracking</w:t>
            </w:r>
          </w:p>
        </w:tc>
        <w:tc>
          <w:tcPr>
            <w:tcW w:type="dxa" w:w="2880"/>
            <w:vAlign w:val="center"/>
            <w:shd w:fill="F1F5F9"/>
          </w:tcPr>
          <w:p>
            <w:pPr>
              <w:spacing w:after="40"/>
            </w:pPr>
            <w:r/>
            <w:r>
              <w:rPr>
                <w:rFonts w:ascii="Aptos" w:hAnsi="Aptos"/>
                <w:b w:val="0"/>
                <w:sz w:val="17"/>
              </w:rPr>
              <w:t>A more organized application journey</w:t>
            </w:r>
          </w:p>
        </w:tc>
      </w:tr>
      <w:tr>
        <w:tc>
          <w:tcPr>
            <w:tcW w:type="dxa" w:w="2232"/>
            <w:vAlign w:val="center"/>
          </w:tcPr>
          <w:p>
            <w:pPr>
              <w:spacing w:after="40"/>
            </w:pPr>
            <w:r/>
            <w:r>
              <w:rPr>
                <w:rFonts w:ascii="Aptos" w:hAnsi="Aptos"/>
                <w:b w:val="0"/>
                <w:sz w:val="17"/>
              </w:rPr>
              <w:t>Scholarships and loans</w:t>
            </w:r>
          </w:p>
        </w:tc>
        <w:tc>
          <w:tcPr>
            <w:tcW w:type="dxa" w:w="4536"/>
            <w:vAlign w:val="center"/>
          </w:tcPr>
          <w:p>
            <w:pPr>
              <w:spacing w:after="40"/>
            </w:pPr>
            <w:r/>
            <w:r>
              <w:rPr>
                <w:rFonts w:ascii="Aptos" w:hAnsi="Aptos"/>
                <w:b w:val="0"/>
                <w:sz w:val="17"/>
              </w:rPr>
              <w:t>Opportunity discovery, eligibility information, tracking</w:t>
            </w:r>
          </w:p>
        </w:tc>
        <w:tc>
          <w:tcPr>
            <w:tcW w:type="dxa" w:w="2880"/>
            <w:vAlign w:val="center"/>
          </w:tcPr>
          <w:p>
            <w:pPr>
              <w:spacing w:after="40"/>
            </w:pPr>
            <w:r/>
            <w:r>
              <w:rPr>
                <w:rFonts w:ascii="Aptos" w:hAnsi="Aptos"/>
                <w:b w:val="0"/>
                <w:sz w:val="17"/>
              </w:rPr>
              <w:t>Better awareness of financial assistance</w:t>
            </w:r>
          </w:p>
        </w:tc>
      </w:tr>
      <w:tr>
        <w:tc>
          <w:tcPr>
            <w:tcW w:type="dxa" w:w="2232"/>
            <w:vAlign w:val="center"/>
            <w:shd w:fill="F1F5F9"/>
          </w:tcPr>
          <w:p>
            <w:pPr>
              <w:spacing w:after="40"/>
            </w:pPr>
            <w:r/>
            <w:r>
              <w:rPr>
                <w:rFonts w:ascii="Aptos" w:hAnsi="Aptos"/>
                <w:b w:val="0"/>
                <w:sz w:val="17"/>
              </w:rPr>
              <w:t>E-learning</w:t>
            </w:r>
          </w:p>
        </w:tc>
        <w:tc>
          <w:tcPr>
            <w:tcW w:type="dxa" w:w="4536"/>
            <w:vAlign w:val="center"/>
            <w:shd w:fill="F1F5F9"/>
          </w:tcPr>
          <w:p>
            <w:pPr>
              <w:spacing w:after="40"/>
            </w:pPr>
            <w:r/>
            <w:r>
              <w:rPr>
                <w:rFonts w:ascii="Aptos" w:hAnsi="Aptos"/>
                <w:b w:val="0"/>
                <w:sz w:val="17"/>
              </w:rPr>
              <w:t>Learning materials, bookmarks, progress tracking</w:t>
            </w:r>
          </w:p>
        </w:tc>
        <w:tc>
          <w:tcPr>
            <w:tcW w:type="dxa" w:w="2880"/>
            <w:vAlign w:val="center"/>
            <w:shd w:fill="F1F5F9"/>
          </w:tcPr>
          <w:p>
            <w:pPr>
              <w:spacing w:after="40"/>
            </w:pPr>
            <w:r/>
            <w:r>
              <w:rPr>
                <w:rFonts w:ascii="Aptos" w:hAnsi="Aptos"/>
                <w:b w:val="0"/>
                <w:sz w:val="17"/>
              </w:rPr>
              <w:t>Continue learning beyond career discovery</w:t>
            </w:r>
          </w:p>
        </w:tc>
      </w:tr>
      <w:tr>
        <w:tc>
          <w:tcPr>
            <w:tcW w:type="dxa" w:w="2232"/>
            <w:vAlign w:val="center"/>
          </w:tcPr>
          <w:p>
            <w:pPr>
              <w:spacing w:after="40"/>
            </w:pPr>
            <w:r/>
            <w:r>
              <w:rPr>
                <w:rFonts w:ascii="Aptos" w:hAnsi="Aptos"/>
                <w:b w:val="0"/>
                <w:sz w:val="17"/>
              </w:rPr>
              <w:t>Mentorship</w:t>
            </w:r>
          </w:p>
        </w:tc>
        <w:tc>
          <w:tcPr>
            <w:tcW w:type="dxa" w:w="4536"/>
            <w:vAlign w:val="center"/>
          </w:tcPr>
          <w:p>
            <w:pPr>
              <w:spacing w:after="40"/>
            </w:pPr>
            <w:r/>
            <w:r>
              <w:rPr>
                <w:rFonts w:ascii="Aptos" w:hAnsi="Aptos"/>
                <w:b w:val="0"/>
                <w:sz w:val="17"/>
              </w:rPr>
              <w:t>Mentor profiles, requests, sessions, contribution records</w:t>
            </w:r>
          </w:p>
        </w:tc>
        <w:tc>
          <w:tcPr>
            <w:tcW w:type="dxa" w:w="2880"/>
            <w:vAlign w:val="center"/>
          </w:tcPr>
          <w:p>
            <w:pPr>
              <w:spacing w:after="40"/>
            </w:pPr>
            <w:r/>
            <w:r>
              <w:rPr>
                <w:rFonts w:ascii="Aptos" w:hAnsi="Aptos"/>
                <w:b w:val="0"/>
                <w:sz w:val="17"/>
              </w:rPr>
              <w:t>Access additional guidance</w:t>
            </w:r>
          </w:p>
        </w:tc>
      </w:tr>
      <w:tr>
        <w:tc>
          <w:tcPr>
            <w:tcW w:type="dxa" w:w="2232"/>
            <w:vAlign w:val="center"/>
            <w:shd w:fill="F1F5F9"/>
          </w:tcPr>
          <w:p>
            <w:pPr>
              <w:spacing w:after="40"/>
            </w:pPr>
            <w:r/>
            <w:r>
              <w:rPr>
                <w:rFonts w:ascii="Aptos" w:hAnsi="Aptos"/>
                <w:b w:val="0"/>
                <w:sz w:val="17"/>
              </w:rPr>
              <w:t>Jobs and opportunities</w:t>
            </w:r>
          </w:p>
        </w:tc>
        <w:tc>
          <w:tcPr>
            <w:tcW w:type="dxa" w:w="4536"/>
            <w:vAlign w:val="center"/>
            <w:shd w:fill="F1F5F9"/>
          </w:tcPr>
          <w:p>
            <w:pPr>
              <w:spacing w:after="40"/>
            </w:pPr>
            <w:r/>
            <w:r>
              <w:rPr>
                <w:rFonts w:ascii="Aptos" w:hAnsi="Aptos"/>
                <w:b w:val="0"/>
                <w:sz w:val="17"/>
              </w:rPr>
              <w:t>Job discovery and applications for eligible students</w:t>
            </w:r>
          </w:p>
        </w:tc>
        <w:tc>
          <w:tcPr>
            <w:tcW w:type="dxa" w:w="2880"/>
            <w:vAlign w:val="center"/>
            <w:shd w:fill="F1F5F9"/>
          </w:tcPr>
          <w:p>
            <w:pPr>
              <w:spacing w:after="40"/>
            </w:pPr>
            <w:r/>
            <w:r>
              <w:rPr>
                <w:rFonts w:ascii="Aptos" w:hAnsi="Aptos"/>
                <w:b w:val="0"/>
                <w:sz w:val="17"/>
              </w:rPr>
              <w:t>Connect education with employment</w:t>
            </w:r>
          </w:p>
        </w:tc>
      </w:tr>
      <w:tr>
        <w:tc>
          <w:tcPr>
            <w:tcW w:type="dxa" w:w="2232"/>
            <w:vAlign w:val="center"/>
          </w:tcPr>
          <w:p>
            <w:pPr>
              <w:spacing w:after="40"/>
            </w:pPr>
            <w:r/>
            <w:r>
              <w:rPr>
                <w:rFonts w:ascii="Aptos" w:hAnsi="Aptos"/>
                <w:b w:val="0"/>
                <w:sz w:val="17"/>
              </w:rPr>
              <w:t>Events and activities</w:t>
            </w:r>
          </w:p>
        </w:tc>
        <w:tc>
          <w:tcPr>
            <w:tcW w:type="dxa" w:w="4536"/>
            <w:vAlign w:val="center"/>
          </w:tcPr>
          <w:p>
            <w:pPr>
              <w:spacing w:after="40"/>
            </w:pPr>
            <w:r/>
            <w:r>
              <w:rPr>
                <w:rFonts w:ascii="Aptos" w:hAnsi="Aptos"/>
                <w:b w:val="0"/>
                <w:sz w:val="17"/>
              </w:rPr>
              <w:t>Event discovery, registration, submissions</w:t>
            </w:r>
          </w:p>
        </w:tc>
        <w:tc>
          <w:tcPr>
            <w:tcW w:type="dxa" w:w="2880"/>
            <w:vAlign w:val="center"/>
          </w:tcPr>
          <w:p>
            <w:pPr>
              <w:spacing w:after="40"/>
            </w:pPr>
            <w:r/>
            <w:r>
              <w:rPr>
                <w:rFonts w:ascii="Aptos" w:hAnsi="Aptos"/>
                <w:b w:val="0"/>
                <w:sz w:val="17"/>
              </w:rPr>
              <w:t>More opportunities for engagement</w:t>
            </w:r>
          </w:p>
        </w:tc>
      </w:tr>
      <w:tr>
        <w:tc>
          <w:tcPr>
            <w:tcW w:type="dxa" w:w="2232"/>
            <w:vAlign w:val="center"/>
            <w:shd w:fill="F1F5F9"/>
          </w:tcPr>
          <w:p>
            <w:pPr>
              <w:spacing w:after="40"/>
            </w:pPr>
            <w:r/>
            <w:r>
              <w:rPr>
                <w:rFonts w:ascii="Aptos" w:hAnsi="Aptos"/>
                <w:b w:val="0"/>
                <w:sz w:val="17"/>
              </w:rPr>
              <w:t>Offline mode</w:t>
            </w:r>
          </w:p>
        </w:tc>
        <w:tc>
          <w:tcPr>
            <w:tcW w:type="dxa" w:w="4536"/>
            <w:vAlign w:val="center"/>
            <w:shd w:fill="F1F5F9"/>
          </w:tcPr>
          <w:p>
            <w:pPr>
              <w:spacing w:after="40"/>
            </w:pPr>
            <w:r/>
            <w:r>
              <w:rPr>
                <w:rFonts w:ascii="Aptos" w:hAnsi="Aptos"/>
                <w:b w:val="0"/>
                <w:sz w:val="17"/>
              </w:rPr>
              <w:t>Cached data, local assessment, drafts, sync queue</w:t>
            </w:r>
          </w:p>
        </w:tc>
        <w:tc>
          <w:tcPr>
            <w:tcW w:type="dxa" w:w="2880"/>
            <w:vAlign w:val="center"/>
            <w:shd w:fill="F1F5F9"/>
          </w:tcPr>
          <w:p>
            <w:pPr>
              <w:spacing w:after="40"/>
            </w:pPr>
            <w:r/>
            <w:r>
              <w:rPr>
                <w:rFonts w:ascii="Aptos" w:hAnsi="Aptos"/>
                <w:b w:val="0"/>
                <w:sz w:val="17"/>
              </w:rPr>
              <w:t>Continue using essential features during connectivity problems</w:t>
            </w:r>
          </w:p>
        </w:tc>
      </w:tr>
      <w:tr>
        <w:tc>
          <w:tcPr>
            <w:tcW w:type="dxa" w:w="2232"/>
            <w:vAlign w:val="center"/>
          </w:tcPr>
          <w:p>
            <w:pPr>
              <w:spacing w:after="40"/>
            </w:pPr>
            <w:r/>
            <w:r>
              <w:rPr>
                <w:rFonts w:ascii="Aptos" w:hAnsi="Aptos"/>
                <w:b w:val="0"/>
                <w:sz w:val="17"/>
              </w:rPr>
              <w:t>Institutional dashboards</w:t>
            </w:r>
          </w:p>
        </w:tc>
        <w:tc>
          <w:tcPr>
            <w:tcW w:type="dxa" w:w="4536"/>
            <w:vAlign w:val="center"/>
          </w:tcPr>
          <w:p>
            <w:pPr>
              <w:spacing w:after="40"/>
            </w:pPr>
            <w:r/>
            <w:r>
              <w:rPr>
                <w:rFonts w:ascii="Aptos" w:hAnsi="Aptos"/>
                <w:b w:val="0"/>
                <w:sz w:val="17"/>
              </w:rPr>
              <w:t>Course management, application review, authorized records</w:t>
            </w:r>
          </w:p>
        </w:tc>
        <w:tc>
          <w:tcPr>
            <w:tcW w:type="dxa" w:w="2880"/>
            <w:vAlign w:val="center"/>
          </w:tcPr>
          <w:p>
            <w:pPr>
              <w:spacing w:after="40"/>
            </w:pPr>
            <w:r/>
            <w:r>
              <w:rPr>
                <w:rFonts w:ascii="Aptos" w:hAnsi="Aptos"/>
                <w:b w:val="0"/>
                <w:sz w:val="17"/>
              </w:rPr>
              <w:t>Coordinate with students</w:t>
            </w:r>
          </w:p>
        </w:tc>
      </w:tr>
      <w:tr>
        <w:tc>
          <w:tcPr>
            <w:tcW w:type="dxa" w:w="2232"/>
            <w:vAlign w:val="center"/>
            <w:shd w:fill="F1F5F9"/>
          </w:tcPr>
          <w:p>
            <w:pPr>
              <w:spacing w:after="40"/>
            </w:pPr>
            <w:r/>
            <w:r>
              <w:rPr>
                <w:rFonts w:ascii="Aptos" w:hAnsi="Aptos"/>
                <w:b w:val="0"/>
                <w:sz w:val="17"/>
              </w:rPr>
              <w:t>Analytics and feedback</w:t>
            </w:r>
          </w:p>
        </w:tc>
        <w:tc>
          <w:tcPr>
            <w:tcW w:type="dxa" w:w="4536"/>
            <w:vAlign w:val="center"/>
            <w:shd w:fill="F1F5F9"/>
          </w:tcPr>
          <w:p>
            <w:pPr>
              <w:spacing w:after="40"/>
            </w:pPr>
            <w:r/>
            <w:r>
              <w:rPr>
                <w:rFonts w:ascii="Aptos" w:hAnsi="Aptos"/>
                <w:b w:val="0"/>
                <w:sz w:val="17"/>
              </w:rPr>
              <w:t>Usage, completion, feedback, workflow metrics</w:t>
            </w:r>
          </w:p>
        </w:tc>
        <w:tc>
          <w:tcPr>
            <w:tcW w:type="dxa" w:w="2880"/>
            <w:vAlign w:val="center"/>
            <w:shd w:fill="F1F5F9"/>
          </w:tcPr>
          <w:p>
            <w:pPr>
              <w:spacing w:after="40"/>
            </w:pPr>
            <w:r/>
            <w:r>
              <w:rPr>
                <w:rFonts w:ascii="Aptos" w:hAnsi="Aptos"/>
                <w:b w:val="0"/>
                <w:sz w:val="17"/>
              </w:rPr>
              <w:t>Evidence for improving the platform</w:t>
            </w:r>
          </w:p>
        </w:tc>
      </w:tr>
    </w:tbl>
    <w:p/>
    <w:p>
      <w:pPr>
        <w:pStyle w:val="Heading1"/>
        <w:keepNext/>
      </w:pPr>
      <w:r>
        <w:t>6. Why Choose Mantrix? Competitive Differentiation</w:t>
      </w:r>
    </w:p>
    <w:p>
      <w:r>
        <w:t>Mantrix should not claim that no other product offers career guidance, AI roadmaps, college discovery, or scholarship information. Its differentiation should come from how these capabilities are connected, personalized, localized, and made accessible.</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64E63"/>
          </w:tcPr>
          <w:p>
            <w:pPr>
              <w:spacing w:after="40"/>
            </w:pPr>
            <w:r/>
            <w:r>
              <w:rPr>
                <w:rFonts w:ascii="Aptos" w:hAnsi="Aptos"/>
                <w:b/>
                <w:color w:val="FFFFFF"/>
                <w:sz w:val="18"/>
              </w:rPr>
              <w:t>Alternative category</w:t>
            </w:r>
          </w:p>
        </w:tc>
        <w:tc>
          <w:tcPr>
            <w:tcW w:type="dxa" w:w="3240"/>
            <w:vAlign w:val="center"/>
            <w:shd w:fill="164E63"/>
          </w:tcPr>
          <w:p>
            <w:pPr>
              <w:spacing w:after="40"/>
            </w:pPr>
            <w:r/>
            <w:r>
              <w:rPr>
                <w:rFonts w:ascii="Aptos" w:hAnsi="Aptos"/>
                <w:b/>
                <w:color w:val="FFFFFF"/>
                <w:sz w:val="18"/>
              </w:rPr>
              <w:t>Typical strength</w:t>
            </w:r>
          </w:p>
        </w:tc>
        <w:tc>
          <w:tcPr>
            <w:tcW w:type="dxa" w:w="4176"/>
            <w:vAlign w:val="center"/>
            <w:shd w:fill="164E63"/>
          </w:tcPr>
          <w:p>
            <w:pPr>
              <w:spacing w:after="40"/>
            </w:pPr>
            <w:r/>
            <w:r>
              <w:rPr>
                <w:rFonts w:ascii="Aptos" w:hAnsi="Aptos"/>
                <w:b/>
                <w:color w:val="FFFFFF"/>
                <w:sz w:val="18"/>
              </w:rPr>
              <w:t>Mantrix's intended distinction</w:t>
            </w:r>
          </w:p>
        </w:tc>
      </w:tr>
      <w:tr>
        <w:tc>
          <w:tcPr>
            <w:tcW w:type="dxa" w:w="2232"/>
            <w:vAlign w:val="center"/>
          </w:tcPr>
          <w:p>
            <w:pPr>
              <w:spacing w:after="40"/>
            </w:pPr>
            <w:r/>
            <w:r>
              <w:rPr>
                <w:rFonts w:ascii="Aptos" w:hAnsi="Aptos"/>
                <w:b w:val="0"/>
                <w:sz w:val="17"/>
              </w:rPr>
              <w:t>General AI chatbots</w:t>
            </w:r>
          </w:p>
        </w:tc>
        <w:tc>
          <w:tcPr>
            <w:tcW w:type="dxa" w:w="3240"/>
            <w:vAlign w:val="center"/>
          </w:tcPr>
          <w:p>
            <w:pPr>
              <w:spacing w:after="40"/>
            </w:pPr>
            <w:r/>
            <w:r>
              <w:rPr>
                <w:rFonts w:ascii="Aptos" w:hAnsi="Aptos"/>
                <w:b w:val="0"/>
                <w:sz w:val="17"/>
              </w:rPr>
              <w:t>Answer questions and explain concepts</w:t>
            </w:r>
          </w:p>
        </w:tc>
        <w:tc>
          <w:tcPr>
            <w:tcW w:type="dxa" w:w="4176"/>
            <w:vAlign w:val="center"/>
          </w:tcPr>
          <w:p>
            <w:pPr>
              <w:spacing w:after="40"/>
            </w:pPr>
            <w:r/>
            <w:r>
              <w:rPr>
                <w:rFonts w:ascii="Aptos" w:hAnsi="Aptos"/>
                <w:b w:val="0"/>
                <w:sz w:val="17"/>
              </w:rPr>
              <w:t>Structured assessment, persistent roadmaps, verified college data, and education workflows</w:t>
            </w:r>
          </w:p>
        </w:tc>
      </w:tr>
      <w:tr>
        <w:tc>
          <w:tcPr>
            <w:tcW w:type="dxa" w:w="2232"/>
            <w:vAlign w:val="center"/>
            <w:shd w:fill="F1F5F9"/>
          </w:tcPr>
          <w:p>
            <w:pPr>
              <w:spacing w:after="40"/>
            </w:pPr>
            <w:r/>
            <w:r>
              <w:rPr>
                <w:rFonts w:ascii="Aptos" w:hAnsi="Aptos"/>
                <w:b w:val="0"/>
                <w:sz w:val="17"/>
              </w:rPr>
              <w:t>Search engines</w:t>
            </w:r>
          </w:p>
        </w:tc>
        <w:tc>
          <w:tcPr>
            <w:tcW w:type="dxa" w:w="3240"/>
            <w:vAlign w:val="center"/>
            <w:shd w:fill="F1F5F9"/>
          </w:tcPr>
          <w:p>
            <w:pPr>
              <w:spacing w:after="40"/>
            </w:pPr>
            <w:r/>
            <w:r>
              <w:rPr>
                <w:rFonts w:ascii="Aptos" w:hAnsi="Aptos"/>
                <w:b w:val="0"/>
                <w:sz w:val="17"/>
              </w:rPr>
              <w:t>Find information across many sources</w:t>
            </w:r>
          </w:p>
        </w:tc>
        <w:tc>
          <w:tcPr>
            <w:tcW w:type="dxa" w:w="4176"/>
            <w:vAlign w:val="center"/>
            <w:shd w:fill="F1F5F9"/>
          </w:tcPr>
          <w:p>
            <w:pPr>
              <w:spacing w:after="40"/>
            </w:pPr>
            <w:r/>
            <w:r>
              <w:rPr>
                <w:rFonts w:ascii="Aptos" w:hAnsi="Aptos"/>
                <w:b w:val="0"/>
                <w:sz w:val="17"/>
              </w:rPr>
              <w:t>Organized, personalized guidance with actionable next steps</w:t>
            </w:r>
          </w:p>
        </w:tc>
      </w:tr>
      <w:tr>
        <w:tc>
          <w:tcPr>
            <w:tcW w:type="dxa" w:w="2232"/>
            <w:vAlign w:val="center"/>
          </w:tcPr>
          <w:p>
            <w:pPr>
              <w:spacing w:after="40"/>
            </w:pPr>
            <w:r/>
            <w:r>
              <w:rPr>
                <w:rFonts w:ascii="Aptos" w:hAnsi="Aptos"/>
                <w:b w:val="0"/>
                <w:sz w:val="17"/>
              </w:rPr>
              <w:t>Career assessment websites</w:t>
            </w:r>
          </w:p>
        </w:tc>
        <w:tc>
          <w:tcPr>
            <w:tcW w:type="dxa" w:w="3240"/>
            <w:vAlign w:val="center"/>
          </w:tcPr>
          <w:p>
            <w:pPr>
              <w:spacing w:after="40"/>
            </w:pPr>
            <w:r/>
            <w:r>
              <w:rPr>
                <w:rFonts w:ascii="Aptos" w:hAnsi="Aptos"/>
                <w:b w:val="0"/>
                <w:sz w:val="17"/>
              </w:rPr>
              <w:t>Assessments and career suggestions</w:t>
            </w:r>
          </w:p>
        </w:tc>
        <w:tc>
          <w:tcPr>
            <w:tcW w:type="dxa" w:w="4176"/>
            <w:vAlign w:val="center"/>
          </w:tcPr>
          <w:p>
            <w:pPr>
              <w:spacing w:after="40"/>
            </w:pPr>
            <w:r/>
            <w:r>
              <w:rPr>
                <w:rFonts w:ascii="Aptos" w:hAnsi="Aptos"/>
                <w:b w:val="0"/>
                <w:sz w:val="17"/>
              </w:rPr>
              <w:t>Connect results to courses, local colleges, learning, and applications</w:t>
            </w:r>
          </w:p>
        </w:tc>
      </w:tr>
      <w:tr>
        <w:tc>
          <w:tcPr>
            <w:tcW w:type="dxa" w:w="2232"/>
            <w:vAlign w:val="center"/>
            <w:shd w:fill="F1F5F9"/>
          </w:tcPr>
          <w:p>
            <w:pPr>
              <w:spacing w:after="40"/>
            </w:pPr>
            <w:r/>
            <w:r>
              <w:rPr>
                <w:rFonts w:ascii="Aptos" w:hAnsi="Aptos"/>
                <w:b w:val="0"/>
                <w:sz w:val="17"/>
              </w:rPr>
              <w:t>College discovery portals</w:t>
            </w:r>
          </w:p>
        </w:tc>
        <w:tc>
          <w:tcPr>
            <w:tcW w:type="dxa" w:w="3240"/>
            <w:vAlign w:val="center"/>
            <w:shd w:fill="F1F5F9"/>
          </w:tcPr>
          <w:p>
            <w:pPr>
              <w:spacing w:after="40"/>
            </w:pPr>
            <w:r/>
            <w:r>
              <w:rPr>
                <w:rFonts w:ascii="Aptos" w:hAnsi="Aptos"/>
                <w:b w:val="0"/>
                <w:sz w:val="17"/>
              </w:rPr>
              <w:t>Institution and course search</w:t>
            </w:r>
          </w:p>
        </w:tc>
        <w:tc>
          <w:tcPr>
            <w:tcW w:type="dxa" w:w="4176"/>
            <w:vAlign w:val="center"/>
            <w:shd w:fill="F1F5F9"/>
          </w:tcPr>
          <w:p>
            <w:pPr>
              <w:spacing w:after="40"/>
            </w:pPr>
            <w:r/>
            <w:r>
              <w:rPr>
                <w:rFonts w:ascii="Aptos" w:hAnsi="Aptos"/>
                <w:b w:val="0"/>
                <w:sz w:val="17"/>
              </w:rPr>
              <w:t>Connect discovery with assessment and career planning</w:t>
            </w:r>
          </w:p>
        </w:tc>
      </w:tr>
      <w:tr>
        <w:tc>
          <w:tcPr>
            <w:tcW w:type="dxa" w:w="2232"/>
            <w:vAlign w:val="center"/>
          </w:tcPr>
          <w:p>
            <w:pPr>
              <w:spacing w:after="40"/>
            </w:pPr>
            <w:r/>
            <w:r>
              <w:rPr>
                <w:rFonts w:ascii="Aptos" w:hAnsi="Aptos"/>
                <w:b w:val="0"/>
                <w:sz w:val="17"/>
              </w:rPr>
              <w:t>Online learning platforms</w:t>
            </w:r>
          </w:p>
        </w:tc>
        <w:tc>
          <w:tcPr>
            <w:tcW w:type="dxa" w:w="3240"/>
            <w:vAlign w:val="center"/>
          </w:tcPr>
          <w:p>
            <w:pPr>
              <w:spacing w:after="40"/>
            </w:pPr>
            <w:r/>
            <w:r>
              <w:rPr>
                <w:rFonts w:ascii="Aptos" w:hAnsi="Aptos"/>
                <w:b w:val="0"/>
                <w:sz w:val="17"/>
              </w:rPr>
              <w:t>Courses and learning content</w:t>
            </w:r>
          </w:p>
        </w:tc>
        <w:tc>
          <w:tcPr>
            <w:tcW w:type="dxa" w:w="4176"/>
            <w:vAlign w:val="center"/>
          </w:tcPr>
          <w:p>
            <w:pPr>
              <w:spacing w:after="40"/>
            </w:pPr>
            <w:r/>
            <w:r>
              <w:rPr>
                <w:rFonts w:ascii="Aptos" w:hAnsi="Aptos"/>
                <w:b w:val="0"/>
                <w:sz w:val="17"/>
              </w:rPr>
              <w:t>Link learning to a student's goals and education pathways</w:t>
            </w:r>
          </w:p>
        </w:tc>
      </w:tr>
      <w:tr>
        <w:tc>
          <w:tcPr>
            <w:tcW w:type="dxa" w:w="2232"/>
            <w:vAlign w:val="center"/>
            <w:shd w:fill="F1F5F9"/>
          </w:tcPr>
          <w:p>
            <w:pPr>
              <w:spacing w:after="40"/>
            </w:pPr>
            <w:r/>
            <w:r>
              <w:rPr>
                <w:rFonts w:ascii="Aptos" w:hAnsi="Aptos"/>
                <w:b w:val="0"/>
                <w:sz w:val="17"/>
              </w:rPr>
              <w:t>Scholarship portals</w:t>
            </w:r>
          </w:p>
        </w:tc>
        <w:tc>
          <w:tcPr>
            <w:tcW w:type="dxa" w:w="3240"/>
            <w:vAlign w:val="center"/>
            <w:shd w:fill="F1F5F9"/>
          </w:tcPr>
          <w:p>
            <w:pPr>
              <w:spacing w:after="40"/>
            </w:pPr>
            <w:r/>
            <w:r>
              <w:rPr>
                <w:rFonts w:ascii="Aptos" w:hAnsi="Aptos"/>
                <w:b w:val="0"/>
                <w:sz w:val="17"/>
              </w:rPr>
              <w:t>Publish schemes and application information</w:t>
            </w:r>
          </w:p>
        </w:tc>
        <w:tc>
          <w:tcPr>
            <w:tcW w:type="dxa" w:w="4176"/>
            <w:vAlign w:val="center"/>
            <w:shd w:fill="F1F5F9"/>
          </w:tcPr>
          <w:p>
            <w:pPr>
              <w:spacing w:after="40"/>
            </w:pPr>
            <w:r/>
            <w:r>
              <w:rPr>
                <w:rFonts w:ascii="Aptos" w:hAnsi="Aptos"/>
                <w:b w:val="0"/>
                <w:sz w:val="17"/>
              </w:rPr>
              <w:t>Help discover relevant schemes and track supported workflows</w:t>
            </w:r>
          </w:p>
        </w:tc>
      </w:tr>
      <w:tr>
        <w:tc>
          <w:tcPr>
            <w:tcW w:type="dxa" w:w="2232"/>
            <w:vAlign w:val="center"/>
          </w:tcPr>
          <w:p>
            <w:pPr>
              <w:spacing w:after="40"/>
            </w:pPr>
            <w:r/>
            <w:r>
              <w:rPr>
                <w:rFonts w:ascii="Aptos" w:hAnsi="Aptos"/>
                <w:b w:val="0"/>
                <w:sz w:val="17"/>
              </w:rPr>
              <w:t>Traditional counselling</w:t>
            </w:r>
          </w:p>
        </w:tc>
        <w:tc>
          <w:tcPr>
            <w:tcW w:type="dxa" w:w="3240"/>
            <w:vAlign w:val="center"/>
          </w:tcPr>
          <w:p>
            <w:pPr>
              <w:spacing w:after="40"/>
            </w:pPr>
            <w:r/>
            <w:r>
              <w:rPr>
                <w:rFonts w:ascii="Aptos" w:hAnsi="Aptos"/>
                <w:b w:val="0"/>
                <w:sz w:val="17"/>
              </w:rPr>
              <w:t>Human guidance and individual support</w:t>
            </w:r>
          </w:p>
        </w:tc>
        <w:tc>
          <w:tcPr>
            <w:tcW w:type="dxa" w:w="4176"/>
            <w:vAlign w:val="center"/>
          </w:tcPr>
          <w:p>
            <w:pPr>
              <w:spacing w:after="40"/>
            </w:pPr>
            <w:r/>
            <w:r>
              <w:rPr>
                <w:rFonts w:ascii="Aptos" w:hAnsi="Aptos"/>
                <w:b w:val="0"/>
                <w:sz w:val="17"/>
              </w:rPr>
              <w:t>Extend access to initial guidance and provide structured information between sessions</w:t>
            </w:r>
          </w:p>
        </w:tc>
      </w:tr>
    </w:tbl>
    <w:p/>
    <w:p>
      <w:pPr>
        <w:pStyle w:val="Heading2"/>
        <w:keepNext/>
      </w:pPr>
      <w:r>
        <w:t>Why students may choose Mantrix</w:t>
      </w:r>
    </w:p>
    <w:p>
      <w:pPr>
        <w:pStyle w:val="ListBullet"/>
        <w:spacing w:after="40"/>
      </w:pPr>
      <w:r>
        <w:t>Personalized guidance: recommendations consider goals, assessment results, location, preferences, and practical constraints.</w:t>
      </w:r>
    </w:p>
    <w:p>
      <w:pPr>
        <w:pStyle w:val="ListBullet"/>
        <w:spacing w:after="40"/>
      </w:pPr>
      <w:r>
        <w:t>A roadmap, not just an answer: students can see steps, skills, course options, learning resources, and possible next actions.</w:t>
      </w:r>
    </w:p>
    <w:p>
      <w:pPr>
        <w:pStyle w:val="ListBullet"/>
        <w:spacing w:after="40"/>
      </w:pPr>
      <w:r>
        <w:t>Local opportunities: government colleges and relevant local options are part of the discovery experience.</w:t>
      </w:r>
    </w:p>
    <w:p>
      <w:pPr>
        <w:pStyle w:val="ListBullet"/>
        <w:spacing w:after="40"/>
      </w:pPr>
      <w:r>
        <w:t>From exploration to action: guidance connects to supported applications and progress tracking.</w:t>
      </w:r>
    </w:p>
    <w:p>
      <w:pPr>
        <w:pStyle w:val="ListBullet"/>
        <w:spacing w:after="40"/>
      </w:pPr>
      <w:r>
        <w:t>Offline access: essential assessment and cached guidance remain available when connectivity is limited.</w:t>
      </w:r>
    </w:p>
    <w:p>
      <w:pPr>
        <w:pStyle w:val="ListBullet"/>
        <w:spacing w:after="40"/>
      </w:pPr>
      <w:r>
        <w:t>Human accountability: colleges, authorities, and banks retain responsibility for official decisions.</w:t>
      </w:r>
    </w:p>
    <w:p>
      <w:r>
        <w:rPr>
          <w:b/>
        </w:rPr>
        <w:t xml:space="preserve">Core differentiator: </w:t>
      </w:r>
      <w:r>
        <w:t>Mantrix connects personalized AI guidance to real educational opportunities, including local colleges, practical learning steps, financial assistance, and admission workflows, with offline access built into the mobile experience.</w:t>
      </w:r>
    </w:p>
    <w:p>
      <w:pPr>
        <w:pStyle w:val="Heading1"/>
        <w:keepNext/>
      </w:pPr>
      <w:r>
        <w:t>7. Technology Architecture</w:t>
      </w:r>
    </w:p>
    <w:p>
      <w:pPr>
        <w:pStyle w:val="Heading2"/>
        <w:keepNext/>
      </w:pPr>
      <w:r>
        <w:t>Technology stack</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164E63"/>
          </w:tcPr>
          <w:p>
            <w:pPr>
              <w:spacing w:after="40"/>
            </w:pPr>
            <w:r/>
            <w:r>
              <w:rPr>
                <w:rFonts w:ascii="Aptos" w:hAnsi="Aptos"/>
                <w:b/>
                <w:color w:val="FFFFFF"/>
                <w:sz w:val="18"/>
              </w:rPr>
              <w:t>Technology</w:t>
            </w:r>
          </w:p>
        </w:tc>
        <w:tc>
          <w:tcPr>
            <w:tcW w:type="dxa" w:w="6408"/>
            <w:vAlign w:val="center"/>
            <w:shd w:fill="164E63"/>
          </w:tcPr>
          <w:p>
            <w:pPr>
              <w:spacing w:after="40"/>
            </w:pPr>
            <w:r/>
            <w:r>
              <w:rPr>
                <w:rFonts w:ascii="Aptos" w:hAnsi="Aptos"/>
                <w:b/>
                <w:color w:val="FFFFFF"/>
                <w:sz w:val="18"/>
              </w:rPr>
              <w:t>Role in Mantrix</w:t>
            </w:r>
          </w:p>
        </w:tc>
      </w:tr>
      <w:tr>
        <w:tc>
          <w:tcPr>
            <w:tcW w:type="dxa" w:w="3240"/>
            <w:vAlign w:val="center"/>
          </w:tcPr>
          <w:p>
            <w:pPr>
              <w:spacing w:after="40"/>
            </w:pPr>
            <w:r/>
            <w:r>
              <w:rPr>
                <w:rFonts w:ascii="Aptos" w:hAnsi="Aptos"/>
                <w:b w:val="0"/>
                <w:sz w:val="17"/>
              </w:rPr>
              <w:t>React Native + Expo</w:t>
            </w:r>
          </w:p>
        </w:tc>
        <w:tc>
          <w:tcPr>
            <w:tcW w:type="dxa" w:w="6408"/>
            <w:vAlign w:val="center"/>
          </w:tcPr>
          <w:p>
            <w:pPr>
              <w:spacing w:after="40"/>
            </w:pPr>
            <w:r/>
            <w:r>
              <w:rPr>
                <w:rFonts w:ascii="Aptos" w:hAnsi="Aptos"/>
                <w:b w:val="0"/>
                <w:sz w:val="17"/>
              </w:rPr>
              <w:t>Student-focused mobile application</w:t>
            </w:r>
          </w:p>
        </w:tc>
      </w:tr>
      <w:tr>
        <w:tc>
          <w:tcPr>
            <w:tcW w:type="dxa" w:w="3240"/>
            <w:vAlign w:val="center"/>
            <w:shd w:fill="F1F5F9"/>
          </w:tcPr>
          <w:p>
            <w:pPr>
              <w:spacing w:after="40"/>
            </w:pPr>
            <w:r/>
            <w:r>
              <w:rPr>
                <w:rFonts w:ascii="Aptos" w:hAnsi="Aptos"/>
                <w:b w:val="0"/>
                <w:sz w:val="17"/>
              </w:rPr>
              <w:t>Next.js</w:t>
            </w:r>
          </w:p>
        </w:tc>
        <w:tc>
          <w:tcPr>
            <w:tcW w:type="dxa" w:w="6408"/>
            <w:vAlign w:val="center"/>
            <w:shd w:fill="F1F5F9"/>
          </w:tcPr>
          <w:p>
            <w:pPr>
              <w:spacing w:after="40"/>
            </w:pPr>
            <w:r/>
            <w:r>
              <w:rPr>
                <w:rFonts w:ascii="Aptos" w:hAnsi="Aptos"/>
                <w:b w:val="0"/>
                <w:sz w:val="17"/>
              </w:rPr>
              <w:t>Website and role-based institutional dashboards</w:t>
            </w:r>
          </w:p>
        </w:tc>
      </w:tr>
      <w:tr>
        <w:tc>
          <w:tcPr>
            <w:tcW w:type="dxa" w:w="3240"/>
            <w:vAlign w:val="center"/>
          </w:tcPr>
          <w:p>
            <w:pPr>
              <w:spacing w:after="40"/>
            </w:pPr>
            <w:r/>
            <w:r>
              <w:rPr>
                <w:rFonts w:ascii="Aptos" w:hAnsi="Aptos"/>
                <w:b w:val="0"/>
                <w:sz w:val="17"/>
              </w:rPr>
              <w:t>Firebase Authentication</w:t>
            </w:r>
          </w:p>
        </w:tc>
        <w:tc>
          <w:tcPr>
            <w:tcW w:type="dxa" w:w="6408"/>
            <w:vAlign w:val="center"/>
          </w:tcPr>
          <w:p>
            <w:pPr>
              <w:spacing w:after="40"/>
            </w:pPr>
            <w:r/>
            <w:r>
              <w:rPr>
                <w:rFonts w:ascii="Aptos" w:hAnsi="Aptos"/>
                <w:b w:val="0"/>
                <w:sz w:val="17"/>
              </w:rPr>
              <w:t>User identity and sign-in</w:t>
            </w:r>
          </w:p>
        </w:tc>
      </w:tr>
      <w:tr>
        <w:tc>
          <w:tcPr>
            <w:tcW w:type="dxa" w:w="3240"/>
            <w:vAlign w:val="center"/>
            <w:shd w:fill="F1F5F9"/>
          </w:tcPr>
          <w:p>
            <w:pPr>
              <w:spacing w:after="40"/>
            </w:pPr>
            <w:r/>
            <w:r>
              <w:rPr>
                <w:rFonts w:ascii="Aptos" w:hAnsi="Aptos"/>
                <w:b w:val="0"/>
                <w:sz w:val="17"/>
              </w:rPr>
              <w:t>Cloud Firestore</w:t>
            </w:r>
          </w:p>
        </w:tc>
        <w:tc>
          <w:tcPr>
            <w:tcW w:type="dxa" w:w="6408"/>
            <w:vAlign w:val="center"/>
            <w:shd w:fill="F1F5F9"/>
          </w:tcPr>
          <w:p>
            <w:pPr>
              <w:spacing w:after="40"/>
            </w:pPr>
            <w:r/>
            <w:r>
              <w:rPr>
                <w:rFonts w:ascii="Aptos" w:hAnsi="Aptos"/>
                <w:b w:val="0"/>
                <w:sz w:val="17"/>
              </w:rPr>
              <w:t>Profiles, assessments, courses, colleges, applications, and status data</w:t>
            </w:r>
          </w:p>
        </w:tc>
      </w:tr>
      <w:tr>
        <w:tc>
          <w:tcPr>
            <w:tcW w:type="dxa" w:w="3240"/>
            <w:vAlign w:val="center"/>
          </w:tcPr>
          <w:p>
            <w:pPr>
              <w:spacing w:after="40"/>
            </w:pPr>
            <w:r/>
            <w:r>
              <w:rPr>
                <w:rFonts w:ascii="Aptos" w:hAnsi="Aptos"/>
                <w:b w:val="0"/>
                <w:sz w:val="17"/>
              </w:rPr>
              <w:t>Firebase Cloud Storage</w:t>
            </w:r>
          </w:p>
        </w:tc>
        <w:tc>
          <w:tcPr>
            <w:tcW w:type="dxa" w:w="6408"/>
            <w:vAlign w:val="center"/>
          </w:tcPr>
          <w:p>
            <w:pPr>
              <w:spacing w:after="40"/>
            </w:pPr>
            <w:r/>
            <w:r>
              <w:rPr>
                <w:rFonts w:ascii="Aptos" w:hAnsi="Aptos"/>
                <w:b w:val="0"/>
                <w:sz w:val="17"/>
              </w:rPr>
              <w:t>Images, documents, and downloadable resources with access controls</w:t>
            </w:r>
          </w:p>
        </w:tc>
      </w:tr>
      <w:tr>
        <w:tc>
          <w:tcPr>
            <w:tcW w:type="dxa" w:w="3240"/>
            <w:vAlign w:val="center"/>
            <w:shd w:fill="F1F5F9"/>
          </w:tcPr>
          <w:p>
            <w:pPr>
              <w:spacing w:after="40"/>
            </w:pPr>
            <w:r/>
            <w:r>
              <w:rPr>
                <w:rFonts w:ascii="Aptos" w:hAnsi="Aptos"/>
                <w:b w:val="0"/>
                <w:sz w:val="17"/>
              </w:rPr>
              <w:t>Cloud Functions for Firebase</w:t>
            </w:r>
          </w:p>
        </w:tc>
        <w:tc>
          <w:tcPr>
            <w:tcW w:type="dxa" w:w="6408"/>
            <w:vAlign w:val="center"/>
            <w:shd w:fill="F1F5F9"/>
          </w:tcPr>
          <w:p>
            <w:pPr>
              <w:spacing w:after="40"/>
            </w:pPr>
            <w:r/>
            <w:r>
              <w:rPr>
                <w:rFonts w:ascii="Aptos" w:hAnsi="Aptos"/>
                <w:b w:val="0"/>
                <w:sz w:val="17"/>
              </w:rPr>
              <w:t>Trusted business workflows and server-side AI orchestration</w:t>
            </w:r>
          </w:p>
        </w:tc>
      </w:tr>
      <w:tr>
        <w:tc>
          <w:tcPr>
            <w:tcW w:type="dxa" w:w="3240"/>
            <w:vAlign w:val="center"/>
          </w:tcPr>
          <w:p>
            <w:pPr>
              <w:spacing w:after="40"/>
            </w:pPr>
            <w:r/>
            <w:r>
              <w:rPr>
                <w:rFonts w:ascii="Aptos" w:hAnsi="Aptos"/>
                <w:b w:val="0"/>
                <w:sz w:val="17"/>
              </w:rPr>
              <w:t>Gemini API</w:t>
            </w:r>
          </w:p>
        </w:tc>
        <w:tc>
          <w:tcPr>
            <w:tcW w:type="dxa" w:w="6408"/>
            <w:vAlign w:val="center"/>
          </w:tcPr>
          <w:p>
            <w:pPr>
              <w:spacing w:after="40"/>
            </w:pPr>
            <w:r/>
            <w:r>
              <w:rPr>
                <w:rFonts w:ascii="Aptos" w:hAnsi="Aptos"/>
                <w:b w:val="0"/>
                <w:sz w:val="17"/>
              </w:rPr>
              <w:t>Assessment explanations, roadmaps, comparisons, and guided recommendations</w:t>
            </w:r>
          </w:p>
        </w:tc>
      </w:tr>
      <w:tr>
        <w:tc>
          <w:tcPr>
            <w:tcW w:type="dxa" w:w="3240"/>
            <w:vAlign w:val="center"/>
            <w:shd w:fill="F1F5F9"/>
          </w:tcPr>
          <w:p>
            <w:pPr>
              <w:spacing w:after="40"/>
            </w:pPr>
            <w:r/>
            <w:r>
              <w:rPr>
                <w:rFonts w:ascii="Aptos" w:hAnsi="Aptos"/>
                <w:b w:val="0"/>
                <w:sz w:val="17"/>
              </w:rPr>
              <w:t>Gemma (optional)</w:t>
            </w:r>
          </w:p>
        </w:tc>
        <w:tc>
          <w:tcPr>
            <w:tcW w:type="dxa" w:w="6408"/>
            <w:vAlign w:val="center"/>
            <w:shd w:fill="F1F5F9"/>
          </w:tcPr>
          <w:p>
            <w:pPr>
              <w:spacing w:after="40"/>
            </w:pPr>
            <w:r/>
            <w:r>
              <w:rPr>
                <w:rFonts w:ascii="Aptos" w:hAnsi="Aptos"/>
                <w:b w:val="0"/>
                <w:sz w:val="17"/>
              </w:rPr>
              <w:t>Experimentation with local inference if device, runtime, and model requirements permit</w:t>
            </w:r>
          </w:p>
        </w:tc>
      </w:tr>
      <w:tr>
        <w:tc>
          <w:tcPr>
            <w:tcW w:type="dxa" w:w="3240"/>
            <w:vAlign w:val="center"/>
          </w:tcPr>
          <w:p>
            <w:pPr>
              <w:spacing w:after="40"/>
            </w:pPr>
            <w:r/>
            <w:r>
              <w:rPr>
                <w:rFonts w:ascii="Aptos" w:hAnsi="Aptos"/>
                <w:b w:val="0"/>
                <w:sz w:val="17"/>
              </w:rPr>
              <w:t>SQLite</w:t>
            </w:r>
          </w:p>
        </w:tc>
        <w:tc>
          <w:tcPr>
            <w:tcW w:type="dxa" w:w="6408"/>
            <w:vAlign w:val="center"/>
          </w:tcPr>
          <w:p>
            <w:pPr>
              <w:spacing w:after="40"/>
            </w:pPr>
            <w:r/>
            <w:r>
              <w:rPr>
                <w:rFonts w:ascii="Aptos" w:hAnsi="Aptos"/>
                <w:b w:val="0"/>
                <w:sz w:val="17"/>
              </w:rPr>
              <w:t>Mobile offline storage and pending-operation queue</w:t>
            </w:r>
          </w:p>
        </w:tc>
      </w:tr>
      <w:tr>
        <w:tc>
          <w:tcPr>
            <w:tcW w:type="dxa" w:w="3240"/>
            <w:vAlign w:val="center"/>
            <w:shd w:fill="F1F5F9"/>
          </w:tcPr>
          <w:p>
            <w:pPr>
              <w:spacing w:after="40"/>
            </w:pPr>
            <w:r/>
            <w:r>
              <w:rPr>
                <w:rFonts w:ascii="Aptos" w:hAnsi="Aptos"/>
                <w:b w:val="0"/>
                <w:sz w:val="17"/>
              </w:rPr>
              <w:t>Firebase Cloud Messaging</w:t>
            </w:r>
          </w:p>
        </w:tc>
        <w:tc>
          <w:tcPr>
            <w:tcW w:type="dxa" w:w="6408"/>
            <w:vAlign w:val="center"/>
            <w:shd w:fill="F1F5F9"/>
          </w:tcPr>
          <w:p>
            <w:pPr>
              <w:spacing w:after="40"/>
            </w:pPr>
            <w:r/>
            <w:r>
              <w:rPr>
                <w:rFonts w:ascii="Aptos" w:hAnsi="Aptos"/>
                <w:b w:val="0"/>
                <w:sz w:val="17"/>
              </w:rPr>
              <w:t>Online push notifications</w:t>
            </w:r>
          </w:p>
        </w:tc>
      </w:tr>
      <w:tr>
        <w:tc>
          <w:tcPr>
            <w:tcW w:type="dxa" w:w="3240"/>
            <w:vAlign w:val="center"/>
          </w:tcPr>
          <w:p>
            <w:pPr>
              <w:spacing w:after="40"/>
            </w:pPr>
            <w:r/>
            <w:r>
              <w:rPr>
                <w:rFonts w:ascii="Aptos" w:hAnsi="Aptos"/>
                <w:b w:val="0"/>
                <w:sz w:val="17"/>
              </w:rPr>
              <w:t>TypeScript shared packages</w:t>
            </w:r>
          </w:p>
        </w:tc>
        <w:tc>
          <w:tcPr>
            <w:tcW w:type="dxa" w:w="6408"/>
            <w:vAlign w:val="center"/>
          </w:tcPr>
          <w:p>
            <w:pPr>
              <w:spacing w:after="40"/>
            </w:pPr>
            <w:r/>
            <w:r>
              <w:rPr>
                <w:rFonts w:ascii="Aptos" w:hAnsi="Aptos"/>
                <w:b w:val="0"/>
                <w:sz w:val="17"/>
              </w:rPr>
              <w:t>Shared types, validation, and pure business rules</w:t>
            </w:r>
          </w:p>
        </w:tc>
      </w:tr>
    </w:tbl>
    <w:p/>
    <w:p>
      <w:pPr>
        <w:pStyle w:val="Heading2"/>
        <w:keepNext/>
      </w:pPr>
      <w:r>
        <w:t>High-level architecture</w:t>
      </w:r>
    </w:p>
    <w:p>
      <w:pPr>
        <w:pStyle w:val="ListBullet"/>
        <w:spacing w:after="40"/>
      </w:pPr>
      <w:r>
        <w:t>React Native mobile app and Next.js website connect to the same Firebase project.</w:t>
      </w:r>
    </w:p>
    <w:p>
      <w:pPr>
        <w:pStyle w:val="ListBullet"/>
        <w:spacing w:after="40"/>
      </w:pPr>
      <w:r>
        <w:t>Firebase Authentication identifies users; Firestore Security Rules and server-side checks enforce access.</w:t>
      </w:r>
    </w:p>
    <w:p>
      <w:pPr>
        <w:pStyle w:val="ListBullet"/>
        <w:spacing w:after="40"/>
      </w:pPr>
      <w:r>
        <w:t>Sensitive workflows and Gemini requests run through trusted server-side functions.</w:t>
      </w:r>
    </w:p>
    <w:p>
      <w:pPr>
        <w:pStyle w:val="ListBullet"/>
        <w:spacing w:after="40"/>
      </w:pPr>
      <w:r>
        <w:t>The backend retrieves verified education data before asking Gemini to explain or organize it.</w:t>
      </w:r>
    </w:p>
    <w:p>
      <w:pPr>
        <w:pStyle w:val="ListBullet"/>
        <w:spacing w:after="40"/>
      </w:pPr>
      <w:r>
        <w:t>SQLite stores essential mobile data locally and queues permitted changes for synchronization.</w:t>
      </w:r>
    </w:p>
    <w:p>
      <w:pPr>
        <w:pStyle w:val="ListBullet"/>
        <w:spacing w:after="40"/>
      </w:pPr>
      <w:r>
        <w:t>Official admission, scholarship, and loan decisions remain server-authoritative.</w:t>
      </w:r>
    </w:p>
    <w:p>
      <w:pPr>
        <w:pStyle w:val="Heading2"/>
        <w:keepNext/>
      </w:pPr>
      <w:r>
        <w:t>Important implementation considerations</w:t>
      </w:r>
    </w:p>
    <w:p>
      <w:pPr>
        <w:pStyle w:val="ListBullet"/>
        <w:spacing w:after="40"/>
      </w:pPr>
      <w:r>
        <w:t>Do not embed a Gemini API key in the mobile application or browser. Use a secure server-side integration.</w:t>
      </w:r>
    </w:p>
    <w:p>
      <w:pPr>
        <w:pStyle w:val="ListBullet"/>
        <w:spacing w:after="40"/>
      </w:pPr>
      <w:r>
        <w:t>Use role-based authorization and institution membership checks; never trust a role supplied only by the client.</w:t>
      </w:r>
    </w:p>
    <w:p>
      <w:pPr>
        <w:pStyle w:val="ListBullet"/>
        <w:spacing w:after="40"/>
      </w:pPr>
      <w:r>
        <w:t>Apply quotas, rate limits, monitoring, and appropriate billing controls before public deployment.</w:t>
      </w:r>
    </w:p>
    <w:p>
      <w:pPr>
        <w:pStyle w:val="ListBullet"/>
        <w:spacing w:after="40"/>
      </w:pPr>
      <w:r>
        <w:t>Review current Gemini and Firebase pricing, quotas, and data terms before sending real student information.</w:t>
      </w:r>
    </w:p>
    <w:p>
      <w:pPr>
        <w:pStyle w:val="ListBullet"/>
        <w:spacing w:after="40"/>
      </w:pPr>
      <w:r>
        <w:t>A free-tier prototype is possible with selected services and quotas, but the whole platform should not be described as guaranteed to be free at every usage level.</w:t>
      </w:r>
    </w:p>
    <w:p>
      <w:pPr>
        <w:pStyle w:val="Heading1"/>
        <w:keepNext/>
      </w:pPr>
      <w:r>
        <w:t>8. Responsible AI, Trust, and Data Protection</w:t>
      </w:r>
    </w:p>
    <w:p>
      <w:pPr>
        <w:pStyle w:val="Heading2"/>
        <w:keepNext/>
      </w:pPr>
      <w:r>
        <w:t>Avoiding bias in assessment</w:t>
      </w:r>
    </w:p>
    <w:p>
      <w:pPr>
        <w:pStyle w:val="ListBullet"/>
        <w:spacing w:after="40"/>
      </w:pPr>
      <w:r>
        <w:t>Use documented assessment constructs and a consistent scoring rubric.</w:t>
      </w:r>
    </w:p>
    <w:p>
      <w:pPr>
        <w:pStyle w:val="ListBullet"/>
        <w:spacing w:after="40"/>
      </w:pPr>
      <w:r>
        <w:t>Separate interests, self-reported preferences, academic results, and aptitude measures.</w:t>
      </w:r>
    </w:p>
    <w:p>
      <w:pPr>
        <w:pStyle w:val="ListBullet"/>
        <w:spacing w:after="40"/>
      </w:pPr>
      <w:r>
        <w:t>Test questions and recommendations for systematic disadvantage across relevant groups.</w:t>
      </w:r>
    </w:p>
    <w:p>
      <w:pPr>
        <w:pStyle w:val="ListBullet"/>
        <w:spacing w:after="40"/>
      </w:pPr>
      <w:r>
        <w:t>Offer multiple possible pathways and explain the evidence behind each recommendation.</w:t>
      </w:r>
    </w:p>
    <w:p>
      <w:pPr>
        <w:pStyle w:val="ListBullet"/>
        <w:spacing w:after="40"/>
      </w:pPr>
      <w:r>
        <w:t>Allow students to update their preferences and revisit recommendations.</w:t>
      </w:r>
    </w:p>
    <w:p>
      <w:pPr>
        <w:pStyle w:val="ListBullet"/>
        <w:spacing w:after="40"/>
      </w:pPr>
      <w:r>
        <w:t>Treat unvalidated assessment outputs as exploratory guidance, not a psychological diagnosis.</w:t>
      </w:r>
    </w:p>
    <w:p>
      <w:pPr>
        <w:pStyle w:val="Heading2"/>
        <w:keepNext/>
      </w:pPr>
      <w:r>
        <w:t>Protecting student data</w:t>
      </w:r>
    </w:p>
    <w:p>
      <w:pPr>
        <w:pStyle w:val="ListBullet"/>
        <w:spacing w:after="40"/>
      </w:pPr>
      <w:r>
        <w:t>Collect only information necessary for the service.</w:t>
      </w:r>
    </w:p>
    <w:p>
      <w:pPr>
        <w:pStyle w:val="ListBullet"/>
        <w:spacing w:after="40"/>
      </w:pPr>
      <w:r>
        <w:t>Apply role-based access controls and protect uploaded documents.</w:t>
      </w:r>
    </w:p>
    <w:p>
      <w:pPr>
        <w:pStyle w:val="ListBullet"/>
        <w:spacing w:after="40"/>
      </w:pPr>
      <w:r>
        <w:t>Minimize and de-identify information sent to external AI services wherever practical.</w:t>
      </w:r>
    </w:p>
    <w:p>
      <w:pPr>
        <w:pStyle w:val="ListBullet"/>
        <w:spacing w:after="40"/>
      </w:pPr>
      <w:r>
        <w:t>Obtain appropriate consent and review applicable AI provider data terms before using real student data.</w:t>
      </w:r>
    </w:p>
    <w:p>
      <w:pPr>
        <w:pStyle w:val="ListBullet"/>
        <w:spacing w:after="40"/>
      </w:pPr>
      <w:r>
        <w:t>Keep audit records for sensitive actions and privileged access.</w:t>
      </w:r>
    </w:p>
    <w:p>
      <w:pPr>
        <w:pStyle w:val="Heading2"/>
        <w:keepNext/>
      </w:pPr>
      <w:r>
        <w:t>Preventing misleading recommendations</w:t>
      </w:r>
    </w:p>
    <w:p>
      <w:r>
        <w:t>The interface should distinguish verified facts from model-generated explanations and suggestions requiring further research. Gemini may explain admission criteria, but authorized college staff decide admissions. It may explain scholarship requirements, but the relevant authority decides approval. Banks decide loan applications.</w:t>
      </w:r>
    </w:p>
    <w:p>
      <w:pPr>
        <w:pStyle w:val="Heading1"/>
        <w:keepNext/>
      </w:pPr>
      <w:r>
        <w:t>9. Target Users and Expected Benefits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64E63"/>
          </w:tcPr>
          <w:p>
            <w:pPr>
              <w:spacing w:after="40"/>
            </w:pPr>
            <w:r/>
            <w:r>
              <w:rPr>
                <w:rFonts w:ascii="Aptos" w:hAnsi="Aptos"/>
                <w:b/>
                <w:color w:val="FFFFFF"/>
                <w:sz w:val="18"/>
              </w:rPr>
              <w:t>User group</w:t>
            </w:r>
          </w:p>
        </w:tc>
        <w:tc>
          <w:tcPr>
            <w:tcW w:type="dxa" w:w="6480"/>
            <w:vAlign w:val="center"/>
            <w:shd w:fill="164E63"/>
          </w:tcPr>
          <w:p>
            <w:pPr>
              <w:spacing w:after="40"/>
            </w:pPr>
            <w:r/>
            <w:r>
              <w:rPr>
                <w:rFonts w:ascii="Aptos" w:hAnsi="Aptos"/>
                <w:b/>
                <w:color w:val="FFFFFF"/>
                <w:sz w:val="18"/>
              </w:rPr>
              <w:t>Potential benefit</w:t>
            </w:r>
          </w:p>
        </w:tc>
      </w:tr>
      <w:tr>
        <w:tc>
          <w:tcPr>
            <w:tcW w:type="dxa" w:w="3168"/>
            <w:vAlign w:val="center"/>
          </w:tcPr>
          <w:p>
            <w:pPr>
              <w:spacing w:after="40"/>
            </w:pPr>
            <w:r/>
            <w:r>
              <w:rPr>
                <w:rFonts w:ascii="Aptos" w:hAnsi="Aptos"/>
                <w:b w:val="0"/>
                <w:sz w:val="17"/>
              </w:rPr>
              <w:t>Students after Class 10 and Class 12</w:t>
            </w:r>
          </w:p>
        </w:tc>
        <w:tc>
          <w:tcPr>
            <w:tcW w:type="dxa" w:w="6480"/>
            <w:vAlign w:val="center"/>
          </w:tcPr>
          <w:p>
            <w:pPr>
              <w:spacing w:after="40"/>
            </w:pPr>
            <w:r/>
            <w:r>
              <w:rPr>
                <w:rFonts w:ascii="Aptos" w:hAnsi="Aptos"/>
                <w:b w:val="0"/>
                <w:sz w:val="17"/>
              </w:rPr>
              <w:t>Explore streams, courses, careers, colleges, and financial-assistance opportunities.</w:t>
            </w:r>
          </w:p>
        </w:tc>
      </w:tr>
      <w:tr>
        <w:tc>
          <w:tcPr>
            <w:tcW w:type="dxa" w:w="3168"/>
            <w:vAlign w:val="center"/>
            <w:shd w:fill="F1F5F9"/>
          </w:tcPr>
          <w:p>
            <w:pPr>
              <w:spacing w:after="40"/>
            </w:pPr>
            <w:r/>
            <w:r>
              <w:rPr>
                <w:rFonts w:ascii="Aptos" w:hAnsi="Aptos"/>
                <w:b w:val="0"/>
                <w:sz w:val="17"/>
              </w:rPr>
              <w:t>Students in low-connectivity areas</w:t>
            </w:r>
          </w:p>
        </w:tc>
        <w:tc>
          <w:tcPr>
            <w:tcW w:type="dxa" w:w="6480"/>
            <w:vAlign w:val="center"/>
            <w:shd w:fill="F1F5F9"/>
          </w:tcPr>
          <w:p>
            <w:pPr>
              <w:spacing w:after="40"/>
            </w:pPr>
            <w:r/>
            <w:r>
              <w:rPr>
                <w:rFonts w:ascii="Aptos" w:hAnsi="Aptos"/>
                <w:b w:val="0"/>
                <w:sz w:val="17"/>
              </w:rPr>
              <w:t>Use supported offline guidance and synchronize permitted changes when connectivity returns.</w:t>
            </w:r>
          </w:p>
        </w:tc>
      </w:tr>
      <w:tr>
        <w:tc>
          <w:tcPr>
            <w:tcW w:type="dxa" w:w="3168"/>
            <w:vAlign w:val="center"/>
          </w:tcPr>
          <w:p>
            <w:pPr>
              <w:spacing w:after="40"/>
            </w:pPr>
            <w:r/>
            <w:r>
              <w:rPr>
                <w:rFonts w:ascii="Aptos" w:hAnsi="Aptos"/>
                <w:b w:val="0"/>
                <w:sz w:val="17"/>
              </w:rPr>
              <w:t>Parents and guardians</w:t>
            </w:r>
          </w:p>
        </w:tc>
        <w:tc>
          <w:tcPr>
            <w:tcW w:type="dxa" w:w="6480"/>
            <w:vAlign w:val="center"/>
          </w:tcPr>
          <w:p>
            <w:pPr>
              <w:spacing w:after="40"/>
            </w:pPr>
            <w:r/>
            <w:r>
              <w:rPr>
                <w:rFonts w:ascii="Aptos" w:hAnsi="Aptos"/>
                <w:b w:val="0"/>
                <w:sz w:val="17"/>
              </w:rPr>
              <w:t>Use understandable course comparisons, eligibility information, and roadmaps in decision-making.</w:t>
            </w:r>
          </w:p>
        </w:tc>
      </w:tr>
      <w:tr>
        <w:tc>
          <w:tcPr>
            <w:tcW w:type="dxa" w:w="3168"/>
            <w:vAlign w:val="center"/>
            <w:shd w:fill="F1F5F9"/>
          </w:tcPr>
          <w:p>
            <w:pPr>
              <w:spacing w:after="40"/>
            </w:pPr>
            <w:r/>
            <w:r>
              <w:rPr>
                <w:rFonts w:ascii="Aptos" w:hAnsi="Aptos"/>
                <w:b w:val="0"/>
                <w:sz w:val="17"/>
              </w:rPr>
              <w:t>Government colleges</w:t>
            </w:r>
          </w:p>
        </w:tc>
        <w:tc>
          <w:tcPr>
            <w:tcW w:type="dxa" w:w="6480"/>
            <w:vAlign w:val="center"/>
            <w:shd w:fill="F1F5F9"/>
          </w:tcPr>
          <w:p>
            <w:pPr>
              <w:spacing w:after="40"/>
            </w:pPr>
            <w:r/>
            <w:r>
              <w:rPr>
                <w:rFonts w:ascii="Aptos" w:hAnsi="Aptos"/>
                <w:b w:val="0"/>
                <w:sz w:val="17"/>
              </w:rPr>
              <w:t>Maintain course information, reach prospective students, and manage supported admission workflows.</w:t>
            </w:r>
          </w:p>
        </w:tc>
      </w:tr>
      <w:tr>
        <w:tc>
          <w:tcPr>
            <w:tcW w:type="dxa" w:w="3168"/>
            <w:vAlign w:val="center"/>
          </w:tcPr>
          <w:p>
            <w:pPr>
              <w:spacing w:after="40"/>
            </w:pPr>
            <w:r/>
            <w:r>
              <w:rPr>
                <w:rFonts w:ascii="Aptos" w:hAnsi="Aptos"/>
                <w:b w:val="0"/>
                <w:sz w:val="17"/>
              </w:rPr>
              <w:t>Mentors and educational institutions</w:t>
            </w:r>
          </w:p>
        </w:tc>
        <w:tc>
          <w:tcPr>
            <w:tcW w:type="dxa" w:w="6480"/>
            <w:vAlign w:val="center"/>
          </w:tcPr>
          <w:p>
            <w:pPr>
              <w:spacing w:after="40"/>
            </w:pPr>
            <w:r/>
            <w:r>
              <w:rPr>
                <w:rFonts w:ascii="Aptos" w:hAnsi="Aptos"/>
                <w:b w:val="0"/>
                <w:sz w:val="17"/>
              </w:rPr>
              <w:t>Provide guidance and document verified contributions through permitted workflows.</w:t>
            </w:r>
          </w:p>
        </w:tc>
      </w:tr>
      <w:tr>
        <w:tc>
          <w:tcPr>
            <w:tcW w:type="dxa" w:w="3168"/>
            <w:vAlign w:val="center"/>
            <w:shd w:fill="F1F5F9"/>
          </w:tcPr>
          <w:p>
            <w:pPr>
              <w:spacing w:after="40"/>
            </w:pPr>
            <w:r/>
            <w:r>
              <w:rPr>
                <w:rFonts w:ascii="Aptos" w:hAnsi="Aptos"/>
                <w:b w:val="0"/>
                <w:sz w:val="17"/>
              </w:rPr>
              <w:t>Scholarship authorities and banks</w:t>
            </w:r>
          </w:p>
        </w:tc>
        <w:tc>
          <w:tcPr>
            <w:tcW w:type="dxa" w:w="6480"/>
            <w:vAlign w:val="center"/>
            <w:shd w:fill="F1F5F9"/>
          </w:tcPr>
          <w:p>
            <w:pPr>
              <w:spacing w:after="40"/>
            </w:pPr>
            <w:r/>
            <w:r>
              <w:rPr>
                <w:rFonts w:ascii="Aptos" w:hAnsi="Aptos"/>
                <w:b w:val="0"/>
                <w:sz w:val="17"/>
              </w:rPr>
              <w:t>Process applications through role-restricted workflows where the organization participates.</w:t>
            </w:r>
          </w:p>
        </w:tc>
      </w:tr>
    </w:tbl>
    <w:p/>
    <w:p>
      <w:r>
        <w:t>Institutional benefits depend on adoption, reliable data, appropriate integrations, and the workflows that are actually implemented.</w:t>
      </w:r>
    </w:p>
    <w:p>
      <w:pPr>
        <w:pStyle w:val="Heading1"/>
        <w:keepNext/>
      </w:pPr>
      <w:r>
        <w:t>10. Implementation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64E63"/>
          </w:tcPr>
          <w:p>
            <w:pPr>
              <w:spacing w:after="40"/>
            </w:pPr>
            <w:r/>
            <w:r>
              <w:rPr>
                <w:rFonts w:ascii="Aptos" w:hAnsi="Aptos"/>
                <w:b/>
                <w:color w:val="FFFFFF"/>
                <w:sz w:val="18"/>
              </w:rPr>
              <w:t>Priority</w:t>
            </w:r>
          </w:p>
        </w:tc>
        <w:tc>
          <w:tcPr>
            <w:tcW w:type="dxa" w:w="4608"/>
            <w:vAlign w:val="center"/>
            <w:shd w:fill="164E63"/>
          </w:tcPr>
          <w:p>
            <w:pPr>
              <w:spacing w:after="40"/>
            </w:pPr>
            <w:r/>
            <w:r>
              <w:rPr>
                <w:rFonts w:ascii="Aptos" w:hAnsi="Aptos"/>
                <w:b/>
                <w:color w:val="FFFFFF"/>
                <w:sz w:val="18"/>
              </w:rPr>
              <w:t>Build</w:t>
            </w:r>
          </w:p>
        </w:tc>
        <w:tc>
          <w:tcPr>
            <w:tcW w:type="dxa" w:w="3960"/>
            <w:vAlign w:val="center"/>
            <w:shd w:fill="164E63"/>
          </w:tcPr>
          <w:p>
            <w:pPr>
              <w:spacing w:after="40"/>
            </w:pPr>
            <w:r/>
            <w:r>
              <w:rPr>
                <w:rFonts w:ascii="Aptos" w:hAnsi="Aptos"/>
                <w:b/>
                <w:color w:val="FFFFFF"/>
                <w:sz w:val="18"/>
              </w:rPr>
              <w:t>Reason</w:t>
            </w:r>
          </w:p>
        </w:tc>
      </w:tr>
      <w:tr>
        <w:tc>
          <w:tcPr>
            <w:tcW w:type="dxa" w:w="1080"/>
            <w:vAlign w:val="center"/>
          </w:tcPr>
          <w:p>
            <w:pPr>
              <w:spacing w:after="40"/>
            </w:pPr>
            <w:r/>
            <w:r>
              <w:rPr>
                <w:rFonts w:ascii="Aptos" w:hAnsi="Aptos"/>
                <w:b w:val="0"/>
                <w:sz w:val="17"/>
              </w:rPr>
              <w:t>P0</w:t>
            </w:r>
          </w:p>
        </w:tc>
        <w:tc>
          <w:tcPr>
            <w:tcW w:type="dxa" w:w="4608"/>
            <w:vAlign w:val="center"/>
          </w:tcPr>
          <w:p>
            <w:pPr>
              <w:spacing w:after="40"/>
            </w:pPr>
            <w:r/>
            <w:r>
              <w:rPr>
                <w:rFonts w:ascii="Aptos" w:hAnsi="Aptos"/>
                <w:b w:val="0"/>
                <w:sz w:val="17"/>
              </w:rPr>
              <w:t>Firebase Authentication and student profile</w:t>
            </w:r>
          </w:p>
        </w:tc>
        <w:tc>
          <w:tcPr>
            <w:tcW w:type="dxa" w:w="3960"/>
            <w:vAlign w:val="center"/>
          </w:tcPr>
          <w:p>
            <w:pPr>
              <w:spacing w:after="40"/>
            </w:pPr>
            <w:r/>
            <w:r>
              <w:rPr>
                <w:rFonts w:ascii="Aptos" w:hAnsi="Aptos"/>
                <w:b w:val="0"/>
                <w:sz w:val="17"/>
              </w:rPr>
              <w:t>Establishes the foundation</w:t>
            </w:r>
          </w:p>
        </w:tc>
      </w:tr>
      <w:tr>
        <w:tc>
          <w:tcPr>
            <w:tcW w:type="dxa" w:w="1080"/>
            <w:vAlign w:val="center"/>
            <w:shd w:fill="F1F5F9"/>
          </w:tcPr>
          <w:p>
            <w:pPr>
              <w:spacing w:after="40"/>
            </w:pPr>
            <w:r/>
            <w:r>
              <w:rPr>
                <w:rFonts w:ascii="Aptos" w:hAnsi="Aptos"/>
                <w:b w:val="0"/>
                <w:sz w:val="17"/>
              </w:rPr>
              <w:t>P0</w:t>
            </w:r>
          </w:p>
        </w:tc>
        <w:tc>
          <w:tcPr>
            <w:tcW w:type="dxa" w:w="4608"/>
            <w:vAlign w:val="center"/>
            <w:shd w:fill="F1F5F9"/>
          </w:tcPr>
          <w:p>
            <w:pPr>
              <w:spacing w:after="40"/>
            </w:pPr>
            <w:r/>
            <w:r>
              <w:rPr>
                <w:rFonts w:ascii="Aptos" w:hAnsi="Aptos"/>
                <w:b w:val="0"/>
                <w:sz w:val="17"/>
              </w:rPr>
              <w:t>Cognitive and interest assessment</w:t>
            </w:r>
          </w:p>
        </w:tc>
        <w:tc>
          <w:tcPr>
            <w:tcW w:type="dxa" w:w="3960"/>
            <w:vAlign w:val="center"/>
            <w:shd w:fill="F1F5F9"/>
          </w:tcPr>
          <w:p>
            <w:pPr>
              <w:spacing w:after="40"/>
            </w:pPr>
            <w:r/>
            <w:r>
              <w:rPr>
                <w:rFonts w:ascii="Aptos" w:hAnsi="Aptos"/>
                <w:b w:val="0"/>
                <w:sz w:val="17"/>
              </w:rPr>
              <w:t>Creates the personalization input</w:t>
            </w:r>
          </w:p>
        </w:tc>
      </w:tr>
      <w:tr>
        <w:tc>
          <w:tcPr>
            <w:tcW w:type="dxa" w:w="1080"/>
            <w:vAlign w:val="center"/>
          </w:tcPr>
          <w:p>
            <w:pPr>
              <w:spacing w:after="40"/>
            </w:pPr>
            <w:r/>
            <w:r>
              <w:rPr>
                <w:rFonts w:ascii="Aptos" w:hAnsi="Aptos"/>
                <w:b w:val="0"/>
                <w:sz w:val="17"/>
              </w:rPr>
              <w:t>P0</w:t>
            </w:r>
          </w:p>
        </w:tc>
        <w:tc>
          <w:tcPr>
            <w:tcW w:type="dxa" w:w="4608"/>
            <w:vAlign w:val="center"/>
          </w:tcPr>
          <w:p>
            <w:pPr>
              <w:spacing w:after="40"/>
            </w:pPr>
            <w:r/>
            <w:r>
              <w:rPr>
                <w:rFonts w:ascii="Aptos" w:hAnsi="Aptos"/>
                <w:b w:val="0"/>
                <w:sz w:val="17"/>
              </w:rPr>
              <w:t>Gemini assessment explanation</w:t>
            </w:r>
          </w:p>
        </w:tc>
        <w:tc>
          <w:tcPr>
            <w:tcW w:type="dxa" w:w="3960"/>
            <w:vAlign w:val="center"/>
          </w:tcPr>
          <w:p>
            <w:pPr>
              <w:spacing w:after="40"/>
            </w:pPr>
            <w:r/>
            <w:r>
              <w:rPr>
                <w:rFonts w:ascii="Aptos" w:hAnsi="Aptos"/>
                <w:b w:val="0"/>
                <w:sz w:val="17"/>
              </w:rPr>
              <w:t>Demonstrates the AI contribution</w:t>
            </w:r>
          </w:p>
        </w:tc>
      </w:tr>
      <w:tr>
        <w:tc>
          <w:tcPr>
            <w:tcW w:type="dxa" w:w="1080"/>
            <w:vAlign w:val="center"/>
            <w:shd w:fill="F1F5F9"/>
          </w:tcPr>
          <w:p>
            <w:pPr>
              <w:spacing w:after="40"/>
            </w:pPr>
            <w:r/>
            <w:r>
              <w:rPr>
                <w:rFonts w:ascii="Aptos" w:hAnsi="Aptos"/>
                <w:b w:val="0"/>
                <w:sz w:val="17"/>
              </w:rPr>
              <w:t>P0</w:t>
            </w:r>
          </w:p>
        </w:tc>
        <w:tc>
          <w:tcPr>
            <w:tcW w:type="dxa" w:w="4608"/>
            <w:vAlign w:val="center"/>
            <w:shd w:fill="F1F5F9"/>
          </w:tcPr>
          <w:p>
            <w:pPr>
              <w:spacing w:after="40"/>
            </w:pPr>
            <w:r/>
            <w:r>
              <w:rPr>
                <w:rFonts w:ascii="Aptos" w:hAnsi="Aptos"/>
                <w:b w:val="0"/>
                <w:sz w:val="17"/>
              </w:rPr>
              <w:t>Career roadmap generation</w:t>
            </w:r>
          </w:p>
        </w:tc>
        <w:tc>
          <w:tcPr>
            <w:tcW w:type="dxa" w:w="3960"/>
            <w:vAlign w:val="center"/>
            <w:shd w:fill="F1F5F9"/>
          </w:tcPr>
          <w:p>
            <w:pPr>
              <w:spacing w:after="40"/>
            </w:pPr>
            <w:r/>
            <w:r>
              <w:rPr>
                <w:rFonts w:ascii="Aptos" w:hAnsi="Aptos"/>
                <w:b w:val="0"/>
                <w:sz w:val="17"/>
              </w:rPr>
              <w:t>Makes the student value visible</w:t>
            </w:r>
          </w:p>
        </w:tc>
      </w:tr>
      <w:tr>
        <w:tc>
          <w:tcPr>
            <w:tcW w:type="dxa" w:w="1080"/>
            <w:vAlign w:val="center"/>
          </w:tcPr>
          <w:p>
            <w:pPr>
              <w:spacing w:after="40"/>
            </w:pPr>
            <w:r/>
            <w:r>
              <w:rPr>
                <w:rFonts w:ascii="Aptos" w:hAnsi="Aptos"/>
                <w:b w:val="0"/>
                <w:sz w:val="17"/>
              </w:rPr>
              <w:t>P0</w:t>
            </w:r>
          </w:p>
        </w:tc>
        <w:tc>
          <w:tcPr>
            <w:tcW w:type="dxa" w:w="4608"/>
            <w:vAlign w:val="center"/>
          </w:tcPr>
          <w:p>
            <w:pPr>
              <w:spacing w:after="40"/>
            </w:pPr>
            <w:r/>
            <w:r>
              <w:rPr>
                <w:rFonts w:ascii="Aptos" w:hAnsi="Aptos"/>
                <w:b w:val="0"/>
                <w:sz w:val="17"/>
              </w:rPr>
              <w:t>Course and government college discovery</w:t>
            </w:r>
          </w:p>
        </w:tc>
        <w:tc>
          <w:tcPr>
            <w:tcW w:type="dxa" w:w="3960"/>
            <w:vAlign w:val="center"/>
          </w:tcPr>
          <w:p>
            <w:pPr>
              <w:spacing w:after="40"/>
            </w:pPr>
            <w:r/>
            <w:r>
              <w:rPr>
                <w:rFonts w:ascii="Aptos" w:hAnsi="Aptos"/>
                <w:b w:val="0"/>
                <w:sz w:val="17"/>
              </w:rPr>
              <w:t>Connects guidance to real opportunities</w:t>
            </w:r>
          </w:p>
        </w:tc>
      </w:tr>
      <w:tr>
        <w:tc>
          <w:tcPr>
            <w:tcW w:type="dxa" w:w="1080"/>
            <w:vAlign w:val="center"/>
            <w:shd w:fill="F1F5F9"/>
          </w:tcPr>
          <w:p>
            <w:pPr>
              <w:spacing w:after="40"/>
            </w:pPr>
            <w:r/>
            <w:r>
              <w:rPr>
                <w:rFonts w:ascii="Aptos" w:hAnsi="Aptos"/>
                <w:b w:val="0"/>
                <w:sz w:val="17"/>
              </w:rPr>
              <w:t>P0</w:t>
            </w:r>
          </w:p>
        </w:tc>
        <w:tc>
          <w:tcPr>
            <w:tcW w:type="dxa" w:w="4608"/>
            <w:vAlign w:val="center"/>
            <w:shd w:fill="F1F5F9"/>
          </w:tcPr>
          <w:p>
            <w:pPr>
              <w:spacing w:after="40"/>
            </w:pPr>
            <w:r/>
            <w:r>
              <w:rPr>
                <w:rFonts w:ascii="Aptos" w:hAnsi="Aptos"/>
                <w:b w:val="0"/>
                <w:sz w:val="17"/>
              </w:rPr>
              <w:t>Mobile offline assessment and cached guidance</w:t>
            </w:r>
          </w:p>
        </w:tc>
        <w:tc>
          <w:tcPr>
            <w:tcW w:type="dxa" w:w="3960"/>
            <w:vAlign w:val="center"/>
            <w:shd w:fill="F1F5F9"/>
          </w:tcPr>
          <w:p>
            <w:pPr>
              <w:spacing w:after="40"/>
            </w:pPr>
            <w:r/>
            <w:r>
              <w:rPr>
                <w:rFonts w:ascii="Aptos" w:hAnsi="Aptos"/>
                <w:b w:val="0"/>
                <w:sz w:val="17"/>
              </w:rPr>
              <w:t>Demonstrates accessibility</w:t>
            </w:r>
          </w:p>
        </w:tc>
      </w:tr>
      <w:tr>
        <w:tc>
          <w:tcPr>
            <w:tcW w:type="dxa" w:w="1080"/>
            <w:vAlign w:val="center"/>
          </w:tcPr>
          <w:p>
            <w:pPr>
              <w:spacing w:after="40"/>
            </w:pPr>
            <w:r/>
            <w:r>
              <w:rPr>
                <w:rFonts w:ascii="Aptos" w:hAnsi="Aptos"/>
                <w:b w:val="0"/>
                <w:sz w:val="17"/>
              </w:rPr>
              <w:t>P1</w:t>
            </w:r>
          </w:p>
        </w:tc>
        <w:tc>
          <w:tcPr>
            <w:tcW w:type="dxa" w:w="4608"/>
            <w:vAlign w:val="center"/>
          </w:tcPr>
          <w:p>
            <w:pPr>
              <w:spacing w:after="40"/>
            </w:pPr>
            <w:r/>
            <w:r>
              <w:rPr>
                <w:rFonts w:ascii="Aptos" w:hAnsi="Aptos"/>
                <w:b w:val="0"/>
                <w:sz w:val="17"/>
              </w:rPr>
              <w:t>College application and review workflow</w:t>
            </w:r>
          </w:p>
        </w:tc>
        <w:tc>
          <w:tcPr>
            <w:tcW w:type="dxa" w:w="3960"/>
            <w:vAlign w:val="center"/>
          </w:tcPr>
          <w:p>
            <w:pPr>
              <w:spacing w:after="40"/>
            </w:pPr>
            <w:r/>
            <w:r>
              <w:rPr>
                <w:rFonts w:ascii="Aptos" w:hAnsi="Aptos"/>
                <w:b w:val="0"/>
                <w:sz w:val="17"/>
              </w:rPr>
              <w:t>Connects discovery to action</w:t>
            </w:r>
          </w:p>
        </w:tc>
      </w:tr>
      <w:tr>
        <w:tc>
          <w:tcPr>
            <w:tcW w:type="dxa" w:w="1080"/>
            <w:vAlign w:val="center"/>
            <w:shd w:fill="F1F5F9"/>
          </w:tcPr>
          <w:p>
            <w:pPr>
              <w:spacing w:after="40"/>
            </w:pPr>
            <w:r/>
            <w:r>
              <w:rPr>
                <w:rFonts w:ascii="Aptos" w:hAnsi="Aptos"/>
                <w:b w:val="0"/>
                <w:sz w:val="17"/>
              </w:rPr>
              <w:t>P1</w:t>
            </w:r>
          </w:p>
        </w:tc>
        <w:tc>
          <w:tcPr>
            <w:tcW w:type="dxa" w:w="4608"/>
            <w:vAlign w:val="center"/>
            <w:shd w:fill="F1F5F9"/>
          </w:tcPr>
          <w:p>
            <w:pPr>
              <w:spacing w:after="40"/>
            </w:pPr>
            <w:r/>
            <w:r>
              <w:rPr>
                <w:rFonts w:ascii="Aptos" w:hAnsi="Aptos"/>
                <w:b w:val="0"/>
                <w:sz w:val="17"/>
              </w:rPr>
              <w:t>Scholarship and loan discovery</w:t>
            </w:r>
          </w:p>
        </w:tc>
        <w:tc>
          <w:tcPr>
            <w:tcW w:type="dxa" w:w="3960"/>
            <w:vAlign w:val="center"/>
            <w:shd w:fill="F1F5F9"/>
          </w:tcPr>
          <w:p>
            <w:pPr>
              <w:spacing w:after="40"/>
            </w:pPr>
            <w:r/>
            <w:r>
              <w:rPr>
                <w:rFonts w:ascii="Aptos" w:hAnsi="Aptos"/>
                <w:b w:val="0"/>
                <w:sz w:val="17"/>
              </w:rPr>
              <w:t>Addresses financial barriers</w:t>
            </w:r>
          </w:p>
        </w:tc>
      </w:tr>
      <w:tr>
        <w:tc>
          <w:tcPr>
            <w:tcW w:type="dxa" w:w="1080"/>
            <w:vAlign w:val="center"/>
          </w:tcPr>
          <w:p>
            <w:pPr>
              <w:spacing w:after="40"/>
            </w:pPr>
            <w:r/>
            <w:r>
              <w:rPr>
                <w:rFonts w:ascii="Aptos" w:hAnsi="Aptos"/>
                <w:b w:val="0"/>
                <w:sz w:val="17"/>
              </w:rPr>
              <w:t>P1</w:t>
            </w:r>
          </w:p>
        </w:tc>
        <w:tc>
          <w:tcPr>
            <w:tcW w:type="dxa" w:w="4608"/>
            <w:vAlign w:val="center"/>
          </w:tcPr>
          <w:p>
            <w:pPr>
              <w:spacing w:after="40"/>
            </w:pPr>
            <w:r/>
            <w:r>
              <w:rPr>
                <w:rFonts w:ascii="Aptos" w:hAnsi="Aptos"/>
                <w:b w:val="0"/>
                <w:sz w:val="17"/>
              </w:rPr>
              <w:t>Learning resources and progress tracking</w:t>
            </w:r>
          </w:p>
        </w:tc>
        <w:tc>
          <w:tcPr>
            <w:tcW w:type="dxa" w:w="3960"/>
            <w:vAlign w:val="center"/>
          </w:tcPr>
          <w:p>
            <w:pPr>
              <w:spacing w:after="40"/>
            </w:pPr>
            <w:r/>
            <w:r>
              <w:rPr>
                <w:rFonts w:ascii="Aptos" w:hAnsi="Aptos"/>
                <w:b w:val="0"/>
                <w:sz w:val="17"/>
              </w:rPr>
              <w:t>Supports continued development</w:t>
            </w:r>
          </w:p>
        </w:tc>
      </w:tr>
      <w:tr>
        <w:tc>
          <w:tcPr>
            <w:tcW w:type="dxa" w:w="1080"/>
            <w:vAlign w:val="center"/>
            <w:shd w:fill="F1F5F9"/>
          </w:tcPr>
          <w:p>
            <w:pPr>
              <w:spacing w:after="40"/>
            </w:pPr>
            <w:r/>
            <w:r>
              <w:rPr>
                <w:rFonts w:ascii="Aptos" w:hAnsi="Aptos"/>
                <w:b w:val="0"/>
                <w:sz w:val="17"/>
              </w:rPr>
              <w:t>P1</w:t>
            </w:r>
          </w:p>
        </w:tc>
        <w:tc>
          <w:tcPr>
            <w:tcW w:type="dxa" w:w="4608"/>
            <w:vAlign w:val="center"/>
            <w:shd w:fill="F1F5F9"/>
          </w:tcPr>
          <w:p>
            <w:pPr>
              <w:spacing w:after="40"/>
            </w:pPr>
            <w:r/>
            <w:r>
              <w:rPr>
                <w:rFonts w:ascii="Aptos" w:hAnsi="Aptos"/>
                <w:b w:val="0"/>
                <w:sz w:val="17"/>
              </w:rPr>
              <w:t>Mentor and job opportunities</w:t>
            </w:r>
          </w:p>
        </w:tc>
        <w:tc>
          <w:tcPr>
            <w:tcW w:type="dxa" w:w="3960"/>
            <w:vAlign w:val="center"/>
            <w:shd w:fill="F1F5F9"/>
          </w:tcPr>
          <w:p>
            <w:pPr>
              <w:spacing w:after="40"/>
            </w:pPr>
            <w:r/>
            <w:r>
              <w:rPr>
                <w:rFonts w:ascii="Aptos" w:hAnsi="Aptos"/>
                <w:b w:val="0"/>
                <w:sz w:val="17"/>
              </w:rPr>
              <w:t>Extends the student journey</w:t>
            </w:r>
          </w:p>
        </w:tc>
      </w:tr>
      <w:tr>
        <w:tc>
          <w:tcPr>
            <w:tcW w:type="dxa" w:w="1080"/>
            <w:vAlign w:val="center"/>
          </w:tcPr>
          <w:p>
            <w:pPr>
              <w:spacing w:after="40"/>
            </w:pPr>
            <w:r/>
            <w:r>
              <w:rPr>
                <w:rFonts w:ascii="Aptos" w:hAnsi="Aptos"/>
                <w:b w:val="0"/>
                <w:sz w:val="17"/>
              </w:rPr>
              <w:t>P2</w:t>
            </w:r>
          </w:p>
        </w:tc>
        <w:tc>
          <w:tcPr>
            <w:tcW w:type="dxa" w:w="4608"/>
            <w:vAlign w:val="center"/>
          </w:tcPr>
          <w:p>
            <w:pPr>
              <w:spacing w:after="40"/>
            </w:pPr>
            <w:r/>
            <w:r>
              <w:rPr>
                <w:rFonts w:ascii="Aptos" w:hAnsi="Aptos"/>
                <w:b w:val="0"/>
                <w:sz w:val="17"/>
              </w:rPr>
              <w:t>Advanced analytics and institutional reporting</w:t>
            </w:r>
          </w:p>
        </w:tc>
        <w:tc>
          <w:tcPr>
            <w:tcW w:type="dxa" w:w="3960"/>
            <w:vAlign w:val="center"/>
          </w:tcPr>
          <w:p>
            <w:pPr>
              <w:spacing w:after="40"/>
            </w:pPr>
            <w:r/>
            <w:r>
              <w:rPr>
                <w:rFonts w:ascii="Aptos" w:hAnsi="Aptos"/>
                <w:b w:val="0"/>
                <w:sz w:val="17"/>
              </w:rPr>
              <w:t>Supports later evaluation and scaling</w:t>
            </w:r>
          </w:p>
        </w:tc>
      </w:tr>
      <w:tr>
        <w:tc>
          <w:tcPr>
            <w:tcW w:type="dxa" w:w="1080"/>
            <w:vAlign w:val="center"/>
            <w:shd w:fill="F1F5F9"/>
          </w:tcPr>
          <w:p>
            <w:pPr>
              <w:spacing w:after="40"/>
            </w:pPr>
            <w:r/>
            <w:r>
              <w:rPr>
                <w:rFonts w:ascii="Aptos" w:hAnsi="Aptos"/>
                <w:b w:val="0"/>
                <w:sz w:val="17"/>
              </w:rPr>
              <w:t>P2</w:t>
            </w:r>
          </w:p>
        </w:tc>
        <w:tc>
          <w:tcPr>
            <w:tcW w:type="dxa" w:w="4608"/>
            <w:vAlign w:val="center"/>
            <w:shd w:fill="F1F5F9"/>
          </w:tcPr>
          <w:p>
            <w:pPr>
              <w:spacing w:after="40"/>
            </w:pPr>
            <w:r/>
            <w:r>
              <w:rPr>
                <w:rFonts w:ascii="Aptos" w:hAnsi="Aptos"/>
                <w:b w:val="0"/>
                <w:sz w:val="17"/>
              </w:rPr>
              <w:t>Optional on-device Gemma integration</w:t>
            </w:r>
          </w:p>
        </w:tc>
        <w:tc>
          <w:tcPr>
            <w:tcW w:type="dxa" w:w="3960"/>
            <w:vAlign w:val="center"/>
            <w:shd w:fill="F1F5F9"/>
          </w:tcPr>
          <w:p>
            <w:pPr>
              <w:spacing w:after="40"/>
            </w:pPr>
            <w:r/>
            <w:r>
              <w:rPr>
                <w:rFonts w:ascii="Aptos" w:hAnsi="Aptos"/>
                <w:b w:val="0"/>
                <w:sz w:val="17"/>
              </w:rPr>
              <w:t>Adds value only if testing justifies it</w:t>
            </w:r>
          </w:p>
        </w:tc>
      </w:tr>
    </w:tbl>
    <w:p/>
    <w:p>
      <w:pPr>
        <w:pStyle w:val="Heading2"/>
        <w:keepNext/>
      </w:pPr>
      <w:r>
        <w:t>Recommended first end-to-end demonstration</w:t>
      </w:r>
    </w:p>
    <w:p>
      <w:r>
        <w:t>Student profile → assessment → Gemini explanation → personalized roadmap → verified college discovery → saved offline guidance.</w:t>
      </w:r>
    </w:p>
    <w:p>
      <w:r>
        <w:t>Once this journey works reliably on mobile and web, expand into admissions, scholarships, mentoring, and other modules.</w:t>
      </w:r>
    </w:p>
    <w:p>
      <w:pPr>
        <w:pStyle w:val="Heading1"/>
        <w:keepNext/>
      </w:pPr>
      <w:r>
        <w:t>11. Success Metrics and Pilot Evaluation</w:t>
      </w:r>
    </w:p>
    <w:tbl>
      <w:tblPr>
        <w:tblStyle w:val="TableGrid"/>
        <w:tblW w:type="auto" w:w="0"/>
        <w:jc w:val="center"/>
        <w:tblLook w:firstColumn="1" w:firstRow="1" w:lastColumn="0" w:lastRow="0" w:noHBand="0" w:noVBand="1" w:val="04A0"/>
      </w:tblPr>
      <w:tblGrid>
        <w:gridCol w:w="4968"/>
        <w:gridCol w:w="4968"/>
      </w:tblGrid>
      <w:tr>
        <w:tc>
          <w:tcPr>
            <w:tcW w:type="dxa" w:w="3240"/>
            <w:vAlign w:val="center"/>
            <w:shd w:fill="164E63"/>
          </w:tcPr>
          <w:p>
            <w:pPr>
              <w:spacing w:after="40"/>
            </w:pPr>
            <w:r/>
            <w:r>
              <w:rPr>
                <w:rFonts w:ascii="Aptos" w:hAnsi="Aptos"/>
                <w:b/>
                <w:color w:val="FFFFFF"/>
                <w:sz w:val="18"/>
              </w:rPr>
              <w:t>Objective</w:t>
            </w:r>
          </w:p>
        </w:tc>
        <w:tc>
          <w:tcPr>
            <w:tcW w:type="dxa" w:w="6408"/>
            <w:vAlign w:val="center"/>
            <w:shd w:fill="164E63"/>
          </w:tcPr>
          <w:p>
            <w:pPr>
              <w:spacing w:after="40"/>
            </w:pPr>
            <w:r/>
            <w:r>
              <w:rPr>
                <w:rFonts w:ascii="Aptos" w:hAnsi="Aptos"/>
                <w:b/>
                <w:color w:val="FFFFFF"/>
                <w:sz w:val="18"/>
              </w:rPr>
              <w:t>Suggested metric</w:t>
            </w:r>
          </w:p>
        </w:tc>
      </w:tr>
      <w:tr>
        <w:tc>
          <w:tcPr>
            <w:tcW w:type="dxa" w:w="3240"/>
            <w:vAlign w:val="center"/>
          </w:tcPr>
          <w:p>
            <w:pPr>
              <w:spacing w:after="40"/>
            </w:pPr>
            <w:r/>
            <w:r>
              <w:rPr>
                <w:rFonts w:ascii="Aptos" w:hAnsi="Aptos"/>
                <w:b w:val="0"/>
                <w:sz w:val="17"/>
              </w:rPr>
              <w:t>Improve career clarity</w:t>
            </w:r>
          </w:p>
        </w:tc>
        <w:tc>
          <w:tcPr>
            <w:tcW w:type="dxa" w:w="6408"/>
            <w:vAlign w:val="center"/>
          </w:tcPr>
          <w:p>
            <w:pPr>
              <w:spacing w:after="40"/>
            </w:pPr>
            <w:r/>
            <w:r>
              <w:rPr>
                <w:rFonts w:ascii="Aptos" w:hAnsi="Aptos"/>
                <w:b w:val="0"/>
                <w:sz w:val="17"/>
              </w:rPr>
              <w:t>Student-reported understanding before and after using Mantrix</w:t>
            </w:r>
          </w:p>
        </w:tc>
      </w:tr>
      <w:tr>
        <w:tc>
          <w:tcPr>
            <w:tcW w:type="dxa" w:w="3240"/>
            <w:vAlign w:val="center"/>
            <w:shd w:fill="F1F5F9"/>
          </w:tcPr>
          <w:p>
            <w:pPr>
              <w:spacing w:after="40"/>
            </w:pPr>
            <w:r/>
            <w:r>
              <w:rPr>
                <w:rFonts w:ascii="Aptos" w:hAnsi="Aptos"/>
                <w:b w:val="0"/>
                <w:sz w:val="17"/>
              </w:rPr>
              <w:t>Improve assessment usefulness</w:t>
            </w:r>
          </w:p>
        </w:tc>
        <w:tc>
          <w:tcPr>
            <w:tcW w:type="dxa" w:w="6408"/>
            <w:vAlign w:val="center"/>
            <w:shd w:fill="F1F5F9"/>
          </w:tcPr>
          <w:p>
            <w:pPr>
              <w:spacing w:after="40"/>
            </w:pPr>
            <w:r/>
            <w:r>
              <w:rPr>
                <w:rFonts w:ascii="Aptos" w:hAnsi="Aptos"/>
                <w:b w:val="0"/>
                <w:sz w:val="17"/>
              </w:rPr>
              <w:t>Completion rate and student feedback</w:t>
            </w:r>
          </w:p>
        </w:tc>
      </w:tr>
      <w:tr>
        <w:tc>
          <w:tcPr>
            <w:tcW w:type="dxa" w:w="3240"/>
            <w:vAlign w:val="center"/>
          </w:tcPr>
          <w:p>
            <w:pPr>
              <w:spacing w:after="40"/>
            </w:pPr>
            <w:r/>
            <w:r>
              <w:rPr>
                <w:rFonts w:ascii="Aptos" w:hAnsi="Aptos"/>
                <w:b w:val="0"/>
                <w:sz w:val="17"/>
              </w:rPr>
              <w:t>Make recommendations relevant</w:t>
            </w:r>
          </w:p>
        </w:tc>
        <w:tc>
          <w:tcPr>
            <w:tcW w:type="dxa" w:w="6408"/>
            <w:vAlign w:val="center"/>
          </w:tcPr>
          <w:p>
            <w:pPr>
              <w:spacing w:after="40"/>
            </w:pPr>
            <w:r/>
            <w:r>
              <w:rPr>
                <w:rFonts w:ascii="Aptos" w:hAnsi="Aptos"/>
                <w:b w:val="0"/>
                <w:sz w:val="17"/>
              </w:rPr>
              <w:t>Share of recommendations students rate as relevant</w:t>
            </w:r>
          </w:p>
        </w:tc>
      </w:tr>
      <w:tr>
        <w:tc>
          <w:tcPr>
            <w:tcW w:type="dxa" w:w="3240"/>
            <w:vAlign w:val="center"/>
            <w:shd w:fill="F1F5F9"/>
          </w:tcPr>
          <w:p>
            <w:pPr>
              <w:spacing w:after="40"/>
            </w:pPr>
            <w:r/>
            <w:r>
              <w:rPr>
                <w:rFonts w:ascii="Aptos" w:hAnsi="Aptos"/>
                <w:b w:val="0"/>
                <w:sz w:val="17"/>
              </w:rPr>
              <w:t>Improve college discovery</w:t>
            </w:r>
          </w:p>
        </w:tc>
        <w:tc>
          <w:tcPr>
            <w:tcW w:type="dxa" w:w="6408"/>
            <w:vAlign w:val="center"/>
            <w:shd w:fill="F1F5F9"/>
          </w:tcPr>
          <w:p>
            <w:pPr>
              <w:spacing w:after="40"/>
            </w:pPr>
            <w:r/>
            <w:r>
              <w:rPr>
                <w:rFonts w:ascii="Aptos" w:hAnsi="Aptos"/>
                <w:b w:val="0"/>
                <w:sz w:val="17"/>
              </w:rPr>
              <w:t>Students exploring suitable colleges and courses</w:t>
            </w:r>
          </w:p>
        </w:tc>
      </w:tr>
      <w:tr>
        <w:tc>
          <w:tcPr>
            <w:tcW w:type="dxa" w:w="3240"/>
            <w:vAlign w:val="center"/>
          </w:tcPr>
          <w:p>
            <w:pPr>
              <w:spacing w:after="40"/>
            </w:pPr>
            <w:r/>
            <w:r>
              <w:rPr>
                <w:rFonts w:ascii="Aptos" w:hAnsi="Aptos"/>
                <w:b w:val="0"/>
                <w:sz w:val="17"/>
              </w:rPr>
              <w:t>Reduce application friction</w:t>
            </w:r>
          </w:p>
        </w:tc>
        <w:tc>
          <w:tcPr>
            <w:tcW w:type="dxa" w:w="6408"/>
            <w:vAlign w:val="center"/>
          </w:tcPr>
          <w:p>
            <w:pPr>
              <w:spacing w:after="40"/>
            </w:pPr>
            <w:r/>
            <w:r>
              <w:rPr>
                <w:rFonts w:ascii="Aptos" w:hAnsi="Aptos"/>
                <w:b w:val="0"/>
                <w:sz w:val="17"/>
              </w:rPr>
              <w:t>Application completion and abandonment rates</w:t>
            </w:r>
          </w:p>
        </w:tc>
      </w:tr>
      <w:tr>
        <w:tc>
          <w:tcPr>
            <w:tcW w:type="dxa" w:w="3240"/>
            <w:vAlign w:val="center"/>
            <w:shd w:fill="F1F5F9"/>
          </w:tcPr>
          <w:p>
            <w:pPr>
              <w:spacing w:after="40"/>
            </w:pPr>
            <w:r/>
            <w:r>
              <w:rPr>
                <w:rFonts w:ascii="Aptos" w:hAnsi="Aptos"/>
                <w:b w:val="0"/>
                <w:sz w:val="17"/>
              </w:rPr>
              <w:t>Improve financial-assistance awareness</w:t>
            </w:r>
          </w:p>
        </w:tc>
        <w:tc>
          <w:tcPr>
            <w:tcW w:type="dxa" w:w="6408"/>
            <w:vAlign w:val="center"/>
            <w:shd w:fill="F1F5F9"/>
          </w:tcPr>
          <w:p>
            <w:pPr>
              <w:spacing w:after="40"/>
            </w:pPr>
            <w:r/>
            <w:r>
              <w:rPr>
                <w:rFonts w:ascii="Aptos" w:hAnsi="Aptos"/>
                <w:b w:val="0"/>
                <w:sz w:val="17"/>
              </w:rPr>
              <w:t>Relevant schemes discovered and applications initiated</w:t>
            </w:r>
          </w:p>
        </w:tc>
      </w:tr>
      <w:tr>
        <w:tc>
          <w:tcPr>
            <w:tcW w:type="dxa" w:w="3240"/>
            <w:vAlign w:val="center"/>
          </w:tcPr>
          <w:p>
            <w:pPr>
              <w:spacing w:after="40"/>
            </w:pPr>
            <w:r/>
            <w:r>
              <w:rPr>
                <w:rFonts w:ascii="Aptos" w:hAnsi="Aptos"/>
                <w:b w:val="0"/>
                <w:sz w:val="17"/>
              </w:rPr>
              <w:t>Support low-connectivity users</w:t>
            </w:r>
          </w:p>
        </w:tc>
        <w:tc>
          <w:tcPr>
            <w:tcW w:type="dxa" w:w="6408"/>
            <w:vAlign w:val="center"/>
          </w:tcPr>
          <w:p>
            <w:pPr>
              <w:spacing w:after="40"/>
            </w:pPr>
            <w:r/>
            <w:r>
              <w:rPr>
                <w:rFonts w:ascii="Aptos" w:hAnsi="Aptos"/>
                <w:b w:val="0"/>
                <w:sz w:val="17"/>
              </w:rPr>
              <w:t>Successful offline assessment and data retrieval rates</w:t>
            </w:r>
          </w:p>
        </w:tc>
      </w:tr>
      <w:tr>
        <w:tc>
          <w:tcPr>
            <w:tcW w:type="dxa" w:w="3240"/>
            <w:vAlign w:val="center"/>
            <w:shd w:fill="F1F5F9"/>
          </w:tcPr>
          <w:p>
            <w:pPr>
              <w:spacing w:after="40"/>
            </w:pPr>
            <w:r/>
            <w:r>
              <w:rPr>
                <w:rFonts w:ascii="Aptos" w:hAnsi="Aptos"/>
                <w:b w:val="0"/>
                <w:sz w:val="17"/>
              </w:rPr>
              <w:t>Make synchronization reliable</w:t>
            </w:r>
          </w:p>
        </w:tc>
        <w:tc>
          <w:tcPr>
            <w:tcW w:type="dxa" w:w="6408"/>
            <w:vAlign w:val="center"/>
            <w:shd w:fill="F1F5F9"/>
          </w:tcPr>
          <w:p>
            <w:pPr>
              <w:spacing w:after="40"/>
            </w:pPr>
            <w:r/>
            <w:r>
              <w:rPr>
                <w:rFonts w:ascii="Aptos" w:hAnsi="Aptos"/>
                <w:b w:val="0"/>
                <w:sz w:val="17"/>
              </w:rPr>
              <w:t>Sync success, duplicate operations, and unresolved conflicts</w:t>
            </w:r>
          </w:p>
        </w:tc>
      </w:tr>
      <w:tr>
        <w:tc>
          <w:tcPr>
            <w:tcW w:type="dxa" w:w="3240"/>
            <w:vAlign w:val="center"/>
          </w:tcPr>
          <w:p>
            <w:pPr>
              <w:spacing w:after="40"/>
            </w:pPr>
            <w:r/>
            <w:r>
              <w:rPr>
                <w:rFonts w:ascii="Aptos" w:hAnsi="Aptos"/>
                <w:b w:val="0"/>
                <w:sz w:val="17"/>
              </w:rPr>
              <w:t>Improve institutional workflows</w:t>
            </w:r>
          </w:p>
        </w:tc>
        <w:tc>
          <w:tcPr>
            <w:tcW w:type="dxa" w:w="6408"/>
            <w:vAlign w:val="center"/>
          </w:tcPr>
          <w:p>
            <w:pPr>
              <w:spacing w:after="40"/>
            </w:pPr>
            <w:r/>
            <w:r>
              <w:rPr>
                <w:rFonts w:ascii="Aptos" w:hAnsi="Aptos"/>
                <w:b w:val="0"/>
                <w:sz w:val="17"/>
              </w:rPr>
              <w:t>Application processing time and status-update accuracy</w:t>
            </w:r>
          </w:p>
        </w:tc>
      </w:tr>
      <w:tr>
        <w:tc>
          <w:tcPr>
            <w:tcW w:type="dxa" w:w="3240"/>
            <w:vAlign w:val="center"/>
            <w:shd w:fill="F1F5F9"/>
          </w:tcPr>
          <w:p>
            <w:pPr>
              <w:spacing w:after="40"/>
            </w:pPr>
            <w:r/>
            <w:r>
              <w:rPr>
                <w:rFonts w:ascii="Aptos" w:hAnsi="Aptos"/>
                <w:b w:val="0"/>
                <w:sz w:val="17"/>
              </w:rPr>
              <w:t>Evaluate educational impact</w:t>
            </w:r>
          </w:p>
        </w:tc>
        <w:tc>
          <w:tcPr>
            <w:tcW w:type="dxa" w:w="6408"/>
            <w:vAlign w:val="center"/>
            <w:shd w:fill="F1F5F9"/>
          </w:tcPr>
          <w:p>
            <w:pPr>
              <w:spacing w:after="40"/>
            </w:pPr>
            <w:r/>
            <w:r>
              <w:rPr>
                <w:rFonts w:ascii="Aptos" w:hAnsi="Aptos"/>
                <w:b w:val="0"/>
                <w:sz w:val="17"/>
              </w:rPr>
              <w:t>Subsequent applications, admissions, and enrolment outcomes where measurable</w:t>
            </w:r>
          </w:p>
        </w:tc>
      </w:tr>
    </w:tbl>
    <w:p/>
    <w:p>
      <w:r>
        <w:t>Do not claim improved enrolment or reduced dropouts until pilot or follow-up data supports those outcomes. A pilot can begin with a defined group of students and a small number of participating government colleges. Collect feedback, measure recommendation usefulness, and identify where the platform improves decision-making.</w:t>
      </w:r>
    </w:p>
    <w:p>
      <w:pPr>
        <w:pStyle w:val="Heading1"/>
        <w:keepNext/>
      </w:pPr>
      <w:r>
        <w:t>12. Vision, Mission, and Positioning</w:t>
      </w:r>
    </w:p>
    <w:p>
      <w:pPr>
        <w:pStyle w:val="Heading2"/>
        <w:keepNext/>
      </w:pPr>
      <w:r>
        <w:t>Vision</w:t>
      </w:r>
    </w:p>
    <w:p>
      <w:r>
        <w:t>To make informed educational and career guidance accessible to every student, regardless of location, background, or internet connectivity.</w:t>
      </w:r>
    </w:p>
    <w:p>
      <w:pPr>
        <w:pStyle w:val="Heading2"/>
        <w:keepNext/>
      </w:pPr>
      <w:r>
        <w:t>Mission</w:t>
      </w:r>
    </w:p>
    <w:p>
      <w:r>
        <w:t>To connect personalized AI-powered guidance with verified educational opportunities, practical learning pathways, financial assistance, and institutional support.</w:t>
      </w:r>
    </w:p>
    <w:p>
      <w:pPr>
        <w:pStyle w:val="Heading2"/>
        <w:keepNext/>
      </w:pPr>
      <w:r>
        <w:t>Positioning statement</w:t>
      </w:r>
    </w:p>
    <w:p>
      <w:r>
        <w:t>Mantrix is an AI-powered education and career guidance platform that helps students understand their interests, explore suitable pathways, discover colleges and financial-assistance opportunities, and take practical steps toward their future through one connected, offline-first experience.</w:t>
      </w:r>
    </w:p>
    <w:p>
      <w:pPr>
        <w:pStyle w:val="Heading2"/>
        <w:keepNext/>
      </w:pPr>
      <w:r>
        <w:t>Tagline</w:t>
      </w:r>
    </w:p>
    <w:p>
      <w:pPr>
        <w:jc w:val="center"/>
      </w:pPr>
      <w:r>
        <w:rPr>
          <w:b/>
          <w:color w:val="0F766E"/>
          <w:sz w:val="32"/>
        </w:rPr>
        <w:t>Mantrix — Discover Your Path. Plan Your Future.</w:t>
      </w:r>
    </w:p>
    <w:p>
      <w:pPr>
        <w:pStyle w:val="Heading1"/>
        <w:keepNext/>
      </w:pPr>
      <w:r>
        <w:t>13. Presentation-Ready Pitch</w:t>
      </w:r>
    </w:p>
    <w:p>
      <w:r>
        <w:t>Many students finish Class 10 or Class 12 without knowing which course to choose, which career to pursue, or which colleges and scholarships are available to them. The information they need is scattered across different platforms, and students in low-connectivity areas often have even fewer opportunities to access reliable guidance.</w:t>
      </w:r>
    </w:p>
    <w:p>
      <w:r>
        <w:t>Mantrix aims to solve this problem by bringing personalized career guidance, course discovery, government college information, learning resources, admissions, and financial-assistance opportunities into one platform.</w:t>
      </w:r>
    </w:p>
    <w:p>
      <w:r>
        <w:t>Using Google Gemini, Mantrix can explain structured assessment results and generate personalized education and career roadmaps. Firebase provides authentication, data storage, and backend workflows, while the React Native mobile application is designed to keep essential guidance available offline. A Next.js website will support students and institutional users.</w:t>
      </w:r>
    </w:p>
    <w:p>
      <w:r>
        <w:t>Unlike a standalone chatbot or college directory, Mantrix connects guidance to practical next steps. Students can explore career pathways, compare courses, discover relevant colleges, prepare applications, and track supported workflows in one connected experience.</w:t>
      </w:r>
    </w:p>
    <w:p>
      <w:r>
        <w:t>Our goal is to make educational opportunities easier to discover and informed decisions easier to make, particularly for students who lack access to consistent career counselling.</w:t>
      </w:r>
    </w:p>
    <w:p>
      <w:pPr>
        <w:jc w:val="center"/>
      </w:pPr>
      <w:r>
        <w:rPr>
          <w:b/>
          <w:color w:val="164E63"/>
          <w:sz w:val="26"/>
        </w:rPr>
        <w:t>MANTRIX — DISCOVER YOUR PATH. PLAN YOUR FUTURE.</w:t>
      </w:r>
    </w:p>
    <w:p>
      <w:pPr>
        <w:pStyle w:val="Heading1"/>
        <w:keepNext/>
      </w:pPr>
      <w:r>
        <w:t>Conclusion</w:t>
      </w:r>
    </w:p>
    <w:p>
      <w:r>
        <w:t>Mantrix addresses a clear problem: students need more than information; they need help turning information into decisions and action. Its strongest proposition is the combination of structured assessment, Gemini-generated explanations, verified college and course discovery, offline-first mobile access, and connected education workflows.</w:t>
      </w:r>
    </w:p>
    <w:p>
      <w:r>
        <w:t>The immediate focus should be to demonstrate that these components work together. Build the assessment-to-roadmap-to-college-discovery journey first, validate its recommendations, and then expand into admissions, scholarships, mentoring, and additional modules. This will establish a credible product with a clear Google AI contribution rather than a collection of disconnected features.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Mantrix — Discover Your Path. Plan Your Future.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MANTRIX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E6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E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