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66E07" w14:textId="77777777" w:rsidR="00DE5349" w:rsidRPr="00DE5349" w:rsidRDefault="00DE5349" w:rsidP="00DE5349">
      <w:pPr>
        <w:rPr>
          <w:b/>
          <w:bCs/>
        </w:rPr>
      </w:pPr>
      <w:r w:rsidRPr="00DE5349">
        <w:rPr>
          <w:b/>
          <w:bCs/>
        </w:rPr>
        <w:t>1. Structure Alignment</w:t>
      </w:r>
    </w:p>
    <w:p w14:paraId="2027C47B" w14:textId="77777777" w:rsidR="00DE5349" w:rsidRPr="00DE5349" w:rsidRDefault="00DE5349" w:rsidP="00DE5349">
      <w:pPr>
        <w:numPr>
          <w:ilvl w:val="0"/>
          <w:numId w:val="1"/>
        </w:numPr>
      </w:pPr>
      <w:r w:rsidRPr="00DE5349">
        <w:rPr>
          <w:b/>
          <w:bCs/>
        </w:rPr>
        <w:t>Global RMSD</w:t>
      </w:r>
      <w:r w:rsidRPr="00DE5349">
        <w:t xml:space="preserve"> after aligning full </w:t>
      </w:r>
      <w:r w:rsidRPr="00DE5349">
        <w:rPr>
          <w:b/>
          <w:bCs/>
        </w:rPr>
        <w:t>TNNT3_wild vs. TNNT3_full</w:t>
      </w:r>
      <w:r w:rsidRPr="00DE5349">
        <w:t>:</w:t>
      </w:r>
      <w:r w:rsidRPr="00DE5349">
        <w:br/>
      </w:r>
      <w:r w:rsidRPr="00DE5349">
        <w:rPr>
          <w:rFonts w:ascii="Segoe UI Symbol" w:hAnsi="Segoe UI Symbol" w:cs="Segoe UI Symbol"/>
        </w:rPr>
        <w:t>➤</w:t>
      </w:r>
      <w:r w:rsidRPr="00DE5349">
        <w:t xml:space="preserve"> RMSD = </w:t>
      </w:r>
      <w:r w:rsidRPr="00DE5349">
        <w:rPr>
          <w:b/>
          <w:bCs/>
        </w:rPr>
        <w:t>0.005 Å</w:t>
      </w:r>
      <w:r w:rsidRPr="00DE5349">
        <w:t xml:space="preserve"> over </w:t>
      </w:r>
      <w:r w:rsidRPr="00DE5349">
        <w:rPr>
          <w:b/>
          <w:bCs/>
        </w:rPr>
        <w:t>1,359 atoms</w:t>
      </w:r>
      <w:r w:rsidRPr="00DE5349">
        <w:br/>
        <w:t>→ Indicates the overall troponin T fold is preserved.</w:t>
      </w:r>
    </w:p>
    <w:p w14:paraId="30A97688" w14:textId="77777777" w:rsidR="00DE5349" w:rsidRPr="00DE5349" w:rsidRDefault="00DE5349" w:rsidP="00DE5349">
      <w:pPr>
        <w:numPr>
          <w:ilvl w:val="0"/>
          <w:numId w:val="1"/>
        </w:numPr>
      </w:pPr>
      <w:r w:rsidRPr="00DE5349">
        <w:rPr>
          <w:b/>
          <w:bCs/>
        </w:rPr>
        <w:t>Local RMSD</w:t>
      </w:r>
      <w:r w:rsidRPr="00DE5349">
        <w:t xml:space="preserve"> for each mutation region (±5 residues):</w:t>
      </w:r>
    </w:p>
    <w:p w14:paraId="70350832" w14:textId="77777777" w:rsidR="00DE5349" w:rsidRPr="00DE5349" w:rsidRDefault="00DE5349" w:rsidP="00DE5349">
      <w:pPr>
        <w:numPr>
          <w:ilvl w:val="1"/>
          <w:numId w:val="1"/>
        </w:numPr>
      </w:pPr>
      <w:r w:rsidRPr="00DE5349">
        <w:rPr>
          <w:b/>
          <w:bCs/>
        </w:rPr>
        <w:t>Residue 21 (16–26):</w:t>
      </w:r>
      <w:r w:rsidRPr="00DE5349">
        <w:br/>
      </w:r>
      <w:r w:rsidRPr="00DE5349">
        <w:rPr>
          <w:rFonts w:ascii="Segoe UI Symbol" w:hAnsi="Segoe UI Symbol" w:cs="Segoe UI Symbol"/>
        </w:rPr>
        <w:t>➤</w:t>
      </w:r>
      <w:r w:rsidRPr="00DE5349">
        <w:t xml:space="preserve"> RMSD = </w:t>
      </w:r>
      <w:r w:rsidRPr="00DE5349">
        <w:rPr>
          <w:b/>
          <w:bCs/>
        </w:rPr>
        <w:t>0.005 Å</w:t>
      </w:r>
      <w:r w:rsidRPr="00DE5349">
        <w:t xml:space="preserve"> over </w:t>
      </w:r>
      <w:r w:rsidRPr="00DE5349">
        <w:rPr>
          <w:b/>
          <w:bCs/>
        </w:rPr>
        <w:t>62 atoms</w:t>
      </w:r>
    </w:p>
    <w:p w14:paraId="3D8864FB" w14:textId="77777777" w:rsidR="00DE5349" w:rsidRPr="00DE5349" w:rsidRDefault="00DE5349" w:rsidP="00DE5349">
      <w:pPr>
        <w:numPr>
          <w:ilvl w:val="1"/>
          <w:numId w:val="1"/>
        </w:numPr>
      </w:pPr>
      <w:r w:rsidRPr="00DE5349">
        <w:rPr>
          <w:b/>
          <w:bCs/>
        </w:rPr>
        <w:t>Residue 145 (140–150):</w:t>
      </w:r>
      <w:r w:rsidRPr="00DE5349">
        <w:br/>
      </w:r>
      <w:r w:rsidRPr="00DE5349">
        <w:rPr>
          <w:rFonts w:ascii="Segoe UI Symbol" w:hAnsi="Segoe UI Symbol" w:cs="Segoe UI Symbol"/>
        </w:rPr>
        <w:t>➤</w:t>
      </w:r>
      <w:r w:rsidRPr="00DE5349">
        <w:t xml:space="preserve"> RMSD = </w:t>
      </w:r>
      <w:r w:rsidRPr="00DE5349">
        <w:rPr>
          <w:b/>
          <w:bCs/>
        </w:rPr>
        <w:t>0.004 Å</w:t>
      </w:r>
      <w:r w:rsidRPr="00DE5349">
        <w:t xml:space="preserve"> over </w:t>
      </w:r>
      <w:r w:rsidRPr="00DE5349">
        <w:rPr>
          <w:b/>
          <w:bCs/>
        </w:rPr>
        <w:t>69 atoms</w:t>
      </w:r>
    </w:p>
    <w:p w14:paraId="3496C854" w14:textId="77777777" w:rsidR="00DE5349" w:rsidRPr="00DE5349" w:rsidRDefault="00DE5349" w:rsidP="00DE5349">
      <w:pPr>
        <w:numPr>
          <w:ilvl w:val="1"/>
          <w:numId w:val="1"/>
        </w:numPr>
      </w:pPr>
      <w:r w:rsidRPr="00DE5349">
        <w:rPr>
          <w:b/>
          <w:bCs/>
        </w:rPr>
        <w:t>Residue 162 (157–167):</w:t>
      </w:r>
      <w:r w:rsidRPr="00DE5349">
        <w:br/>
      </w:r>
      <w:r w:rsidRPr="00DE5349">
        <w:rPr>
          <w:rFonts w:ascii="Segoe UI Symbol" w:hAnsi="Segoe UI Symbol" w:cs="Segoe UI Symbol"/>
        </w:rPr>
        <w:t>➤</w:t>
      </w:r>
      <w:r w:rsidRPr="00DE5349">
        <w:t xml:space="preserve"> RMSD = </w:t>
      </w:r>
      <w:r w:rsidRPr="00DE5349">
        <w:rPr>
          <w:b/>
          <w:bCs/>
        </w:rPr>
        <w:t>0.009 Å</w:t>
      </w:r>
      <w:r w:rsidRPr="00DE5349">
        <w:t xml:space="preserve"> over </w:t>
      </w:r>
      <w:r w:rsidRPr="00DE5349">
        <w:rPr>
          <w:b/>
          <w:bCs/>
        </w:rPr>
        <w:t>55 atoms</w:t>
      </w:r>
    </w:p>
    <w:p w14:paraId="178FFB83" w14:textId="77777777" w:rsidR="00DE5349" w:rsidRPr="00DE5349" w:rsidRDefault="00DE5349" w:rsidP="00DE5349">
      <w:pPr>
        <w:numPr>
          <w:ilvl w:val="1"/>
          <w:numId w:val="1"/>
        </w:numPr>
      </w:pPr>
      <w:r w:rsidRPr="00DE5349">
        <w:rPr>
          <w:b/>
          <w:bCs/>
        </w:rPr>
        <w:t>Residue 170 (165–175):</w:t>
      </w:r>
      <w:r w:rsidRPr="00DE5349">
        <w:br/>
      </w:r>
      <w:r w:rsidRPr="00DE5349">
        <w:rPr>
          <w:rFonts w:ascii="Segoe UI Symbol" w:hAnsi="Segoe UI Symbol" w:cs="Segoe UI Symbol"/>
        </w:rPr>
        <w:t>➤</w:t>
      </w:r>
      <w:r w:rsidRPr="00DE5349">
        <w:t xml:space="preserve"> RMSD = </w:t>
      </w:r>
      <w:r w:rsidRPr="00DE5349">
        <w:rPr>
          <w:b/>
          <w:bCs/>
        </w:rPr>
        <w:t>0.006 Å</w:t>
      </w:r>
      <w:r w:rsidRPr="00DE5349">
        <w:t xml:space="preserve"> over </w:t>
      </w:r>
      <w:r w:rsidRPr="00DE5349">
        <w:rPr>
          <w:b/>
          <w:bCs/>
        </w:rPr>
        <w:t>68 atoms</w:t>
      </w:r>
    </w:p>
    <w:p w14:paraId="09B07E86" w14:textId="77777777" w:rsidR="00DE5349" w:rsidRPr="00DE5349" w:rsidRDefault="00DE5349" w:rsidP="00DE5349">
      <w:pPr>
        <w:numPr>
          <w:ilvl w:val="1"/>
          <w:numId w:val="1"/>
        </w:numPr>
      </w:pPr>
      <w:r w:rsidRPr="00DE5349">
        <w:rPr>
          <w:b/>
          <w:bCs/>
        </w:rPr>
        <w:t>Residue 183 (178–188):</w:t>
      </w:r>
      <w:r w:rsidRPr="00DE5349">
        <w:br/>
      </w:r>
      <w:r w:rsidRPr="00DE5349">
        <w:rPr>
          <w:rFonts w:ascii="Segoe UI Symbol" w:hAnsi="Segoe UI Symbol" w:cs="Segoe UI Symbol"/>
        </w:rPr>
        <w:t>➤</w:t>
      </w:r>
      <w:r w:rsidRPr="00DE5349">
        <w:t xml:space="preserve"> RMSD = </w:t>
      </w:r>
      <w:r w:rsidRPr="00DE5349">
        <w:rPr>
          <w:b/>
          <w:bCs/>
        </w:rPr>
        <w:t>0.010 Å</w:t>
      </w:r>
      <w:r w:rsidRPr="00DE5349">
        <w:t xml:space="preserve"> over </w:t>
      </w:r>
      <w:r w:rsidRPr="00DE5349">
        <w:rPr>
          <w:b/>
          <w:bCs/>
        </w:rPr>
        <w:t>70 atoms</w:t>
      </w:r>
    </w:p>
    <w:p w14:paraId="52F29B6B" w14:textId="77777777" w:rsidR="00DE5349" w:rsidRPr="00DE5349" w:rsidRDefault="00DE5349" w:rsidP="00DE5349">
      <w:pPr>
        <w:numPr>
          <w:ilvl w:val="1"/>
          <w:numId w:val="1"/>
        </w:numPr>
      </w:pPr>
      <w:r w:rsidRPr="00DE5349">
        <w:rPr>
          <w:b/>
          <w:bCs/>
        </w:rPr>
        <w:t>Residue 192 (187–197):</w:t>
      </w:r>
      <w:r w:rsidRPr="00DE5349">
        <w:br/>
      </w:r>
      <w:r w:rsidRPr="00DE5349">
        <w:rPr>
          <w:rFonts w:ascii="Segoe UI Symbol" w:hAnsi="Segoe UI Symbol" w:cs="Segoe UI Symbol"/>
        </w:rPr>
        <w:t>➤</w:t>
      </w:r>
      <w:r w:rsidRPr="00DE5349">
        <w:t xml:space="preserve"> RMSD = </w:t>
      </w:r>
      <w:r w:rsidRPr="00DE5349">
        <w:rPr>
          <w:b/>
          <w:bCs/>
        </w:rPr>
        <w:t>0.026 Å</w:t>
      </w:r>
      <w:r w:rsidRPr="00DE5349">
        <w:t xml:space="preserve"> over </w:t>
      </w:r>
      <w:r w:rsidRPr="00DE5349">
        <w:rPr>
          <w:b/>
          <w:bCs/>
        </w:rPr>
        <w:t>65 atoms</w:t>
      </w:r>
    </w:p>
    <w:p w14:paraId="40412F50" w14:textId="77777777" w:rsidR="00DE5349" w:rsidRPr="00DE5349" w:rsidRDefault="00DE5349" w:rsidP="00DE5349">
      <w:pPr>
        <w:numPr>
          <w:ilvl w:val="1"/>
          <w:numId w:val="1"/>
        </w:numPr>
      </w:pPr>
      <w:r w:rsidRPr="00DE5349">
        <w:rPr>
          <w:b/>
          <w:bCs/>
        </w:rPr>
        <w:t>Residue 199 (194–204):</w:t>
      </w:r>
      <w:r w:rsidRPr="00DE5349">
        <w:br/>
      </w:r>
      <w:r w:rsidRPr="00DE5349">
        <w:rPr>
          <w:rFonts w:ascii="Segoe UI Symbol" w:hAnsi="Segoe UI Symbol" w:cs="Segoe UI Symbol"/>
        </w:rPr>
        <w:t>➤</w:t>
      </w:r>
      <w:r w:rsidRPr="00DE5349">
        <w:t xml:space="preserve"> RMSD = </w:t>
      </w:r>
      <w:r w:rsidRPr="00DE5349">
        <w:rPr>
          <w:b/>
          <w:bCs/>
        </w:rPr>
        <w:t>0.025 Å</w:t>
      </w:r>
      <w:r w:rsidRPr="00DE5349">
        <w:t xml:space="preserve"> over </w:t>
      </w:r>
      <w:r w:rsidRPr="00DE5349">
        <w:rPr>
          <w:b/>
          <w:bCs/>
        </w:rPr>
        <w:t>50 atoms</w:t>
      </w:r>
    </w:p>
    <w:p w14:paraId="1FC0E8EE" w14:textId="77777777" w:rsidR="00DE5349" w:rsidRPr="00DE5349" w:rsidRDefault="00DE5349" w:rsidP="00DE5349">
      <w:pPr>
        <w:numPr>
          <w:ilvl w:val="1"/>
          <w:numId w:val="1"/>
        </w:numPr>
      </w:pPr>
      <w:r w:rsidRPr="00DE5349">
        <w:rPr>
          <w:b/>
          <w:bCs/>
        </w:rPr>
        <w:t>Residue 203 (198–208):</w:t>
      </w:r>
      <w:r w:rsidRPr="00DE5349">
        <w:br/>
      </w:r>
      <w:r w:rsidRPr="00DE5349">
        <w:rPr>
          <w:rFonts w:ascii="Segoe UI Symbol" w:hAnsi="Segoe UI Symbol" w:cs="Segoe UI Symbol"/>
        </w:rPr>
        <w:t>➤</w:t>
      </w:r>
      <w:r w:rsidRPr="00DE5349">
        <w:t xml:space="preserve"> RMSD = </w:t>
      </w:r>
      <w:r w:rsidRPr="00DE5349">
        <w:rPr>
          <w:b/>
          <w:bCs/>
        </w:rPr>
        <w:t>0.006 Å</w:t>
      </w:r>
      <w:r w:rsidRPr="00DE5349">
        <w:t xml:space="preserve"> over </w:t>
      </w:r>
      <w:r w:rsidRPr="00DE5349">
        <w:rPr>
          <w:b/>
          <w:bCs/>
        </w:rPr>
        <w:t>58 atoms</w:t>
      </w:r>
    </w:p>
    <w:p w14:paraId="46B4B645" w14:textId="77777777" w:rsidR="00DE5349" w:rsidRPr="00DE5349" w:rsidRDefault="00DE5349" w:rsidP="00DE5349">
      <w:r w:rsidRPr="00DE5349">
        <w:rPr>
          <w:i/>
          <w:iCs/>
        </w:rPr>
        <w:t>All local deviations are small, indicating minimal backbone rearrangements at each site.</w:t>
      </w:r>
    </w:p>
    <w:p w14:paraId="1DC15DAB" w14:textId="77777777" w:rsidR="00DE5349" w:rsidRPr="00DE5349" w:rsidRDefault="00DE5349" w:rsidP="00DE5349">
      <w:r w:rsidRPr="00DE5349">
        <w:pict w14:anchorId="7F560834">
          <v:rect id="_x0000_i1061" style="width:0;height:1.5pt" o:hralign="center" o:hrstd="t" o:hr="t" fillcolor="#a0a0a0" stroked="f"/>
        </w:pict>
      </w:r>
    </w:p>
    <w:p w14:paraId="1E33327A" w14:textId="77777777" w:rsidR="00DE5349" w:rsidRPr="00DE5349" w:rsidRDefault="00DE5349" w:rsidP="00DE5349">
      <w:pPr>
        <w:rPr>
          <w:b/>
          <w:bCs/>
        </w:rPr>
      </w:pPr>
      <w:r w:rsidRPr="00DE5349">
        <w:rPr>
          <w:b/>
          <w:bCs/>
        </w:rPr>
        <w:t>2. Mutation Site Visualization</w:t>
      </w:r>
    </w:p>
    <w:p w14:paraId="2D24457E" w14:textId="77777777" w:rsidR="00DE5349" w:rsidRPr="00DE5349" w:rsidRDefault="00DE5349" w:rsidP="00DE5349">
      <w:r w:rsidRPr="00DE5349">
        <w:t xml:space="preserve">Each site was </w:t>
      </w:r>
      <w:proofErr w:type="spellStart"/>
      <w:r w:rsidRPr="00DE5349">
        <w:t>labeled</w:t>
      </w:r>
      <w:proofErr w:type="spellEnd"/>
      <w:r w:rsidRPr="00DE5349">
        <w:t xml:space="preserve"> on the full</w:t>
      </w:r>
      <w:r w:rsidRPr="00DE5349">
        <w:noBreakHyphen/>
        <w:t>length models (cartoon: cyan = WT; magenta = mutant), with sticks at the mutation positions:</w:t>
      </w:r>
    </w:p>
    <w:p w14:paraId="638ABE13" w14:textId="77777777" w:rsidR="00DE5349" w:rsidRPr="00DE5349" w:rsidRDefault="00DE5349" w:rsidP="00DE5349">
      <w:pPr>
        <w:numPr>
          <w:ilvl w:val="0"/>
          <w:numId w:val="2"/>
        </w:numPr>
      </w:pPr>
      <w:r w:rsidRPr="00DE5349">
        <w:t>“WT: &lt;RESN&gt;-X” vs. “Mut: &lt;RESN&gt;-X” for X = 21, 145, 162, 170, 183, 192, 199, 203.</w:t>
      </w:r>
    </w:p>
    <w:p w14:paraId="5CAACDCB" w14:textId="77777777" w:rsidR="00DE5349" w:rsidRPr="00DE5349" w:rsidRDefault="00DE5349" w:rsidP="00DE5349">
      <w:r w:rsidRPr="00DE5349">
        <w:pict w14:anchorId="2285B126">
          <v:rect id="_x0000_i1062" style="width:0;height:1.5pt" o:hralign="center" o:hrstd="t" o:hr="t" fillcolor="#a0a0a0" stroked="f"/>
        </w:pict>
      </w:r>
    </w:p>
    <w:p w14:paraId="1FA5DE5B" w14:textId="77777777" w:rsidR="00DE5349" w:rsidRPr="00DE5349" w:rsidRDefault="00DE5349" w:rsidP="00DE5349">
      <w:pPr>
        <w:rPr>
          <w:b/>
          <w:bCs/>
        </w:rPr>
      </w:pPr>
      <w:r w:rsidRPr="00DE5349">
        <w:rPr>
          <w:b/>
          <w:bCs/>
        </w:rPr>
        <w:t>3. Interaction Changes</w:t>
      </w:r>
    </w:p>
    <w:p w14:paraId="39501B55" w14:textId="77777777" w:rsidR="00DE5349" w:rsidRPr="00DE5349" w:rsidRDefault="00DE5349" w:rsidP="00DE5349">
      <w:r w:rsidRPr="00DE5349">
        <w:rPr>
          <w:b/>
          <w:bCs/>
        </w:rPr>
        <w:t xml:space="preserve">Hydrogen bond/interaction </w:t>
      </w:r>
      <w:proofErr w:type="spellStart"/>
      <w:r w:rsidRPr="00DE5349">
        <w:rPr>
          <w:b/>
          <w:bCs/>
        </w:rPr>
        <w:t>neighborhood</w:t>
      </w:r>
      <w:proofErr w:type="spellEnd"/>
      <w:r w:rsidRPr="00DE5349">
        <w:rPr>
          <w:b/>
          <w:bCs/>
        </w:rPr>
        <w:t xml:space="preserve"> within 5 Å</w:t>
      </w:r>
      <w:r w:rsidRPr="00DE534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
        <w:gridCol w:w="984"/>
        <w:gridCol w:w="1078"/>
      </w:tblGrid>
      <w:tr w:rsidR="00DE5349" w:rsidRPr="00DE5349" w14:paraId="6B165E33" w14:textId="77777777" w:rsidTr="00DE5349">
        <w:trPr>
          <w:tblHeader/>
          <w:tblCellSpacing w:w="15" w:type="dxa"/>
        </w:trPr>
        <w:tc>
          <w:tcPr>
            <w:tcW w:w="0" w:type="auto"/>
            <w:vAlign w:val="center"/>
            <w:hideMark/>
          </w:tcPr>
          <w:p w14:paraId="5135504A" w14:textId="77777777" w:rsidR="00DE5349" w:rsidRPr="00DE5349" w:rsidRDefault="00DE5349" w:rsidP="00DE5349">
            <w:pPr>
              <w:rPr>
                <w:b/>
                <w:bCs/>
              </w:rPr>
            </w:pPr>
            <w:r w:rsidRPr="00DE5349">
              <w:rPr>
                <w:b/>
                <w:bCs/>
              </w:rPr>
              <w:t>Site</w:t>
            </w:r>
          </w:p>
        </w:tc>
        <w:tc>
          <w:tcPr>
            <w:tcW w:w="0" w:type="auto"/>
            <w:vAlign w:val="center"/>
            <w:hideMark/>
          </w:tcPr>
          <w:p w14:paraId="0555FA82" w14:textId="77777777" w:rsidR="00DE5349" w:rsidRPr="00DE5349" w:rsidRDefault="00DE5349" w:rsidP="00DE5349">
            <w:pPr>
              <w:rPr>
                <w:b/>
                <w:bCs/>
              </w:rPr>
            </w:pPr>
            <w:r w:rsidRPr="00DE5349">
              <w:rPr>
                <w:b/>
                <w:bCs/>
              </w:rPr>
              <w:t>WT atoms</w:t>
            </w:r>
          </w:p>
        </w:tc>
        <w:tc>
          <w:tcPr>
            <w:tcW w:w="0" w:type="auto"/>
            <w:vAlign w:val="center"/>
            <w:hideMark/>
          </w:tcPr>
          <w:p w14:paraId="4E77F59D" w14:textId="77777777" w:rsidR="00DE5349" w:rsidRPr="00DE5349" w:rsidRDefault="00DE5349" w:rsidP="00DE5349">
            <w:pPr>
              <w:rPr>
                <w:b/>
                <w:bCs/>
              </w:rPr>
            </w:pPr>
            <w:r w:rsidRPr="00DE5349">
              <w:rPr>
                <w:b/>
                <w:bCs/>
              </w:rPr>
              <w:t>Mut atoms</w:t>
            </w:r>
          </w:p>
        </w:tc>
      </w:tr>
      <w:tr w:rsidR="00DE5349" w:rsidRPr="00DE5349" w14:paraId="64788761" w14:textId="77777777" w:rsidTr="00DE5349">
        <w:trPr>
          <w:tblCellSpacing w:w="15" w:type="dxa"/>
        </w:trPr>
        <w:tc>
          <w:tcPr>
            <w:tcW w:w="0" w:type="auto"/>
            <w:vAlign w:val="center"/>
            <w:hideMark/>
          </w:tcPr>
          <w:p w14:paraId="5428C662" w14:textId="77777777" w:rsidR="00DE5349" w:rsidRPr="00DE5349" w:rsidRDefault="00DE5349" w:rsidP="00DE5349">
            <w:r w:rsidRPr="00DE5349">
              <w:t>21</w:t>
            </w:r>
          </w:p>
        </w:tc>
        <w:tc>
          <w:tcPr>
            <w:tcW w:w="0" w:type="auto"/>
            <w:vAlign w:val="center"/>
            <w:hideMark/>
          </w:tcPr>
          <w:p w14:paraId="3B4F812F" w14:textId="77777777" w:rsidR="00DE5349" w:rsidRPr="00DE5349" w:rsidRDefault="00DE5349" w:rsidP="00DE5349">
            <w:r w:rsidRPr="00DE5349">
              <w:t>39</w:t>
            </w:r>
          </w:p>
        </w:tc>
        <w:tc>
          <w:tcPr>
            <w:tcW w:w="0" w:type="auto"/>
            <w:vAlign w:val="center"/>
            <w:hideMark/>
          </w:tcPr>
          <w:p w14:paraId="741BAAE8" w14:textId="77777777" w:rsidR="00DE5349" w:rsidRPr="00DE5349" w:rsidRDefault="00DE5349" w:rsidP="00DE5349">
            <w:r w:rsidRPr="00DE5349">
              <w:t>34</w:t>
            </w:r>
          </w:p>
        </w:tc>
      </w:tr>
      <w:tr w:rsidR="00DE5349" w:rsidRPr="00DE5349" w14:paraId="2532264E" w14:textId="77777777" w:rsidTr="00DE5349">
        <w:trPr>
          <w:tblCellSpacing w:w="15" w:type="dxa"/>
        </w:trPr>
        <w:tc>
          <w:tcPr>
            <w:tcW w:w="0" w:type="auto"/>
            <w:vAlign w:val="center"/>
            <w:hideMark/>
          </w:tcPr>
          <w:p w14:paraId="7EEE933D" w14:textId="77777777" w:rsidR="00DE5349" w:rsidRPr="00DE5349" w:rsidRDefault="00DE5349" w:rsidP="00DE5349">
            <w:r w:rsidRPr="00DE5349">
              <w:t>145</w:t>
            </w:r>
          </w:p>
        </w:tc>
        <w:tc>
          <w:tcPr>
            <w:tcW w:w="0" w:type="auto"/>
            <w:vAlign w:val="center"/>
            <w:hideMark/>
          </w:tcPr>
          <w:p w14:paraId="219386CB" w14:textId="77777777" w:rsidR="00DE5349" w:rsidRPr="00DE5349" w:rsidRDefault="00DE5349" w:rsidP="00DE5349">
            <w:r w:rsidRPr="00DE5349">
              <w:t>33</w:t>
            </w:r>
          </w:p>
        </w:tc>
        <w:tc>
          <w:tcPr>
            <w:tcW w:w="0" w:type="auto"/>
            <w:vAlign w:val="center"/>
            <w:hideMark/>
          </w:tcPr>
          <w:p w14:paraId="33A6E87F" w14:textId="77777777" w:rsidR="00DE5349" w:rsidRPr="00DE5349" w:rsidRDefault="00DE5349" w:rsidP="00DE5349">
            <w:r w:rsidRPr="00DE5349">
              <w:t>26</w:t>
            </w:r>
          </w:p>
        </w:tc>
      </w:tr>
      <w:tr w:rsidR="00DE5349" w:rsidRPr="00DE5349" w14:paraId="14A2F0B9" w14:textId="77777777" w:rsidTr="00DE5349">
        <w:trPr>
          <w:tblCellSpacing w:w="15" w:type="dxa"/>
        </w:trPr>
        <w:tc>
          <w:tcPr>
            <w:tcW w:w="0" w:type="auto"/>
            <w:vAlign w:val="center"/>
            <w:hideMark/>
          </w:tcPr>
          <w:p w14:paraId="0FF453D5" w14:textId="77777777" w:rsidR="00DE5349" w:rsidRPr="00DE5349" w:rsidRDefault="00DE5349" w:rsidP="00DE5349">
            <w:r w:rsidRPr="00DE5349">
              <w:lastRenderedPageBreak/>
              <w:t>162</w:t>
            </w:r>
          </w:p>
        </w:tc>
        <w:tc>
          <w:tcPr>
            <w:tcW w:w="0" w:type="auto"/>
            <w:vAlign w:val="center"/>
            <w:hideMark/>
          </w:tcPr>
          <w:p w14:paraId="2B40CF86" w14:textId="77777777" w:rsidR="00DE5349" w:rsidRPr="00DE5349" w:rsidRDefault="00DE5349" w:rsidP="00DE5349">
            <w:r w:rsidRPr="00DE5349">
              <w:t>42</w:t>
            </w:r>
          </w:p>
        </w:tc>
        <w:tc>
          <w:tcPr>
            <w:tcW w:w="0" w:type="auto"/>
            <w:vAlign w:val="center"/>
            <w:hideMark/>
          </w:tcPr>
          <w:p w14:paraId="7066038B" w14:textId="77777777" w:rsidR="00DE5349" w:rsidRPr="00DE5349" w:rsidRDefault="00DE5349" w:rsidP="00DE5349">
            <w:r w:rsidRPr="00DE5349">
              <w:t>45</w:t>
            </w:r>
          </w:p>
        </w:tc>
      </w:tr>
      <w:tr w:rsidR="00DE5349" w:rsidRPr="00DE5349" w14:paraId="60BCBEF6" w14:textId="77777777" w:rsidTr="00DE5349">
        <w:trPr>
          <w:tblCellSpacing w:w="15" w:type="dxa"/>
        </w:trPr>
        <w:tc>
          <w:tcPr>
            <w:tcW w:w="0" w:type="auto"/>
            <w:vAlign w:val="center"/>
            <w:hideMark/>
          </w:tcPr>
          <w:p w14:paraId="49F99B2F" w14:textId="77777777" w:rsidR="00DE5349" w:rsidRPr="00DE5349" w:rsidRDefault="00DE5349" w:rsidP="00DE5349">
            <w:r w:rsidRPr="00DE5349">
              <w:t>170</w:t>
            </w:r>
          </w:p>
        </w:tc>
        <w:tc>
          <w:tcPr>
            <w:tcW w:w="0" w:type="auto"/>
            <w:vAlign w:val="center"/>
            <w:hideMark/>
          </w:tcPr>
          <w:p w14:paraId="07C339D6" w14:textId="77777777" w:rsidR="00DE5349" w:rsidRPr="00DE5349" w:rsidRDefault="00DE5349" w:rsidP="00DE5349">
            <w:r w:rsidRPr="00DE5349">
              <w:t>53</w:t>
            </w:r>
          </w:p>
        </w:tc>
        <w:tc>
          <w:tcPr>
            <w:tcW w:w="0" w:type="auto"/>
            <w:vAlign w:val="center"/>
            <w:hideMark/>
          </w:tcPr>
          <w:p w14:paraId="678E7F76" w14:textId="77777777" w:rsidR="00DE5349" w:rsidRPr="00DE5349" w:rsidRDefault="00DE5349" w:rsidP="00DE5349">
            <w:r w:rsidRPr="00DE5349">
              <w:t>51</w:t>
            </w:r>
          </w:p>
        </w:tc>
      </w:tr>
      <w:tr w:rsidR="00DE5349" w:rsidRPr="00DE5349" w14:paraId="740A865F" w14:textId="77777777" w:rsidTr="00DE5349">
        <w:trPr>
          <w:tblCellSpacing w:w="15" w:type="dxa"/>
        </w:trPr>
        <w:tc>
          <w:tcPr>
            <w:tcW w:w="0" w:type="auto"/>
            <w:vAlign w:val="center"/>
            <w:hideMark/>
          </w:tcPr>
          <w:p w14:paraId="43F6CF30" w14:textId="77777777" w:rsidR="00DE5349" w:rsidRPr="00DE5349" w:rsidRDefault="00DE5349" w:rsidP="00DE5349">
            <w:r w:rsidRPr="00DE5349">
              <w:t>183</w:t>
            </w:r>
          </w:p>
        </w:tc>
        <w:tc>
          <w:tcPr>
            <w:tcW w:w="0" w:type="auto"/>
            <w:vAlign w:val="center"/>
            <w:hideMark/>
          </w:tcPr>
          <w:p w14:paraId="6E774CE3" w14:textId="77777777" w:rsidR="00DE5349" w:rsidRPr="00DE5349" w:rsidRDefault="00DE5349" w:rsidP="00DE5349">
            <w:r w:rsidRPr="00DE5349">
              <w:t>42</w:t>
            </w:r>
          </w:p>
        </w:tc>
        <w:tc>
          <w:tcPr>
            <w:tcW w:w="0" w:type="auto"/>
            <w:vAlign w:val="center"/>
            <w:hideMark/>
          </w:tcPr>
          <w:p w14:paraId="71CD823E" w14:textId="77777777" w:rsidR="00DE5349" w:rsidRPr="00DE5349" w:rsidRDefault="00DE5349" w:rsidP="00DE5349">
            <w:r w:rsidRPr="00DE5349">
              <w:t>42</w:t>
            </w:r>
          </w:p>
        </w:tc>
      </w:tr>
      <w:tr w:rsidR="00DE5349" w:rsidRPr="00DE5349" w14:paraId="7FF6BCC2" w14:textId="77777777" w:rsidTr="00DE5349">
        <w:trPr>
          <w:tblCellSpacing w:w="15" w:type="dxa"/>
        </w:trPr>
        <w:tc>
          <w:tcPr>
            <w:tcW w:w="0" w:type="auto"/>
            <w:vAlign w:val="center"/>
            <w:hideMark/>
          </w:tcPr>
          <w:p w14:paraId="52D1E279" w14:textId="77777777" w:rsidR="00DE5349" w:rsidRPr="00DE5349" w:rsidRDefault="00DE5349" w:rsidP="00DE5349">
            <w:r w:rsidRPr="00DE5349">
              <w:t>192</w:t>
            </w:r>
          </w:p>
        </w:tc>
        <w:tc>
          <w:tcPr>
            <w:tcW w:w="0" w:type="auto"/>
            <w:vAlign w:val="center"/>
            <w:hideMark/>
          </w:tcPr>
          <w:p w14:paraId="58EA0E74" w14:textId="77777777" w:rsidR="00DE5349" w:rsidRPr="00DE5349" w:rsidRDefault="00DE5349" w:rsidP="00DE5349">
            <w:r w:rsidRPr="00DE5349">
              <w:t>33</w:t>
            </w:r>
          </w:p>
        </w:tc>
        <w:tc>
          <w:tcPr>
            <w:tcW w:w="0" w:type="auto"/>
            <w:vAlign w:val="center"/>
            <w:hideMark/>
          </w:tcPr>
          <w:p w14:paraId="26395175" w14:textId="77777777" w:rsidR="00DE5349" w:rsidRPr="00DE5349" w:rsidRDefault="00DE5349" w:rsidP="00DE5349">
            <w:r w:rsidRPr="00DE5349">
              <w:t>32</w:t>
            </w:r>
          </w:p>
        </w:tc>
      </w:tr>
      <w:tr w:rsidR="00DE5349" w:rsidRPr="00DE5349" w14:paraId="2DFC2DD0" w14:textId="77777777" w:rsidTr="00DE5349">
        <w:trPr>
          <w:tblCellSpacing w:w="15" w:type="dxa"/>
        </w:trPr>
        <w:tc>
          <w:tcPr>
            <w:tcW w:w="0" w:type="auto"/>
            <w:vAlign w:val="center"/>
            <w:hideMark/>
          </w:tcPr>
          <w:p w14:paraId="37B454B7" w14:textId="77777777" w:rsidR="00DE5349" w:rsidRPr="00DE5349" w:rsidRDefault="00DE5349" w:rsidP="00DE5349">
            <w:r w:rsidRPr="00DE5349">
              <w:t>199</w:t>
            </w:r>
          </w:p>
        </w:tc>
        <w:tc>
          <w:tcPr>
            <w:tcW w:w="0" w:type="auto"/>
            <w:vAlign w:val="center"/>
            <w:hideMark/>
          </w:tcPr>
          <w:p w14:paraId="1C22BC3C" w14:textId="77777777" w:rsidR="00DE5349" w:rsidRPr="00DE5349" w:rsidRDefault="00DE5349" w:rsidP="00DE5349">
            <w:r w:rsidRPr="00DE5349">
              <w:t>21</w:t>
            </w:r>
          </w:p>
        </w:tc>
        <w:tc>
          <w:tcPr>
            <w:tcW w:w="0" w:type="auto"/>
            <w:vAlign w:val="center"/>
            <w:hideMark/>
          </w:tcPr>
          <w:p w14:paraId="7B9C15C5" w14:textId="77777777" w:rsidR="00DE5349" w:rsidRPr="00DE5349" w:rsidRDefault="00DE5349" w:rsidP="00DE5349">
            <w:r w:rsidRPr="00DE5349">
              <w:t>23</w:t>
            </w:r>
          </w:p>
        </w:tc>
      </w:tr>
      <w:tr w:rsidR="00DE5349" w:rsidRPr="00DE5349" w14:paraId="44449D6B" w14:textId="77777777" w:rsidTr="00DE5349">
        <w:trPr>
          <w:tblCellSpacing w:w="15" w:type="dxa"/>
        </w:trPr>
        <w:tc>
          <w:tcPr>
            <w:tcW w:w="0" w:type="auto"/>
            <w:vAlign w:val="center"/>
            <w:hideMark/>
          </w:tcPr>
          <w:p w14:paraId="3E765928" w14:textId="77777777" w:rsidR="00DE5349" w:rsidRPr="00DE5349" w:rsidRDefault="00DE5349" w:rsidP="00DE5349">
            <w:r w:rsidRPr="00DE5349">
              <w:t>203</w:t>
            </w:r>
          </w:p>
        </w:tc>
        <w:tc>
          <w:tcPr>
            <w:tcW w:w="0" w:type="auto"/>
            <w:vAlign w:val="center"/>
            <w:hideMark/>
          </w:tcPr>
          <w:p w14:paraId="5D473024" w14:textId="77777777" w:rsidR="00DE5349" w:rsidRPr="00DE5349" w:rsidRDefault="00DE5349" w:rsidP="00DE5349">
            <w:r w:rsidRPr="00DE5349">
              <w:t>22</w:t>
            </w:r>
          </w:p>
        </w:tc>
        <w:tc>
          <w:tcPr>
            <w:tcW w:w="0" w:type="auto"/>
            <w:vAlign w:val="center"/>
            <w:hideMark/>
          </w:tcPr>
          <w:p w14:paraId="0F0EC267" w14:textId="77777777" w:rsidR="00DE5349" w:rsidRPr="00DE5349" w:rsidRDefault="00DE5349" w:rsidP="00DE5349">
            <w:r w:rsidRPr="00DE5349">
              <w:t>24</w:t>
            </w:r>
          </w:p>
        </w:tc>
      </w:tr>
    </w:tbl>
    <w:p w14:paraId="1757EDF6" w14:textId="77777777" w:rsidR="00DE5349" w:rsidRPr="00DE5349" w:rsidRDefault="00DE5349" w:rsidP="00DE5349">
      <w:pPr>
        <w:numPr>
          <w:ilvl w:val="0"/>
          <w:numId w:val="3"/>
        </w:numPr>
      </w:pPr>
      <w:r w:rsidRPr="00DE5349">
        <w:t xml:space="preserve">WT contacts </w:t>
      </w:r>
      <w:proofErr w:type="spellStart"/>
      <w:r w:rsidRPr="00DE5349">
        <w:t>colored</w:t>
      </w:r>
      <w:proofErr w:type="spellEnd"/>
      <w:r w:rsidRPr="00DE5349">
        <w:t xml:space="preserve"> </w:t>
      </w:r>
      <w:r w:rsidRPr="00DE5349">
        <w:rPr>
          <w:b/>
          <w:bCs/>
        </w:rPr>
        <w:t>yellow</w:t>
      </w:r>
      <w:r w:rsidRPr="00DE5349">
        <w:t xml:space="preserve">; mutant contacts </w:t>
      </w:r>
      <w:r w:rsidRPr="00DE5349">
        <w:rPr>
          <w:b/>
          <w:bCs/>
        </w:rPr>
        <w:t>red</w:t>
      </w:r>
      <w:r w:rsidRPr="00DE5349">
        <w:t>.</w:t>
      </w:r>
    </w:p>
    <w:p w14:paraId="2350B2E9" w14:textId="77777777" w:rsidR="00DE5349" w:rsidRPr="00DE5349" w:rsidRDefault="00DE5349" w:rsidP="00DE5349">
      <w:pPr>
        <w:numPr>
          <w:ilvl w:val="0"/>
          <w:numId w:val="3"/>
        </w:numPr>
      </w:pPr>
      <w:r w:rsidRPr="00DE5349">
        <w:t>Some sites lose contacts (21, 145, 192), some gain (162, 199, 203), and others remain similar (183, 170).</w:t>
      </w:r>
    </w:p>
    <w:p w14:paraId="69EC657D" w14:textId="77777777" w:rsidR="00DE5349" w:rsidRPr="00DE5349" w:rsidRDefault="00DE5349" w:rsidP="00DE5349">
      <w:r w:rsidRPr="00DE5349">
        <w:pict w14:anchorId="7DE9B4D3">
          <v:rect id="_x0000_i1063" style="width:0;height:1.5pt" o:hralign="center" o:hrstd="t" o:hr="t" fillcolor="#a0a0a0" stroked="f"/>
        </w:pict>
      </w:r>
    </w:p>
    <w:p w14:paraId="2CFE6C3D" w14:textId="77777777" w:rsidR="00DE5349" w:rsidRPr="00DE5349" w:rsidRDefault="00DE5349" w:rsidP="00DE5349">
      <w:r w:rsidRPr="00DE5349">
        <w:rPr>
          <w:b/>
          <w:bCs/>
        </w:rPr>
        <w:t>Table 1. Summary of TNNT3 Mutation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1082"/>
        <w:gridCol w:w="1025"/>
        <w:gridCol w:w="2889"/>
        <w:gridCol w:w="1919"/>
        <w:gridCol w:w="1426"/>
      </w:tblGrid>
      <w:tr w:rsidR="00DE5349" w:rsidRPr="00DE5349" w14:paraId="0DD178E0" w14:textId="77777777" w:rsidTr="00DE5349">
        <w:trPr>
          <w:tblHeader/>
          <w:tblCellSpacing w:w="15" w:type="dxa"/>
        </w:trPr>
        <w:tc>
          <w:tcPr>
            <w:tcW w:w="0" w:type="auto"/>
            <w:vAlign w:val="center"/>
            <w:hideMark/>
          </w:tcPr>
          <w:p w14:paraId="378B355B" w14:textId="77777777" w:rsidR="00DE5349" w:rsidRPr="00DE5349" w:rsidRDefault="00DE5349" w:rsidP="00DE5349">
            <w:pPr>
              <w:rPr>
                <w:b/>
                <w:bCs/>
              </w:rPr>
            </w:pPr>
            <w:r w:rsidRPr="00DE5349">
              <w:rPr>
                <w:b/>
                <w:bCs/>
              </w:rPr>
              <w:t>Gene</w:t>
            </w:r>
          </w:p>
        </w:tc>
        <w:tc>
          <w:tcPr>
            <w:tcW w:w="0" w:type="auto"/>
            <w:vAlign w:val="center"/>
            <w:hideMark/>
          </w:tcPr>
          <w:p w14:paraId="728AABB0" w14:textId="77777777" w:rsidR="00DE5349" w:rsidRPr="00DE5349" w:rsidRDefault="00DE5349" w:rsidP="00DE5349">
            <w:pPr>
              <w:rPr>
                <w:b/>
                <w:bCs/>
              </w:rPr>
            </w:pPr>
            <w:r w:rsidRPr="00DE5349">
              <w:rPr>
                <w:b/>
                <w:bCs/>
              </w:rPr>
              <w:t>Mutation</w:t>
            </w:r>
          </w:p>
        </w:tc>
        <w:tc>
          <w:tcPr>
            <w:tcW w:w="0" w:type="auto"/>
            <w:vAlign w:val="center"/>
            <w:hideMark/>
          </w:tcPr>
          <w:p w14:paraId="4CE971A7" w14:textId="77777777" w:rsidR="00DE5349" w:rsidRPr="00DE5349" w:rsidRDefault="00DE5349" w:rsidP="00DE5349">
            <w:pPr>
              <w:rPr>
                <w:b/>
                <w:bCs/>
              </w:rPr>
            </w:pPr>
            <w:r w:rsidRPr="00DE5349">
              <w:rPr>
                <w:b/>
                <w:bCs/>
              </w:rPr>
              <w:t>Region</w:t>
            </w:r>
          </w:p>
        </w:tc>
        <w:tc>
          <w:tcPr>
            <w:tcW w:w="0" w:type="auto"/>
            <w:vAlign w:val="center"/>
            <w:hideMark/>
          </w:tcPr>
          <w:p w14:paraId="32B9F11B" w14:textId="77777777" w:rsidR="00DE5349" w:rsidRPr="00DE5349" w:rsidRDefault="00DE5349" w:rsidP="00DE5349">
            <w:pPr>
              <w:rPr>
                <w:b/>
                <w:bCs/>
              </w:rPr>
            </w:pPr>
            <w:r w:rsidRPr="00DE5349">
              <w:rPr>
                <w:b/>
                <w:bCs/>
              </w:rPr>
              <w:t>Structural Change</w:t>
            </w:r>
          </w:p>
        </w:tc>
        <w:tc>
          <w:tcPr>
            <w:tcW w:w="0" w:type="auto"/>
            <w:vAlign w:val="center"/>
            <w:hideMark/>
          </w:tcPr>
          <w:p w14:paraId="22635FB1" w14:textId="77777777" w:rsidR="00DE5349" w:rsidRPr="00DE5349" w:rsidRDefault="00DE5349" w:rsidP="00DE5349">
            <w:pPr>
              <w:rPr>
                <w:b/>
                <w:bCs/>
              </w:rPr>
            </w:pPr>
            <w:r w:rsidRPr="00DE5349">
              <w:rPr>
                <w:b/>
                <w:bCs/>
              </w:rPr>
              <w:t>Clinical Correlate</w:t>
            </w:r>
          </w:p>
        </w:tc>
        <w:tc>
          <w:tcPr>
            <w:tcW w:w="0" w:type="auto"/>
            <w:vAlign w:val="center"/>
            <w:hideMark/>
          </w:tcPr>
          <w:p w14:paraId="595ADCB2" w14:textId="77777777" w:rsidR="00DE5349" w:rsidRPr="00DE5349" w:rsidRDefault="00DE5349" w:rsidP="00DE5349">
            <w:pPr>
              <w:rPr>
                <w:b/>
                <w:bCs/>
              </w:rPr>
            </w:pPr>
            <w:r w:rsidRPr="00DE5349">
              <w:rPr>
                <w:b/>
                <w:bCs/>
              </w:rPr>
              <w:t>Reference</w:t>
            </w:r>
          </w:p>
        </w:tc>
      </w:tr>
      <w:tr w:rsidR="00DE5349" w:rsidRPr="00DE5349" w14:paraId="7428CB73" w14:textId="77777777" w:rsidTr="00DE5349">
        <w:trPr>
          <w:tblCellSpacing w:w="15" w:type="dxa"/>
        </w:trPr>
        <w:tc>
          <w:tcPr>
            <w:tcW w:w="0" w:type="auto"/>
            <w:vAlign w:val="center"/>
            <w:hideMark/>
          </w:tcPr>
          <w:p w14:paraId="3816E58B" w14:textId="77777777" w:rsidR="00DE5349" w:rsidRPr="00DE5349" w:rsidRDefault="00DE5349" w:rsidP="00DE5349">
            <w:r w:rsidRPr="00DE5349">
              <w:t>TNNT3</w:t>
            </w:r>
          </w:p>
        </w:tc>
        <w:tc>
          <w:tcPr>
            <w:tcW w:w="0" w:type="auto"/>
            <w:vAlign w:val="center"/>
            <w:hideMark/>
          </w:tcPr>
          <w:p w14:paraId="6170D9DD" w14:textId="77777777" w:rsidR="00DE5349" w:rsidRPr="00DE5349" w:rsidRDefault="00DE5349" w:rsidP="00DE5349">
            <w:r w:rsidRPr="00DE5349">
              <w:t>&lt;RESN&gt;21</w:t>
            </w:r>
          </w:p>
        </w:tc>
        <w:tc>
          <w:tcPr>
            <w:tcW w:w="0" w:type="auto"/>
            <w:vAlign w:val="center"/>
            <w:hideMark/>
          </w:tcPr>
          <w:p w14:paraId="4162E15B" w14:textId="77777777" w:rsidR="00DE5349" w:rsidRPr="00DE5349" w:rsidRDefault="00DE5349" w:rsidP="00DE5349">
            <w:r w:rsidRPr="00DE5349">
              <w:t>N</w:t>
            </w:r>
            <w:r w:rsidRPr="00DE5349">
              <w:noBreakHyphen/>
              <w:t>terminal</w:t>
            </w:r>
          </w:p>
        </w:tc>
        <w:tc>
          <w:tcPr>
            <w:tcW w:w="0" w:type="auto"/>
            <w:vAlign w:val="center"/>
            <w:hideMark/>
          </w:tcPr>
          <w:p w14:paraId="096C3362" w14:textId="77777777" w:rsidR="00DE5349" w:rsidRPr="00DE5349" w:rsidRDefault="00DE5349" w:rsidP="00DE5349">
            <w:r w:rsidRPr="00DE5349">
              <w:t>Global RMSD 0.005 Å; Local 0.005 Å; contact loss</w:t>
            </w:r>
          </w:p>
        </w:tc>
        <w:tc>
          <w:tcPr>
            <w:tcW w:w="0" w:type="auto"/>
            <w:vAlign w:val="center"/>
            <w:hideMark/>
          </w:tcPr>
          <w:p w14:paraId="16FBE97B" w14:textId="77777777" w:rsidR="00DE5349" w:rsidRPr="00DE5349" w:rsidRDefault="00DE5349" w:rsidP="00DE5349">
            <w:r w:rsidRPr="00DE5349">
              <w:t>Fast</w:t>
            </w:r>
            <w:r w:rsidRPr="00DE5349">
              <w:noBreakHyphen/>
              <w:t xml:space="preserve">skeletal </w:t>
            </w:r>
            <w:proofErr w:type="spellStart"/>
            <w:r w:rsidRPr="00DE5349">
              <w:t>analog</w:t>
            </w:r>
            <w:proofErr w:type="spellEnd"/>
            <w:r w:rsidRPr="00DE5349">
              <w:t xml:space="preserve"> of HCM</w:t>
            </w:r>
          </w:p>
        </w:tc>
        <w:tc>
          <w:tcPr>
            <w:tcW w:w="0" w:type="auto"/>
            <w:vAlign w:val="center"/>
            <w:hideMark/>
          </w:tcPr>
          <w:p w14:paraId="5938D3F9" w14:textId="77777777" w:rsidR="00DE5349" w:rsidRPr="00DE5349" w:rsidRDefault="00DE5349" w:rsidP="00DE5349">
            <w:proofErr w:type="gramStart"/>
            <w:r w:rsidRPr="00DE5349">
              <w:t>PMID:XXXXXXX</w:t>
            </w:r>
            <w:proofErr w:type="gramEnd"/>
          </w:p>
        </w:tc>
      </w:tr>
      <w:tr w:rsidR="00DE5349" w:rsidRPr="00DE5349" w14:paraId="6D191CA3" w14:textId="77777777" w:rsidTr="00DE5349">
        <w:trPr>
          <w:tblCellSpacing w:w="15" w:type="dxa"/>
        </w:trPr>
        <w:tc>
          <w:tcPr>
            <w:tcW w:w="0" w:type="auto"/>
            <w:vAlign w:val="center"/>
            <w:hideMark/>
          </w:tcPr>
          <w:p w14:paraId="5C11EC5E" w14:textId="77777777" w:rsidR="00DE5349" w:rsidRPr="00DE5349" w:rsidRDefault="00DE5349" w:rsidP="00DE5349">
            <w:r w:rsidRPr="00DE5349">
              <w:t>TNNT3</w:t>
            </w:r>
          </w:p>
        </w:tc>
        <w:tc>
          <w:tcPr>
            <w:tcW w:w="0" w:type="auto"/>
            <w:vAlign w:val="center"/>
            <w:hideMark/>
          </w:tcPr>
          <w:p w14:paraId="36A5BA13" w14:textId="77777777" w:rsidR="00DE5349" w:rsidRPr="00DE5349" w:rsidRDefault="00DE5349" w:rsidP="00DE5349">
            <w:r w:rsidRPr="00DE5349">
              <w:t>&lt;RESN&gt;145</w:t>
            </w:r>
          </w:p>
        </w:tc>
        <w:tc>
          <w:tcPr>
            <w:tcW w:w="0" w:type="auto"/>
            <w:vAlign w:val="center"/>
            <w:hideMark/>
          </w:tcPr>
          <w:p w14:paraId="0EE04246" w14:textId="77777777" w:rsidR="00DE5349" w:rsidRPr="00DE5349" w:rsidRDefault="00DE5349" w:rsidP="00DE5349">
            <w:r w:rsidRPr="00DE5349">
              <w:t>Core</w:t>
            </w:r>
          </w:p>
        </w:tc>
        <w:tc>
          <w:tcPr>
            <w:tcW w:w="0" w:type="auto"/>
            <w:vAlign w:val="center"/>
            <w:hideMark/>
          </w:tcPr>
          <w:p w14:paraId="4C5B22F6" w14:textId="77777777" w:rsidR="00DE5349" w:rsidRPr="00DE5349" w:rsidRDefault="00DE5349" w:rsidP="00DE5349">
            <w:r w:rsidRPr="00DE5349">
              <w:t>Local RMSD 0.004 Å; contact loss</w:t>
            </w:r>
          </w:p>
        </w:tc>
        <w:tc>
          <w:tcPr>
            <w:tcW w:w="0" w:type="auto"/>
            <w:vAlign w:val="center"/>
            <w:hideMark/>
          </w:tcPr>
          <w:p w14:paraId="5F5925A9" w14:textId="77777777" w:rsidR="00DE5349" w:rsidRPr="00DE5349" w:rsidRDefault="00DE5349" w:rsidP="00DE5349"/>
        </w:tc>
        <w:tc>
          <w:tcPr>
            <w:tcW w:w="0" w:type="auto"/>
            <w:vAlign w:val="center"/>
            <w:hideMark/>
          </w:tcPr>
          <w:p w14:paraId="7A06AC9E" w14:textId="77777777" w:rsidR="00DE5349" w:rsidRPr="00DE5349" w:rsidRDefault="00DE5349" w:rsidP="00DE5349"/>
        </w:tc>
      </w:tr>
      <w:tr w:rsidR="00DE5349" w:rsidRPr="00DE5349" w14:paraId="136FDBEE" w14:textId="77777777" w:rsidTr="00DE5349">
        <w:trPr>
          <w:tblCellSpacing w:w="15" w:type="dxa"/>
        </w:trPr>
        <w:tc>
          <w:tcPr>
            <w:tcW w:w="0" w:type="auto"/>
            <w:vAlign w:val="center"/>
            <w:hideMark/>
          </w:tcPr>
          <w:p w14:paraId="776C8123" w14:textId="77777777" w:rsidR="00DE5349" w:rsidRPr="00DE5349" w:rsidRDefault="00DE5349" w:rsidP="00DE5349">
            <w:r w:rsidRPr="00DE5349">
              <w:t>TNNT3</w:t>
            </w:r>
          </w:p>
        </w:tc>
        <w:tc>
          <w:tcPr>
            <w:tcW w:w="0" w:type="auto"/>
            <w:vAlign w:val="center"/>
            <w:hideMark/>
          </w:tcPr>
          <w:p w14:paraId="18A31986" w14:textId="77777777" w:rsidR="00DE5349" w:rsidRPr="00DE5349" w:rsidRDefault="00DE5349" w:rsidP="00DE5349">
            <w:r w:rsidRPr="00DE5349">
              <w:t>&lt;RESN&gt;162</w:t>
            </w:r>
          </w:p>
        </w:tc>
        <w:tc>
          <w:tcPr>
            <w:tcW w:w="0" w:type="auto"/>
            <w:vAlign w:val="center"/>
            <w:hideMark/>
          </w:tcPr>
          <w:p w14:paraId="4416DC42" w14:textId="77777777" w:rsidR="00DE5349" w:rsidRPr="00DE5349" w:rsidRDefault="00DE5349" w:rsidP="00DE5349">
            <w:r w:rsidRPr="00DE5349">
              <w:t>Core</w:t>
            </w:r>
          </w:p>
        </w:tc>
        <w:tc>
          <w:tcPr>
            <w:tcW w:w="0" w:type="auto"/>
            <w:vAlign w:val="center"/>
            <w:hideMark/>
          </w:tcPr>
          <w:p w14:paraId="3C0C9AC1" w14:textId="77777777" w:rsidR="00DE5349" w:rsidRPr="00DE5349" w:rsidRDefault="00DE5349" w:rsidP="00DE5349">
            <w:r w:rsidRPr="00DE5349">
              <w:t>Local RMSD 0.009 Å; contact gain</w:t>
            </w:r>
          </w:p>
        </w:tc>
        <w:tc>
          <w:tcPr>
            <w:tcW w:w="0" w:type="auto"/>
            <w:vAlign w:val="center"/>
            <w:hideMark/>
          </w:tcPr>
          <w:p w14:paraId="4A99C298" w14:textId="77777777" w:rsidR="00DE5349" w:rsidRPr="00DE5349" w:rsidRDefault="00DE5349" w:rsidP="00DE5349"/>
        </w:tc>
        <w:tc>
          <w:tcPr>
            <w:tcW w:w="0" w:type="auto"/>
            <w:vAlign w:val="center"/>
            <w:hideMark/>
          </w:tcPr>
          <w:p w14:paraId="07CB0AF4" w14:textId="77777777" w:rsidR="00DE5349" w:rsidRPr="00DE5349" w:rsidRDefault="00DE5349" w:rsidP="00DE5349"/>
        </w:tc>
      </w:tr>
      <w:tr w:rsidR="00DE5349" w:rsidRPr="00DE5349" w14:paraId="6513DC37" w14:textId="77777777" w:rsidTr="00DE5349">
        <w:trPr>
          <w:tblCellSpacing w:w="15" w:type="dxa"/>
        </w:trPr>
        <w:tc>
          <w:tcPr>
            <w:tcW w:w="0" w:type="auto"/>
            <w:vAlign w:val="center"/>
            <w:hideMark/>
          </w:tcPr>
          <w:p w14:paraId="4554F029" w14:textId="77777777" w:rsidR="00DE5349" w:rsidRPr="00DE5349" w:rsidRDefault="00DE5349" w:rsidP="00DE5349">
            <w:r w:rsidRPr="00DE5349">
              <w:t>TNNT3</w:t>
            </w:r>
          </w:p>
        </w:tc>
        <w:tc>
          <w:tcPr>
            <w:tcW w:w="0" w:type="auto"/>
            <w:vAlign w:val="center"/>
            <w:hideMark/>
          </w:tcPr>
          <w:p w14:paraId="668E1F4C" w14:textId="77777777" w:rsidR="00DE5349" w:rsidRPr="00DE5349" w:rsidRDefault="00DE5349" w:rsidP="00DE5349">
            <w:r w:rsidRPr="00DE5349">
              <w:t>&lt;RESN&gt;170</w:t>
            </w:r>
          </w:p>
        </w:tc>
        <w:tc>
          <w:tcPr>
            <w:tcW w:w="0" w:type="auto"/>
            <w:vAlign w:val="center"/>
            <w:hideMark/>
          </w:tcPr>
          <w:p w14:paraId="75538E9B" w14:textId="77777777" w:rsidR="00DE5349" w:rsidRPr="00DE5349" w:rsidRDefault="00DE5349" w:rsidP="00DE5349">
            <w:r w:rsidRPr="00DE5349">
              <w:t>Core</w:t>
            </w:r>
          </w:p>
        </w:tc>
        <w:tc>
          <w:tcPr>
            <w:tcW w:w="0" w:type="auto"/>
            <w:vAlign w:val="center"/>
            <w:hideMark/>
          </w:tcPr>
          <w:p w14:paraId="2192D502" w14:textId="77777777" w:rsidR="00DE5349" w:rsidRPr="00DE5349" w:rsidRDefault="00DE5349" w:rsidP="00DE5349">
            <w:r w:rsidRPr="00DE5349">
              <w:t>Local RMSD 0.006 Å; slight contact loss</w:t>
            </w:r>
          </w:p>
        </w:tc>
        <w:tc>
          <w:tcPr>
            <w:tcW w:w="0" w:type="auto"/>
            <w:vAlign w:val="center"/>
            <w:hideMark/>
          </w:tcPr>
          <w:p w14:paraId="19027B94" w14:textId="77777777" w:rsidR="00DE5349" w:rsidRPr="00DE5349" w:rsidRDefault="00DE5349" w:rsidP="00DE5349"/>
        </w:tc>
        <w:tc>
          <w:tcPr>
            <w:tcW w:w="0" w:type="auto"/>
            <w:vAlign w:val="center"/>
            <w:hideMark/>
          </w:tcPr>
          <w:p w14:paraId="0F4BAC0B" w14:textId="77777777" w:rsidR="00DE5349" w:rsidRPr="00DE5349" w:rsidRDefault="00DE5349" w:rsidP="00DE5349"/>
        </w:tc>
      </w:tr>
      <w:tr w:rsidR="00DE5349" w:rsidRPr="00DE5349" w14:paraId="4473D269" w14:textId="77777777" w:rsidTr="00DE5349">
        <w:trPr>
          <w:tblCellSpacing w:w="15" w:type="dxa"/>
        </w:trPr>
        <w:tc>
          <w:tcPr>
            <w:tcW w:w="0" w:type="auto"/>
            <w:vAlign w:val="center"/>
            <w:hideMark/>
          </w:tcPr>
          <w:p w14:paraId="45F408FD" w14:textId="77777777" w:rsidR="00DE5349" w:rsidRPr="00DE5349" w:rsidRDefault="00DE5349" w:rsidP="00DE5349">
            <w:r w:rsidRPr="00DE5349">
              <w:t>TNNT3</w:t>
            </w:r>
          </w:p>
        </w:tc>
        <w:tc>
          <w:tcPr>
            <w:tcW w:w="0" w:type="auto"/>
            <w:vAlign w:val="center"/>
            <w:hideMark/>
          </w:tcPr>
          <w:p w14:paraId="3E09B80A" w14:textId="77777777" w:rsidR="00DE5349" w:rsidRPr="00DE5349" w:rsidRDefault="00DE5349" w:rsidP="00DE5349">
            <w:r w:rsidRPr="00DE5349">
              <w:t>&lt;RESN&gt;183</w:t>
            </w:r>
          </w:p>
        </w:tc>
        <w:tc>
          <w:tcPr>
            <w:tcW w:w="0" w:type="auto"/>
            <w:vAlign w:val="center"/>
            <w:hideMark/>
          </w:tcPr>
          <w:p w14:paraId="15E62137" w14:textId="77777777" w:rsidR="00DE5349" w:rsidRPr="00DE5349" w:rsidRDefault="00DE5349" w:rsidP="00DE5349">
            <w:r w:rsidRPr="00DE5349">
              <w:t>Core</w:t>
            </w:r>
          </w:p>
        </w:tc>
        <w:tc>
          <w:tcPr>
            <w:tcW w:w="0" w:type="auto"/>
            <w:vAlign w:val="center"/>
            <w:hideMark/>
          </w:tcPr>
          <w:p w14:paraId="3894FCB2" w14:textId="77777777" w:rsidR="00DE5349" w:rsidRPr="00DE5349" w:rsidRDefault="00DE5349" w:rsidP="00DE5349">
            <w:r w:rsidRPr="00DE5349">
              <w:t>Local RMSD 0.010 Å; contacts preserved</w:t>
            </w:r>
          </w:p>
        </w:tc>
        <w:tc>
          <w:tcPr>
            <w:tcW w:w="0" w:type="auto"/>
            <w:vAlign w:val="center"/>
            <w:hideMark/>
          </w:tcPr>
          <w:p w14:paraId="46AEF79B" w14:textId="77777777" w:rsidR="00DE5349" w:rsidRPr="00DE5349" w:rsidRDefault="00DE5349" w:rsidP="00DE5349"/>
        </w:tc>
        <w:tc>
          <w:tcPr>
            <w:tcW w:w="0" w:type="auto"/>
            <w:vAlign w:val="center"/>
            <w:hideMark/>
          </w:tcPr>
          <w:p w14:paraId="415DBEF7" w14:textId="77777777" w:rsidR="00DE5349" w:rsidRPr="00DE5349" w:rsidRDefault="00DE5349" w:rsidP="00DE5349"/>
        </w:tc>
      </w:tr>
      <w:tr w:rsidR="00DE5349" w:rsidRPr="00DE5349" w14:paraId="40A636FE" w14:textId="77777777" w:rsidTr="00DE5349">
        <w:trPr>
          <w:tblCellSpacing w:w="15" w:type="dxa"/>
        </w:trPr>
        <w:tc>
          <w:tcPr>
            <w:tcW w:w="0" w:type="auto"/>
            <w:vAlign w:val="center"/>
            <w:hideMark/>
          </w:tcPr>
          <w:p w14:paraId="2A5BE754" w14:textId="77777777" w:rsidR="00DE5349" w:rsidRPr="00DE5349" w:rsidRDefault="00DE5349" w:rsidP="00DE5349">
            <w:r w:rsidRPr="00DE5349">
              <w:t>TNNT3</w:t>
            </w:r>
          </w:p>
        </w:tc>
        <w:tc>
          <w:tcPr>
            <w:tcW w:w="0" w:type="auto"/>
            <w:vAlign w:val="center"/>
            <w:hideMark/>
          </w:tcPr>
          <w:p w14:paraId="22C64B8C" w14:textId="77777777" w:rsidR="00DE5349" w:rsidRPr="00DE5349" w:rsidRDefault="00DE5349" w:rsidP="00DE5349">
            <w:r w:rsidRPr="00DE5349">
              <w:t>&lt;RESN&gt;192</w:t>
            </w:r>
          </w:p>
        </w:tc>
        <w:tc>
          <w:tcPr>
            <w:tcW w:w="0" w:type="auto"/>
            <w:vAlign w:val="center"/>
            <w:hideMark/>
          </w:tcPr>
          <w:p w14:paraId="2C4CFF05" w14:textId="77777777" w:rsidR="00DE5349" w:rsidRPr="00DE5349" w:rsidRDefault="00DE5349" w:rsidP="00DE5349">
            <w:r w:rsidRPr="00DE5349">
              <w:t>Core</w:t>
            </w:r>
          </w:p>
        </w:tc>
        <w:tc>
          <w:tcPr>
            <w:tcW w:w="0" w:type="auto"/>
            <w:vAlign w:val="center"/>
            <w:hideMark/>
          </w:tcPr>
          <w:p w14:paraId="20E02F65" w14:textId="77777777" w:rsidR="00DE5349" w:rsidRPr="00DE5349" w:rsidRDefault="00DE5349" w:rsidP="00DE5349">
            <w:r w:rsidRPr="00DE5349">
              <w:t>Local RMSD 0.026 Å; contact loss</w:t>
            </w:r>
          </w:p>
        </w:tc>
        <w:tc>
          <w:tcPr>
            <w:tcW w:w="0" w:type="auto"/>
            <w:vAlign w:val="center"/>
            <w:hideMark/>
          </w:tcPr>
          <w:p w14:paraId="53870198" w14:textId="77777777" w:rsidR="00DE5349" w:rsidRPr="00DE5349" w:rsidRDefault="00DE5349" w:rsidP="00DE5349"/>
        </w:tc>
        <w:tc>
          <w:tcPr>
            <w:tcW w:w="0" w:type="auto"/>
            <w:vAlign w:val="center"/>
            <w:hideMark/>
          </w:tcPr>
          <w:p w14:paraId="7D54FE21" w14:textId="77777777" w:rsidR="00DE5349" w:rsidRPr="00DE5349" w:rsidRDefault="00DE5349" w:rsidP="00DE5349"/>
        </w:tc>
      </w:tr>
      <w:tr w:rsidR="00DE5349" w:rsidRPr="00DE5349" w14:paraId="2E83D9F6" w14:textId="77777777" w:rsidTr="00DE5349">
        <w:trPr>
          <w:tblCellSpacing w:w="15" w:type="dxa"/>
        </w:trPr>
        <w:tc>
          <w:tcPr>
            <w:tcW w:w="0" w:type="auto"/>
            <w:vAlign w:val="center"/>
            <w:hideMark/>
          </w:tcPr>
          <w:p w14:paraId="4398839E" w14:textId="77777777" w:rsidR="00DE5349" w:rsidRPr="00DE5349" w:rsidRDefault="00DE5349" w:rsidP="00DE5349">
            <w:r w:rsidRPr="00DE5349">
              <w:t>TNNT3</w:t>
            </w:r>
          </w:p>
        </w:tc>
        <w:tc>
          <w:tcPr>
            <w:tcW w:w="0" w:type="auto"/>
            <w:vAlign w:val="center"/>
            <w:hideMark/>
          </w:tcPr>
          <w:p w14:paraId="4CFE19F7" w14:textId="77777777" w:rsidR="00DE5349" w:rsidRPr="00DE5349" w:rsidRDefault="00DE5349" w:rsidP="00DE5349">
            <w:r w:rsidRPr="00DE5349">
              <w:t>&lt;RESN&gt;199</w:t>
            </w:r>
          </w:p>
        </w:tc>
        <w:tc>
          <w:tcPr>
            <w:tcW w:w="0" w:type="auto"/>
            <w:vAlign w:val="center"/>
            <w:hideMark/>
          </w:tcPr>
          <w:p w14:paraId="4B370334" w14:textId="77777777" w:rsidR="00DE5349" w:rsidRPr="00DE5349" w:rsidRDefault="00DE5349" w:rsidP="00DE5349">
            <w:r w:rsidRPr="00DE5349">
              <w:t>C</w:t>
            </w:r>
            <w:r w:rsidRPr="00DE5349">
              <w:noBreakHyphen/>
              <w:t>terminal</w:t>
            </w:r>
          </w:p>
        </w:tc>
        <w:tc>
          <w:tcPr>
            <w:tcW w:w="0" w:type="auto"/>
            <w:vAlign w:val="center"/>
            <w:hideMark/>
          </w:tcPr>
          <w:p w14:paraId="1882C001" w14:textId="77777777" w:rsidR="00DE5349" w:rsidRPr="00DE5349" w:rsidRDefault="00DE5349" w:rsidP="00DE5349">
            <w:r w:rsidRPr="00DE5349">
              <w:t>Local RMSD 0.025 Å; contact gain</w:t>
            </w:r>
          </w:p>
        </w:tc>
        <w:tc>
          <w:tcPr>
            <w:tcW w:w="0" w:type="auto"/>
            <w:vAlign w:val="center"/>
            <w:hideMark/>
          </w:tcPr>
          <w:p w14:paraId="6B0C9F3B" w14:textId="77777777" w:rsidR="00DE5349" w:rsidRPr="00DE5349" w:rsidRDefault="00DE5349" w:rsidP="00DE5349"/>
        </w:tc>
        <w:tc>
          <w:tcPr>
            <w:tcW w:w="0" w:type="auto"/>
            <w:vAlign w:val="center"/>
            <w:hideMark/>
          </w:tcPr>
          <w:p w14:paraId="5E459577" w14:textId="77777777" w:rsidR="00DE5349" w:rsidRPr="00DE5349" w:rsidRDefault="00DE5349" w:rsidP="00DE5349"/>
        </w:tc>
      </w:tr>
      <w:tr w:rsidR="00DE5349" w:rsidRPr="00DE5349" w14:paraId="770AF6BB" w14:textId="77777777" w:rsidTr="00DE5349">
        <w:trPr>
          <w:tblCellSpacing w:w="15" w:type="dxa"/>
        </w:trPr>
        <w:tc>
          <w:tcPr>
            <w:tcW w:w="0" w:type="auto"/>
            <w:vAlign w:val="center"/>
            <w:hideMark/>
          </w:tcPr>
          <w:p w14:paraId="134D8325" w14:textId="77777777" w:rsidR="00DE5349" w:rsidRPr="00DE5349" w:rsidRDefault="00DE5349" w:rsidP="00DE5349">
            <w:r w:rsidRPr="00DE5349">
              <w:t>TNNT3</w:t>
            </w:r>
          </w:p>
        </w:tc>
        <w:tc>
          <w:tcPr>
            <w:tcW w:w="0" w:type="auto"/>
            <w:vAlign w:val="center"/>
            <w:hideMark/>
          </w:tcPr>
          <w:p w14:paraId="1FACCE94" w14:textId="77777777" w:rsidR="00DE5349" w:rsidRPr="00DE5349" w:rsidRDefault="00DE5349" w:rsidP="00DE5349">
            <w:r w:rsidRPr="00DE5349">
              <w:t>&lt;RESN&gt;203</w:t>
            </w:r>
          </w:p>
        </w:tc>
        <w:tc>
          <w:tcPr>
            <w:tcW w:w="0" w:type="auto"/>
            <w:vAlign w:val="center"/>
            <w:hideMark/>
          </w:tcPr>
          <w:p w14:paraId="437DB6B8" w14:textId="77777777" w:rsidR="00DE5349" w:rsidRPr="00DE5349" w:rsidRDefault="00DE5349" w:rsidP="00DE5349">
            <w:r w:rsidRPr="00DE5349">
              <w:t>C</w:t>
            </w:r>
            <w:r w:rsidRPr="00DE5349">
              <w:noBreakHyphen/>
              <w:t>terminal</w:t>
            </w:r>
          </w:p>
        </w:tc>
        <w:tc>
          <w:tcPr>
            <w:tcW w:w="0" w:type="auto"/>
            <w:vAlign w:val="center"/>
            <w:hideMark/>
          </w:tcPr>
          <w:p w14:paraId="48D7781A" w14:textId="77777777" w:rsidR="00DE5349" w:rsidRPr="00DE5349" w:rsidRDefault="00DE5349" w:rsidP="00DE5349">
            <w:r w:rsidRPr="00DE5349">
              <w:t>Local RMSD 0.006 Å; contact gain</w:t>
            </w:r>
          </w:p>
        </w:tc>
        <w:tc>
          <w:tcPr>
            <w:tcW w:w="0" w:type="auto"/>
            <w:vAlign w:val="center"/>
            <w:hideMark/>
          </w:tcPr>
          <w:p w14:paraId="0D274D53" w14:textId="77777777" w:rsidR="00DE5349" w:rsidRPr="00DE5349" w:rsidRDefault="00DE5349" w:rsidP="00DE5349"/>
        </w:tc>
        <w:tc>
          <w:tcPr>
            <w:tcW w:w="0" w:type="auto"/>
            <w:vAlign w:val="center"/>
            <w:hideMark/>
          </w:tcPr>
          <w:p w14:paraId="37CE0E64" w14:textId="77777777" w:rsidR="00DE5349" w:rsidRPr="00DE5349" w:rsidRDefault="00DE5349" w:rsidP="00DE5349"/>
        </w:tc>
      </w:tr>
    </w:tbl>
    <w:p w14:paraId="7AA84D0E" w14:textId="77777777" w:rsidR="00DE5349" w:rsidRPr="00DE5349" w:rsidRDefault="00DE5349" w:rsidP="00DE5349">
      <w:r w:rsidRPr="00DE5349">
        <w:pict w14:anchorId="09CB016F">
          <v:rect id="_x0000_i1064" style="width:0;height:1.5pt" o:hralign="center" o:hrstd="t" o:hr="t" fillcolor="#a0a0a0" stroked="f"/>
        </w:pict>
      </w:r>
    </w:p>
    <w:p w14:paraId="25A10C4C" w14:textId="77777777" w:rsidR="00DE5349" w:rsidRPr="00DE5349" w:rsidRDefault="00DE5349" w:rsidP="00DE5349">
      <w:pPr>
        <w:rPr>
          <w:b/>
          <w:bCs/>
        </w:rPr>
      </w:pPr>
      <w:r w:rsidRPr="00DE5349">
        <w:rPr>
          <w:b/>
          <w:bCs/>
        </w:rPr>
        <w:t>Functional Implication Analysis</w:t>
      </w:r>
    </w:p>
    <w:p w14:paraId="2E617CFA" w14:textId="77777777" w:rsidR="00DE5349" w:rsidRPr="00DE5349" w:rsidRDefault="00DE5349" w:rsidP="00DE5349">
      <w:r w:rsidRPr="00DE5349">
        <w:lastRenderedPageBreak/>
        <w:t xml:space="preserve">Although the </w:t>
      </w:r>
      <w:r w:rsidRPr="00DE5349">
        <w:rPr>
          <w:b/>
          <w:bCs/>
        </w:rPr>
        <w:t>global fold</w:t>
      </w:r>
      <w:r w:rsidRPr="00DE5349">
        <w:t xml:space="preserve"> of fast</w:t>
      </w:r>
      <w:r w:rsidRPr="00DE5349">
        <w:noBreakHyphen/>
        <w:t xml:space="preserve">skeletal troponin T remains intact, each mutation induces </w:t>
      </w:r>
      <w:r w:rsidRPr="00DE5349">
        <w:rPr>
          <w:b/>
          <w:bCs/>
        </w:rPr>
        <w:t>site</w:t>
      </w:r>
      <w:r w:rsidRPr="00DE5349">
        <w:rPr>
          <w:b/>
          <w:bCs/>
        </w:rPr>
        <w:noBreakHyphen/>
        <w:t>specific shifts and varied changes in local contacts</w:t>
      </w:r>
      <w:r w:rsidRPr="00DE5349">
        <w:t xml:space="preserve"> within the regulatory core. Losses in contact density (e.g., at 21, 145) may weaken troponin–tropomyosin interfaces, while gains (e.g., at 162, 199, 203) could alter allosteric coupling. Together, these structural perturbations likely influence thin</w:t>
      </w:r>
      <w:r w:rsidRPr="00DE5349">
        <w:noBreakHyphen/>
        <w:t>filament regulation and calcium sensitivity, mirroring mechanisms underlying cardiac HCM.</w:t>
      </w:r>
    </w:p>
    <w:p w14:paraId="6D045397" w14:textId="77777777" w:rsidR="00DE5349" w:rsidRPr="00DE5349" w:rsidRDefault="00DE5349" w:rsidP="00DE5349">
      <w:r w:rsidRPr="00DE5349">
        <w:pict w14:anchorId="4C02BFB0">
          <v:rect id="_x0000_i1065" style="width:0;height:1.5pt" o:hralign="center" o:hrstd="t" o:hr="t" fillcolor="#a0a0a0" stroked="f"/>
        </w:pict>
      </w:r>
    </w:p>
    <w:p w14:paraId="5A07C0B7" w14:textId="77777777" w:rsidR="00DE5349" w:rsidRPr="00DE5349" w:rsidRDefault="00DE5349" w:rsidP="00DE5349">
      <w:pPr>
        <w:rPr>
          <w:b/>
          <w:bCs/>
        </w:rPr>
      </w:pPr>
      <w:r w:rsidRPr="00DE5349">
        <w:rPr>
          <w:b/>
          <w:bCs/>
        </w:rPr>
        <w:t>Structural Visualization</w:t>
      </w:r>
    </w:p>
    <w:p w14:paraId="767905DE" w14:textId="77777777" w:rsidR="00DE5349" w:rsidRPr="00DE5349" w:rsidRDefault="00DE5349" w:rsidP="00DE5349">
      <w:pPr>
        <w:numPr>
          <w:ilvl w:val="0"/>
          <w:numId w:val="4"/>
        </w:numPr>
      </w:pPr>
      <w:r w:rsidRPr="00DE5349">
        <w:rPr>
          <w:b/>
          <w:bCs/>
        </w:rPr>
        <w:t>Figure 3A:</w:t>
      </w:r>
      <w:r w:rsidRPr="00DE5349">
        <w:t xml:space="preserve"> Full</w:t>
      </w:r>
      <w:r w:rsidRPr="00DE5349">
        <w:noBreakHyphen/>
        <w:t>length overlay of WT (cyan) vs. TNNT3_full (magenta)</w:t>
      </w:r>
    </w:p>
    <w:p w14:paraId="1BE30A3D" w14:textId="77777777" w:rsidR="00DE5349" w:rsidRPr="00DE5349" w:rsidRDefault="00DE5349" w:rsidP="00DE5349">
      <w:pPr>
        <w:numPr>
          <w:ilvl w:val="0"/>
          <w:numId w:val="4"/>
        </w:numPr>
      </w:pPr>
      <w:r w:rsidRPr="00DE5349">
        <w:rPr>
          <w:b/>
          <w:bCs/>
        </w:rPr>
        <w:t>Figure 3B–I:</w:t>
      </w:r>
      <w:r w:rsidRPr="00DE5349">
        <w:t xml:space="preserve"> Zoomed stick views of residues 21, 145, 162, 170, 183, 192, 199, and 203 with labels “WT: &lt;RESN&gt;-X” vs. “Mut: &lt;RESN&gt;-X.”</w:t>
      </w:r>
    </w:p>
    <w:p w14:paraId="700C91E9" w14:textId="77777777" w:rsidR="00DE5349" w:rsidRPr="00DE5349" w:rsidRDefault="00DE5349" w:rsidP="00DE5349">
      <w:r w:rsidRPr="00DE5349">
        <w:pict w14:anchorId="20809DE7">
          <v:rect id="_x0000_i1066" style="width:0;height:1.5pt" o:hralign="center" o:hrstd="t" o:hr="t" fillcolor="#a0a0a0" stroked="f"/>
        </w:pict>
      </w:r>
    </w:p>
    <w:p w14:paraId="2D4689FD" w14:textId="77777777" w:rsidR="00DE5349" w:rsidRPr="00DE5349" w:rsidRDefault="00DE5349" w:rsidP="00DE5349">
      <w:pPr>
        <w:rPr>
          <w:b/>
          <w:bCs/>
        </w:rPr>
      </w:pPr>
      <w:r w:rsidRPr="00DE5349">
        <w:rPr>
          <w:b/>
          <w:bCs/>
        </w:rPr>
        <w:t>Analysis of Structural Differences</w:t>
      </w:r>
    </w:p>
    <w:p w14:paraId="06286995" w14:textId="77777777" w:rsidR="00DE5349" w:rsidRPr="00DE5349" w:rsidRDefault="00DE5349" w:rsidP="00DE5349">
      <w:r w:rsidRPr="00DE5349">
        <w:rPr>
          <w:i/>
          <w:iCs/>
        </w:rPr>
        <w:t xml:space="preserve">All metrics from </w:t>
      </w:r>
      <w:proofErr w:type="spellStart"/>
      <w:r w:rsidRPr="00DE5349">
        <w:rPr>
          <w:i/>
          <w:iCs/>
        </w:rPr>
        <w:t>PyMOL</w:t>
      </w:r>
      <w:proofErr w:type="spellEnd"/>
      <w:r w:rsidRPr="00DE5349">
        <w:rPr>
          <w:i/>
          <w:iCs/>
        </w:rPr>
        <w:t xml:space="preserve"> v3.1.6.1</w:t>
      </w:r>
    </w:p>
    <w:p w14:paraId="57673538" w14:textId="77777777" w:rsidR="00DE5349" w:rsidRPr="00DE5349" w:rsidRDefault="00DE5349" w:rsidP="00DE5349">
      <w:pPr>
        <w:numPr>
          <w:ilvl w:val="0"/>
          <w:numId w:val="5"/>
        </w:numPr>
      </w:pPr>
      <w:r w:rsidRPr="00DE5349">
        <w:rPr>
          <w:b/>
          <w:bCs/>
        </w:rPr>
        <w:t>Global RMSD:</w:t>
      </w:r>
      <w:r w:rsidRPr="00DE5349">
        <w:t xml:space="preserve"> 0.005 Å — preserves overall fold</w:t>
      </w:r>
    </w:p>
    <w:p w14:paraId="2D71991C" w14:textId="77777777" w:rsidR="00DE5349" w:rsidRPr="00DE5349" w:rsidRDefault="00DE5349" w:rsidP="00DE5349">
      <w:pPr>
        <w:numPr>
          <w:ilvl w:val="0"/>
          <w:numId w:val="5"/>
        </w:numPr>
      </w:pPr>
      <w:r w:rsidRPr="00DE5349">
        <w:rPr>
          <w:b/>
          <w:bCs/>
        </w:rPr>
        <w:t>Local RMSDs:</w:t>
      </w:r>
      <w:r w:rsidRPr="00DE5349">
        <w:t xml:space="preserve"> 0.004–0.026 Å — minimal backbone deviations</w:t>
      </w:r>
    </w:p>
    <w:p w14:paraId="7A0B92FF" w14:textId="77777777" w:rsidR="00DE5349" w:rsidRPr="00DE5349" w:rsidRDefault="00DE5349" w:rsidP="00DE5349">
      <w:pPr>
        <w:numPr>
          <w:ilvl w:val="0"/>
          <w:numId w:val="5"/>
        </w:numPr>
      </w:pPr>
      <w:r w:rsidRPr="00DE5349">
        <w:rPr>
          <w:b/>
          <w:bCs/>
        </w:rPr>
        <w:t>Contact mapping:</w:t>
      </w:r>
      <w:r w:rsidRPr="00DE5349">
        <w:t xml:space="preserve"> mixed loss/gain across eight sites</w:t>
      </w:r>
    </w:p>
    <w:p w14:paraId="291339F3" w14:textId="77777777" w:rsidR="00DE5349" w:rsidRPr="00DE5349" w:rsidRDefault="00DE5349" w:rsidP="00DE5349">
      <w:r w:rsidRPr="00DE5349">
        <w:t xml:space="preserve">This comprehensive analysis supports a model in which </w:t>
      </w:r>
      <w:r w:rsidRPr="00DE5349">
        <w:rPr>
          <w:b/>
          <w:bCs/>
        </w:rPr>
        <w:t>TNNT3 mutations fine</w:t>
      </w:r>
      <w:r w:rsidRPr="00DE5349">
        <w:rPr>
          <w:b/>
          <w:bCs/>
        </w:rPr>
        <w:noBreakHyphen/>
        <w:t>tune local structural and interaction networks</w:t>
      </w:r>
      <w:r w:rsidRPr="00DE5349">
        <w:t>, modulating skeletal</w:t>
      </w:r>
      <w:r w:rsidRPr="00DE5349">
        <w:noBreakHyphen/>
        <w:t>muscle regulatory dynamics with relevance to HCM</w:t>
      </w:r>
      <w:r w:rsidRPr="00DE5349">
        <w:noBreakHyphen/>
        <w:t>like phenotypes.</w:t>
      </w:r>
    </w:p>
    <w:p w14:paraId="5076257B" w14:textId="77777777" w:rsidR="00266424" w:rsidRDefault="00266424"/>
    <w:sectPr w:rsidR="00266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23363"/>
    <w:multiLevelType w:val="multilevel"/>
    <w:tmpl w:val="42E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C5338"/>
    <w:multiLevelType w:val="multilevel"/>
    <w:tmpl w:val="A264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02F71"/>
    <w:multiLevelType w:val="multilevel"/>
    <w:tmpl w:val="7826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43CEF"/>
    <w:multiLevelType w:val="multilevel"/>
    <w:tmpl w:val="D79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523DA"/>
    <w:multiLevelType w:val="multilevel"/>
    <w:tmpl w:val="1524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04413">
    <w:abstractNumId w:val="4"/>
  </w:num>
  <w:num w:numId="2" w16cid:durableId="1840194697">
    <w:abstractNumId w:val="2"/>
  </w:num>
  <w:num w:numId="3" w16cid:durableId="1681736179">
    <w:abstractNumId w:val="3"/>
  </w:num>
  <w:num w:numId="4" w16cid:durableId="1742487486">
    <w:abstractNumId w:val="1"/>
  </w:num>
  <w:num w:numId="5" w16cid:durableId="21477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EB"/>
    <w:rsid w:val="000D0584"/>
    <w:rsid w:val="00266424"/>
    <w:rsid w:val="00871AEB"/>
    <w:rsid w:val="00A442DA"/>
    <w:rsid w:val="00DD7367"/>
    <w:rsid w:val="00DE5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E8341-6BD0-4476-B36D-A4703AD8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A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1A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A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A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A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A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1A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A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A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A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AEB"/>
    <w:rPr>
      <w:rFonts w:eastAsiaTheme="majorEastAsia" w:cstheme="majorBidi"/>
      <w:color w:val="272727" w:themeColor="text1" w:themeTint="D8"/>
    </w:rPr>
  </w:style>
  <w:style w:type="paragraph" w:styleId="Title">
    <w:name w:val="Title"/>
    <w:basedOn w:val="Normal"/>
    <w:next w:val="Normal"/>
    <w:link w:val="TitleChar"/>
    <w:uiPriority w:val="10"/>
    <w:qFormat/>
    <w:rsid w:val="00871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AEB"/>
    <w:pPr>
      <w:spacing w:before="160"/>
      <w:jc w:val="center"/>
    </w:pPr>
    <w:rPr>
      <w:i/>
      <w:iCs/>
      <w:color w:val="404040" w:themeColor="text1" w:themeTint="BF"/>
    </w:rPr>
  </w:style>
  <w:style w:type="character" w:customStyle="1" w:styleId="QuoteChar">
    <w:name w:val="Quote Char"/>
    <w:basedOn w:val="DefaultParagraphFont"/>
    <w:link w:val="Quote"/>
    <w:uiPriority w:val="29"/>
    <w:rsid w:val="00871AEB"/>
    <w:rPr>
      <w:i/>
      <w:iCs/>
      <w:color w:val="404040" w:themeColor="text1" w:themeTint="BF"/>
    </w:rPr>
  </w:style>
  <w:style w:type="paragraph" w:styleId="ListParagraph">
    <w:name w:val="List Paragraph"/>
    <w:basedOn w:val="Normal"/>
    <w:uiPriority w:val="34"/>
    <w:qFormat/>
    <w:rsid w:val="00871AEB"/>
    <w:pPr>
      <w:ind w:left="720"/>
      <w:contextualSpacing/>
    </w:pPr>
  </w:style>
  <w:style w:type="character" w:styleId="IntenseEmphasis">
    <w:name w:val="Intense Emphasis"/>
    <w:basedOn w:val="DefaultParagraphFont"/>
    <w:uiPriority w:val="21"/>
    <w:qFormat/>
    <w:rsid w:val="00871AEB"/>
    <w:rPr>
      <w:i/>
      <w:iCs/>
      <w:color w:val="2F5496" w:themeColor="accent1" w:themeShade="BF"/>
    </w:rPr>
  </w:style>
  <w:style w:type="paragraph" w:styleId="IntenseQuote">
    <w:name w:val="Intense Quote"/>
    <w:basedOn w:val="Normal"/>
    <w:next w:val="Normal"/>
    <w:link w:val="IntenseQuoteChar"/>
    <w:uiPriority w:val="30"/>
    <w:qFormat/>
    <w:rsid w:val="00871A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AEB"/>
    <w:rPr>
      <w:i/>
      <w:iCs/>
      <w:color w:val="2F5496" w:themeColor="accent1" w:themeShade="BF"/>
    </w:rPr>
  </w:style>
  <w:style w:type="character" w:styleId="IntenseReference">
    <w:name w:val="Intense Reference"/>
    <w:basedOn w:val="DefaultParagraphFont"/>
    <w:uiPriority w:val="32"/>
    <w:qFormat/>
    <w:rsid w:val="00871A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38682">
      <w:bodyDiv w:val="1"/>
      <w:marLeft w:val="0"/>
      <w:marRight w:val="0"/>
      <w:marTop w:val="0"/>
      <w:marBottom w:val="0"/>
      <w:divBdr>
        <w:top w:val="none" w:sz="0" w:space="0" w:color="auto"/>
        <w:left w:val="none" w:sz="0" w:space="0" w:color="auto"/>
        <w:bottom w:val="none" w:sz="0" w:space="0" w:color="auto"/>
        <w:right w:val="none" w:sz="0" w:space="0" w:color="auto"/>
      </w:divBdr>
    </w:div>
    <w:div w:id="283075391">
      <w:bodyDiv w:val="1"/>
      <w:marLeft w:val="0"/>
      <w:marRight w:val="0"/>
      <w:marTop w:val="0"/>
      <w:marBottom w:val="0"/>
      <w:divBdr>
        <w:top w:val="none" w:sz="0" w:space="0" w:color="auto"/>
        <w:left w:val="none" w:sz="0" w:space="0" w:color="auto"/>
        <w:bottom w:val="none" w:sz="0" w:space="0" w:color="auto"/>
        <w:right w:val="none" w:sz="0" w:space="0" w:color="auto"/>
      </w:divBdr>
    </w:div>
    <w:div w:id="679240632">
      <w:bodyDiv w:val="1"/>
      <w:marLeft w:val="0"/>
      <w:marRight w:val="0"/>
      <w:marTop w:val="0"/>
      <w:marBottom w:val="0"/>
      <w:divBdr>
        <w:top w:val="none" w:sz="0" w:space="0" w:color="auto"/>
        <w:left w:val="none" w:sz="0" w:space="0" w:color="auto"/>
        <w:bottom w:val="none" w:sz="0" w:space="0" w:color="auto"/>
        <w:right w:val="none" w:sz="0" w:space="0" w:color="auto"/>
      </w:divBdr>
    </w:div>
    <w:div w:id="178750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vashist</dc:creator>
  <cp:keywords/>
  <dc:description/>
  <cp:lastModifiedBy>nitish vashist</cp:lastModifiedBy>
  <cp:revision>2</cp:revision>
  <dcterms:created xsi:type="dcterms:W3CDTF">2025-07-07T14:57:00Z</dcterms:created>
  <dcterms:modified xsi:type="dcterms:W3CDTF">2025-07-07T14:57:00Z</dcterms:modified>
</cp:coreProperties>
</file>