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DS2 4x4 24-Feature TCN-GCN Results Report</w:t>
      </w:r>
    </w:p>
    <w:p>
      <w:pPr>
        <w:jc w:val="center"/>
      </w:pPr>
      <w:r>
        <w:rPr>
          <w:i/>
        </w:rPr>
        <w:t>Temporal GCN and TCN-GCN results for NoC attack detection and malicious-router localization</w:t>
      </w:r>
    </w:p>
    <w:p>
      <w:r>
        <w:rPr>
          <w:b/>
        </w:rPr>
        <w:t xml:space="preserve">Dataset: </w:t>
      </w:r>
      <w:r>
        <w:t>data/processed/graph_dataset/paper1_temporal_graphs_ds2_4x4_portfeat.npz</w:t>
      </w:r>
    </w:p>
    <w:p>
      <w:r>
        <w:rPr>
          <w:b/>
        </w:rPr>
        <w:t xml:space="preserve">Input tensor: </w:t>
      </w:r>
      <w:r>
        <w:t>[S, 16 routers, 8 epochs, 24 features]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The 24-feature per-port directional dataset enables much stronger malicious-router localization than aggregate features.</w:t>
      </w:r>
    </w:p>
    <w:p>
      <w:pPr>
        <w:pStyle w:val="ListBullet"/>
      </w:pPr>
      <w:r>
        <w:t>The original placement split was useful but not perfectly balanced across attacker counts.</w:t>
      </w:r>
    </w:p>
    <w:p>
      <w:pPr>
        <w:pStyle w:val="ListBullet"/>
      </w:pPr>
      <w:r>
        <w:t>A balanced seed7 placement split was created so validation and test both contain 1-, 2-, and 3-attacker cases.</w:t>
      </w:r>
    </w:p>
    <w:p>
      <w:pPr>
        <w:pStyle w:val="ListBullet"/>
      </w:pPr>
      <w:r>
        <w:t>On the balanced split, TCN-GCN clearly outperforms Conv1D-GCN for graph-level detection and node-level localization.</w:t>
      </w:r>
    </w:p>
    <w:p>
      <w:pPr>
        <w:pStyle w:val="ListBullet"/>
      </w:pPr>
      <w:r>
        <w:t>Current best balanced result: TCN-GCN with graph F1 = 0.9641, node F1 = 0.9248, exact localization = 0.7723, and topK exact = 0.8996.</w:t>
      </w:r>
    </w:p>
    <w:p>
      <w:pPr>
        <w:pStyle w:val="Heading1"/>
      </w:pPr>
      <w:r>
        <w:t>Final Balanced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  <w:shd w:fill="D9EAF7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1481"/>
            <w:vAlign w:val="center"/>
            <w:shd w:fill="D9EAF7"/>
          </w:tcPr>
          <w:p>
            <w:r/>
            <w:r>
              <w:rPr>
                <w:b/>
                <w:sz w:val="18"/>
              </w:rPr>
              <w:t>Split</w:t>
            </w:r>
          </w:p>
        </w:tc>
        <w:tc>
          <w:tcPr>
            <w:tcW w:type="dxa" w:w="1481"/>
            <w:vAlign w:val="center"/>
            <w:shd w:fill="D9EAF7"/>
          </w:tcPr>
          <w:p>
            <w:r/>
            <w:r>
              <w:rPr>
                <w:b/>
                <w:sz w:val="18"/>
              </w:rPr>
              <w:t>Graph F1</w:t>
            </w:r>
          </w:p>
        </w:tc>
        <w:tc>
          <w:tcPr>
            <w:tcW w:type="dxa" w:w="1481"/>
            <w:vAlign w:val="center"/>
            <w:shd w:fill="D9EAF7"/>
          </w:tcPr>
          <w:p>
            <w:r/>
            <w:r>
              <w:rPr>
                <w:b/>
                <w:sz w:val="18"/>
              </w:rPr>
              <w:t>Node F1</w:t>
            </w:r>
          </w:p>
        </w:tc>
        <w:tc>
          <w:tcPr>
            <w:tcW w:type="dxa" w:w="1481"/>
            <w:vAlign w:val="center"/>
            <w:shd w:fill="D9EAF7"/>
          </w:tcPr>
          <w:p>
            <w:r/>
            <w:r>
              <w:rPr>
                <w:b/>
                <w:sz w:val="18"/>
              </w:rPr>
              <w:t>Exact Loc.</w:t>
            </w:r>
          </w:p>
        </w:tc>
        <w:tc>
          <w:tcPr>
            <w:tcW w:type="dxa" w:w="1481"/>
            <w:vAlign w:val="center"/>
            <w:shd w:fill="D9EAF7"/>
          </w:tcPr>
          <w:p>
            <w:r/>
            <w:r>
              <w:rPr>
                <w:b/>
                <w:sz w:val="18"/>
              </w:rPr>
              <w:t>TopK Exact</w:t>
            </w:r>
          </w:p>
        </w:tc>
        <w:tc>
          <w:tcPr>
            <w:tcW w:type="dxa" w:w="1481"/>
            <w:vAlign w:val="center"/>
            <w:shd w:fill="D9EAF7"/>
          </w:tcPr>
          <w:p>
            <w:r/>
            <w:r>
              <w:rPr>
                <w:b/>
                <w:sz w:val="18"/>
              </w:rPr>
              <w:t>Top4 All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b w:val="0"/>
                <w:sz w:val="18"/>
              </w:rPr>
              <w:t>Conv1D-GCN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8"/>
              </w:rPr>
              <w:t>balanced seed7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8"/>
              </w:rPr>
              <w:t>0.8665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8"/>
              </w:rPr>
              <w:t>0.8274 tuned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8"/>
              </w:rPr>
              <w:t>0.4168 tuned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8"/>
              </w:rPr>
              <w:t>0.8733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8"/>
              </w:rPr>
              <w:t>0.9939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b w:val="0"/>
                <w:sz w:val="18"/>
              </w:rPr>
              <w:t>TCN-GCN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8"/>
              </w:rPr>
              <w:t>balanced seed7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8"/>
              </w:rPr>
              <w:t>0.9641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8"/>
              </w:rPr>
              <w:t>0.9248 fixed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8"/>
              </w:rPr>
              <w:t>0.7723 fixed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8"/>
              </w:rPr>
              <w:t>0.8996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8"/>
              </w:rPr>
              <w:t>0.9870</w:t>
            </w:r>
          </w:p>
        </w:tc>
      </w:tr>
    </w:tbl>
    <w:p>
      <w:r>
        <w:t>Key conclusion: under the harder balanced unseen-placement split, TCN-GCN generalizes much better than Conv1D-GCN.</w:t>
      </w:r>
    </w:p>
    <w:p>
      <w:pPr>
        <w:pStyle w:val="Heading1"/>
      </w:pPr>
      <w:r>
        <w:t>1. Pre-Balanced Placement Split Results</w:t>
      </w:r>
    </w:p>
    <w:p>
      <w:r>
        <w:t>The original placement split had validation containing 1- and 2-attacker cases, while test contained 3-attacker cases. It is useful, but not perfectly balanced across attacker counts.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8"/>
              </w:rPr>
              <w:t>Best Epoch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8"/>
              </w:rPr>
              <w:t>Graph F1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8"/>
              </w:rPr>
              <w:t>Node F1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8"/>
              </w:rPr>
              <w:t>Exact Loc.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8"/>
              </w:rPr>
              <w:t>TopK Exact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Conv1D-GCN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0.9990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0.9571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0.7791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0.8927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TCN-GCN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0.9836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0.9779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0.9059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0.9411</w:t>
            </w:r>
          </w:p>
        </w:tc>
      </w:tr>
    </w:tbl>
    <w:p>
      <w:r>
        <w:t>On this original split, Conv1D-GCN is strongest for graph-level detection, while TCN-GCN substantially improves exact localization.</w:t>
      </w:r>
    </w:p>
    <w:p>
      <w:pPr>
        <w:pStyle w:val="Heading1"/>
      </w:pPr>
      <w:r>
        <w:t>2. Balanced Placement Split Results</w:t>
      </w:r>
    </w:p>
    <w:p>
      <w:r>
        <w:t>The balanced placement seed7 split includes one 1-attacker, one 2-attacker, and one 3-attacker run in both validation and test.</w:t>
      </w:r>
    </w:p>
    <w:p>
      <w:pPr>
        <w:pStyle w:val="Heading2"/>
      </w:pPr>
      <w:r>
        <w:t>2.1 Balanced Conv1D-GCN</w:t>
      </w:r>
    </w:p>
    <w:p>
      <w:pPr>
        <w:pStyle w:val="ListBullet"/>
      </w:pPr>
      <w:r>
        <w:t>Best epoch: 46</w:t>
      </w:r>
    </w:p>
    <w:p>
      <w:pPr>
        <w:pStyle w:val="ListBullet"/>
      </w:pPr>
      <w:r>
        <w:t>Fixed threshold 0.50: graph F1 = 0.8665, node F1 = 0.8232, exact localization = 0.3976.</w:t>
      </w:r>
    </w:p>
    <w:p>
      <w:pPr>
        <w:pStyle w:val="ListBullet"/>
      </w:pPr>
      <w:r>
        <w:t>Validation-selected threshold 0.60: node F1 = 0.8274, exact localization = 0.4168.</w:t>
      </w:r>
    </w:p>
    <w:p>
      <w:pPr>
        <w:pStyle w:val="ListBullet"/>
      </w:pPr>
      <w:r>
        <w:t>Top-k: top1_any = 0.9163, topK_exact = 0.8733, top4_all = 0.9939.</w:t>
      </w:r>
    </w:p>
    <w:p>
      <w:pPr>
        <w:pStyle w:val="Heading2"/>
      </w:pPr>
      <w:r>
        <w:t>2.2 Balanced TCN-GCN</w:t>
      </w:r>
    </w:p>
    <w:p>
      <w:pPr>
        <w:pStyle w:val="ListBullet"/>
      </w:pPr>
      <w:r>
        <w:t>Best epoch: 31</w:t>
      </w:r>
    </w:p>
    <w:p>
      <w:pPr>
        <w:pStyle w:val="ListBullet"/>
      </w:pPr>
      <w:r>
        <w:t>Fixed threshold 0.50: graph F1 = 0.9641, node F1 = 0.9248, exact localization = 0.7723.</w:t>
      </w:r>
    </w:p>
    <w:p>
      <w:pPr>
        <w:pStyle w:val="ListBullet"/>
      </w:pPr>
      <w:r>
        <w:t>Validation-selected threshold 0.55: node F1 = 0.9235, exact localization = 0.7670.</w:t>
      </w:r>
    </w:p>
    <w:p>
      <w:pPr>
        <w:pStyle w:val="ListBullet"/>
      </w:pPr>
      <w:r>
        <w:t>Top-k: top1_any = 0.9156, topK_exact = 0.8996, top4_all = 0.9870.</w:t>
      </w:r>
    </w:p>
    <w:p>
      <w:pPr>
        <w:pStyle w:val="ListBullet"/>
      </w:pPr>
      <w:r>
        <w:t>Per-attacker-count topK_exact: 1 attacker = 0.7990, 2 attackers = 0.9517, 3 attackers = 0.9481.</w:t>
      </w:r>
    </w:p>
    <w:p>
      <w:pPr>
        <w:pStyle w:val="Heading1"/>
      </w:pPr>
      <w:r>
        <w:t>3. Metric Comparison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</w:tblGrid>
      <w:tr>
        <w:tc>
          <w:tcPr>
            <w:tcW w:type="dxa" w:w="943"/>
            <w:vAlign w:val="center"/>
            <w:shd w:fill="D9EAF7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943"/>
            <w:vAlign w:val="center"/>
            <w:shd w:fill="D9EAF7"/>
          </w:tcPr>
          <w:p>
            <w:r/>
            <w:r>
              <w:rPr>
                <w:b/>
                <w:sz w:val="18"/>
              </w:rPr>
              <w:t>split</w:t>
            </w:r>
          </w:p>
        </w:tc>
        <w:tc>
          <w:tcPr>
            <w:tcW w:type="dxa" w:w="943"/>
            <w:vAlign w:val="center"/>
            <w:shd w:fill="D9EAF7"/>
          </w:tcPr>
          <w:p>
            <w:r/>
            <w:r>
              <w:rPr>
                <w:b/>
                <w:sz w:val="18"/>
              </w:rPr>
              <w:t>threshold_type</w:t>
            </w:r>
          </w:p>
        </w:tc>
        <w:tc>
          <w:tcPr>
            <w:tcW w:type="dxa" w:w="943"/>
            <w:vAlign w:val="center"/>
            <w:shd w:fill="D9EAF7"/>
          </w:tcPr>
          <w:p>
            <w:r/>
            <w:r>
              <w:rPr>
                <w:b/>
                <w:sz w:val="18"/>
              </w:rPr>
              <w:t>graph_f1</w:t>
            </w:r>
          </w:p>
        </w:tc>
        <w:tc>
          <w:tcPr>
            <w:tcW w:type="dxa" w:w="943"/>
            <w:vAlign w:val="center"/>
            <w:shd w:fill="D9EAF7"/>
          </w:tcPr>
          <w:p>
            <w:r/>
            <w:r>
              <w:rPr>
                <w:b/>
                <w:sz w:val="18"/>
              </w:rPr>
              <w:t>node_precision</w:t>
            </w:r>
          </w:p>
        </w:tc>
        <w:tc>
          <w:tcPr>
            <w:tcW w:type="dxa" w:w="943"/>
            <w:vAlign w:val="center"/>
            <w:shd w:fill="D9EAF7"/>
          </w:tcPr>
          <w:p>
            <w:r/>
            <w:r>
              <w:rPr>
                <w:b/>
                <w:sz w:val="18"/>
              </w:rPr>
              <w:t>node_recall</w:t>
            </w:r>
          </w:p>
        </w:tc>
        <w:tc>
          <w:tcPr>
            <w:tcW w:type="dxa" w:w="943"/>
            <w:vAlign w:val="center"/>
            <w:shd w:fill="D9EAF7"/>
          </w:tcPr>
          <w:p>
            <w:r/>
            <w:r>
              <w:rPr>
                <w:b/>
                <w:sz w:val="18"/>
              </w:rPr>
              <w:t>node_f1</w:t>
            </w:r>
          </w:p>
        </w:tc>
        <w:tc>
          <w:tcPr>
            <w:tcW w:type="dxa" w:w="943"/>
            <w:vAlign w:val="center"/>
            <w:shd w:fill="D9EAF7"/>
          </w:tcPr>
          <w:p>
            <w:r/>
            <w:r>
              <w:rPr>
                <w:b/>
                <w:sz w:val="18"/>
              </w:rPr>
              <w:t>exact_localization</w:t>
            </w:r>
          </w:p>
        </w:tc>
        <w:tc>
          <w:tcPr>
            <w:tcW w:type="dxa" w:w="943"/>
            <w:vAlign w:val="center"/>
            <w:shd w:fill="D9EAF7"/>
          </w:tcPr>
          <w:p>
            <w:r/>
            <w:r>
              <w:rPr>
                <w:b/>
                <w:sz w:val="18"/>
              </w:rPr>
              <w:t>top1_any</w:t>
            </w:r>
          </w:p>
        </w:tc>
        <w:tc>
          <w:tcPr>
            <w:tcW w:type="dxa" w:w="943"/>
            <w:vAlign w:val="center"/>
            <w:shd w:fill="D9EAF7"/>
          </w:tcPr>
          <w:p>
            <w:r/>
            <w:r>
              <w:rPr>
                <w:b/>
                <w:sz w:val="18"/>
              </w:rPr>
              <w:t>topK_exact</w:t>
            </w:r>
          </w:p>
        </w:tc>
        <w:tc>
          <w:tcPr>
            <w:tcW w:type="dxa" w:w="943"/>
            <w:vAlign w:val="center"/>
            <w:shd w:fill="D9EAF7"/>
          </w:tcPr>
          <w:p>
            <w:r/>
            <w:r>
              <w:rPr>
                <w:b/>
                <w:sz w:val="18"/>
              </w:rPr>
              <w:t>top4_all</w:t>
            </w:r>
          </w:p>
        </w:tc>
      </w:tr>
      <w:tr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Conv1D-GCN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pre_balanced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fixed_0.50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0.9990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0.9284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0.9876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0.9571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0.7791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0.9886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0.8927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0.9953</w:t>
            </w:r>
          </w:p>
        </w:tc>
      </w:tr>
      <w:tr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TCN-GCN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pre_balanced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fixed_0.50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0.9836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0.9711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0.9849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0.9779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0.9059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0.9932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0.9411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0.9941</w:t>
            </w:r>
          </w:p>
        </w:tc>
      </w:tr>
      <w:tr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Conv1D-GCN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balanced_seed7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tuned_0.60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0.8665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0.8118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0.8436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0.8274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0.4168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0.9163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0.8733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0.9939</w:t>
            </w:r>
          </w:p>
        </w:tc>
      </w:tr>
      <w:tr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TCN-GCN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balanced_seed7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fixed_0.50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0.9641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0.9315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0.9182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0.9248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0.7723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0.9156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0.8996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0.9870</w:t>
            </w:r>
          </w:p>
        </w:tc>
      </w:tr>
      <w:tr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TCN-GCN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balanced_seed7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tuned_0.55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0.9641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0.9331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0.9142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0.9235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0.7670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0.9156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0.8996</w:t>
            </w:r>
          </w:p>
        </w:tc>
        <w:tc>
          <w:tcPr>
            <w:tcW w:type="dxa" w:w="943"/>
            <w:vAlign w:val="center"/>
          </w:tcPr>
          <w:p>
            <w:r/>
            <w:r>
              <w:rPr>
                <w:b w:val="0"/>
                <w:sz w:val="18"/>
              </w:rPr>
              <w:t>0.9870</w:t>
            </w:r>
          </w:p>
        </w:tc>
      </w:tr>
    </w:tbl>
    <w:p>
      <w:pPr>
        <w:pStyle w:val="Heading1"/>
      </w:pPr>
      <w:r>
        <w:t>4. Hardware / RTL Interpretation</w:t>
      </w:r>
    </w:p>
    <w:p>
      <w:pPr>
        <w:pStyle w:val="ListBullet"/>
      </w:pPr>
      <w:r>
        <w:t>Conv1D-GCN remains the cleaner first RTL accelerator target because its temporal encoder is simpler.</w:t>
      </w:r>
    </w:p>
    <w:p>
      <w:pPr>
        <w:pStyle w:val="ListBullet"/>
      </w:pPr>
      <w:r>
        <w:t>TCN-GCN is the accuracy/localization-optimized reference model and motivates a stronger temporal encoder.</w:t>
      </w:r>
    </w:p>
    <w:p>
      <w:pPr>
        <w:pStyle w:val="ListBullet"/>
      </w:pPr>
      <w:r>
        <w:t>The next VLSI-facing experiment should be feature ablation to determine whether all 24 features are required or whether a smaller monitor feature set can preserve localization performance.</w:t>
      </w:r>
    </w:p>
    <w:p>
      <w:pPr>
        <w:pStyle w:val="Heading1"/>
      </w:pPr>
      <w:r>
        <w:t>5. Recommended Next Steps</w:t>
      </w:r>
    </w:p>
    <w:p>
      <w:pPr>
        <w:pStyle w:val="ListNumber"/>
      </w:pPr>
      <w:r>
        <w:t>Commit this report package and all scripts used for balanced splitting/evaluation.</w:t>
      </w:r>
    </w:p>
    <w:p>
      <w:pPr>
        <w:pStyle w:val="ListNumber"/>
      </w:pPr>
      <w:r>
        <w:t>Run feature ablation: aggregate 4 features, port counts only, port IFD only, and all 24 features.</w:t>
      </w:r>
    </w:p>
    <w:p>
      <w:pPr>
        <w:pStyle w:val="ListNumber"/>
      </w:pPr>
      <w:r>
        <w:t>Run multi-seed balanced splits if time allows.</w:t>
      </w:r>
    </w:p>
    <w:p>
      <w:pPr>
        <w:pStyle w:val="ListNumber"/>
      </w:pPr>
      <w:r>
        <w:t>Begin fixed-point/quantization study for the Conv1D-GCN RTL baseline.</w:t>
      </w:r>
    </w:p>
    <w:p>
      <w:r>
        <w:t>Report generated for reports/tcn-gcn-ds-24feature. Metrics are based on the logged outputs shared during the DS2 4x4 24-feature balanced split experiments.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