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DS2 4x4 Port-Feature Temporal GCN Results Report</w:t>
      </w:r>
    </w:p>
    <w:p>
      <w:pPr>
        <w:jc w:val="center"/>
      </w:pPr>
      <w:r>
        <w:rPr>
          <w:i/>
          <w:sz w:val="28"/>
        </w:rPr>
        <w:t>NoC DoS Detection and Attacker-Router Localization</w:t>
      </w:r>
    </w:p>
    <w:p>
      <w:pPr>
        <w:jc w:val="center"/>
      </w:pPr>
      <w:r>
        <w:rPr>
          <w:sz w:val="22"/>
        </w:rPr>
        <w:t>GNN-2d project checkpoint document</w:t>
      </w:r>
    </w:p>
    <w:tbl>
      <w:tblPr>
        <w:tblStyle w:val="TableGrid"/>
        <w:tblW w:type="auto" w:w="0"/>
        <w:tblLook w:firstColumn="1" w:firstRow="1" w:lastColumn="0" w:lastRow="0" w:noHBand="0" w:noVBand="1" w:val="04A0"/>
      </w:tblPr>
      <w:tblGrid>
        <w:gridCol w:w="10368"/>
      </w:tblGrid>
      <w:tr>
        <w:tc>
          <w:tcPr>
            <w:tcW w:type="dxa" w:w="10368"/>
            <w:shd w:fill="EAF2F8"/>
          </w:tcPr>
          <w:p>
            <w:r>
              <w:rPr>
                <w:b/>
                <w:color w:val="1F4E79"/>
              </w:rPr>
              <w:t>Headline result</w:t>
            </w:r>
          </w:p>
          <w:p>
            <w:pPr>
              <w:spacing w:after="0"/>
            </w:pPr>
            <w:r>
              <w:t>Placement split, 24-feature port/directional dataset, fixed threshold 0.50:</w:t>
            </w:r>
          </w:p>
          <w:p>
            <w:pPr>
              <w:spacing w:after="0"/>
            </w:pPr>
            <w:r>
              <w:t>Graph F1 = 0.9990; Node F1 = 0.9572; Exact localization = 0.7798; TopK exact = 0.8934.</w:t>
            </w:r>
          </w:p>
          <w:p>
            <w:pPr>
              <w:spacing w:after="0"/>
            </w:pPr>
            <w:r>
              <w:t>Main takeaway: aggregate features detect attacks, but directional per-port features are needed for accurate localization.</w:t>
            </w:r>
          </w:p>
        </w:tc>
      </w:tr>
    </w:tbl>
    <w:p/>
    <w:p>
      <w:pPr>
        <w:pStyle w:val="Heading1"/>
      </w:pPr>
      <w:r>
        <w:t>1. Executive summary</w:t>
      </w:r>
    </w:p>
    <w:p>
      <w:r>
        <w:t>This document summarizes the DS2 4x4 port-feature Temporal GCN experiment. The previous aggregate-feature baseline could detect the presence of NoC DoS attacks well, but localization was weak because each router only had total input/output behavior. The new 24-feature dataset adds local/north/east/south/west directional traffic information, which allows the same Temporal GCN architecture to distinguish attacker routers from forwarding or congested neighbor routers.</w:t>
      </w:r>
    </w:p>
    <w:p>
      <w:r>
        <w:t>The central result is that the bottleneck was feature representation, not the GNN architecture. With per-port directional features, node localization improved substantially while graph-level detection remained strong.</w:t>
      </w:r>
    </w:p>
    <w:p>
      <w:pPr>
        <w:pStyle w:val="Heading1"/>
      </w:pPr>
      <w:r>
        <w:t>2. Dataset evolution</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3168"/>
            <w:shd w:fill="1F4E79"/>
            <w:vAlign w:val="center"/>
          </w:tcPr>
          <w:p>
            <w:pPr>
              <w:jc w:val="center"/>
            </w:pPr>
            <w:r>
              <w:rPr>
                <w:b/>
                <w:color w:val="FFFFFF"/>
              </w:rPr>
              <w:t>Dataset</w:t>
            </w:r>
          </w:p>
        </w:tc>
        <w:tc>
          <w:tcPr>
            <w:tcW w:type="dxa" w:w="1944"/>
            <w:shd w:fill="1F4E79"/>
            <w:vAlign w:val="center"/>
          </w:tcPr>
          <w:p>
            <w:pPr>
              <w:jc w:val="center"/>
            </w:pPr>
            <w:r>
              <w:rPr>
                <w:b/>
                <w:color w:val="FFFFFF"/>
              </w:rPr>
              <w:t>Shape</w:t>
            </w:r>
          </w:p>
        </w:tc>
        <w:tc>
          <w:tcPr>
            <w:tcW w:type="dxa" w:w="3240"/>
            <w:shd w:fill="1F4E79"/>
            <w:vAlign w:val="center"/>
          </w:tcPr>
          <w:p>
            <w:pPr>
              <w:jc w:val="center"/>
            </w:pPr>
            <w:r>
              <w:rPr>
                <w:b/>
                <w:color w:val="FFFFFF"/>
              </w:rPr>
              <w:t>Features</w:t>
            </w:r>
          </w:p>
        </w:tc>
        <w:tc>
          <w:tcPr>
            <w:tcW w:type="dxa" w:w="2664"/>
            <w:shd w:fill="1F4E79"/>
            <w:vAlign w:val="center"/>
          </w:tcPr>
          <w:p>
            <w:pPr>
              <w:jc w:val="center"/>
            </w:pPr>
            <w:r>
              <w:rPr>
                <w:b/>
                <w:color w:val="FFFFFF"/>
              </w:rPr>
              <w:t>Role</w:t>
            </w:r>
          </w:p>
        </w:tc>
      </w:tr>
      <w:tr>
        <w:tc>
          <w:tcPr>
            <w:tcW w:type="dxa" w:w="3168"/>
            <w:vAlign w:val="center"/>
          </w:tcPr>
          <w:p>
            <w:pPr>
              <w:spacing w:after="0"/>
            </w:pPr>
            <w:r>
              <w:t>paper1_temporal_graphs_full.npz</w:t>
            </w:r>
          </w:p>
        </w:tc>
        <w:tc>
          <w:tcPr>
            <w:tcW w:type="dxa" w:w="1944"/>
            <w:vAlign w:val="center"/>
          </w:tcPr>
          <w:p>
            <w:pPr>
              <w:spacing w:after="0"/>
            </w:pPr>
            <w:r>
              <w:t>(42809, 16, 8, 2)</w:t>
            </w:r>
          </w:p>
        </w:tc>
        <w:tc>
          <w:tcPr>
            <w:tcW w:type="dxa" w:w="3240"/>
            <w:vAlign w:val="center"/>
          </w:tcPr>
          <w:p>
            <w:pPr>
              <w:spacing w:after="0"/>
              <w:jc w:val="center"/>
            </w:pPr>
            <w:r>
              <w:t>ifd_in_norm, ifd_out_norm</w:t>
            </w:r>
          </w:p>
        </w:tc>
        <w:tc>
          <w:tcPr>
            <w:tcW w:type="dxa" w:w="2664"/>
            <w:vAlign w:val="center"/>
          </w:tcPr>
          <w:p>
            <w:pPr>
              <w:spacing w:after="0"/>
              <w:jc w:val="center"/>
            </w:pPr>
            <w:r>
              <w:t>Original IFD-only baseline</w:t>
            </w:r>
          </w:p>
        </w:tc>
      </w:tr>
      <w:tr>
        <w:tc>
          <w:tcPr>
            <w:tcW w:type="dxa" w:w="3168"/>
            <w:vAlign w:val="center"/>
          </w:tcPr>
          <w:p>
            <w:pPr>
              <w:spacing w:after="0"/>
            </w:pPr>
            <w:r>
              <w:t>paper1_temporal_graphs_full_4feat.npz</w:t>
            </w:r>
          </w:p>
        </w:tc>
        <w:tc>
          <w:tcPr>
            <w:tcW w:type="dxa" w:w="1944"/>
            <w:vAlign w:val="center"/>
          </w:tcPr>
          <w:p>
            <w:pPr>
              <w:spacing w:after="0"/>
            </w:pPr>
            <w:r>
              <w:t>(42809, 16, 8, 4)</w:t>
            </w:r>
          </w:p>
        </w:tc>
        <w:tc>
          <w:tcPr>
            <w:tcW w:type="dxa" w:w="3240"/>
            <w:vAlign w:val="center"/>
          </w:tcPr>
          <w:p>
            <w:pPr>
              <w:spacing w:after="0"/>
              <w:jc w:val="center"/>
            </w:pPr>
            <w:r>
              <w:t>IFD + aggregate flit counts</w:t>
            </w:r>
          </w:p>
        </w:tc>
        <w:tc>
          <w:tcPr>
            <w:tcW w:type="dxa" w:w="2664"/>
            <w:vAlign w:val="center"/>
          </w:tcPr>
          <w:p>
            <w:pPr>
              <w:spacing w:after="0"/>
              <w:jc w:val="center"/>
            </w:pPr>
            <w:r>
              <w:t>Aggregate traffic baseline</w:t>
            </w:r>
          </w:p>
        </w:tc>
      </w:tr>
      <w:tr>
        <w:tc>
          <w:tcPr>
            <w:tcW w:type="dxa" w:w="3168"/>
            <w:vAlign w:val="center"/>
          </w:tcPr>
          <w:p>
            <w:pPr>
              <w:spacing w:after="0"/>
            </w:pPr>
            <w:r>
              <w:t>paper1_temporal_graphs_ds2_4x4_portfeat.npz</w:t>
            </w:r>
          </w:p>
        </w:tc>
        <w:tc>
          <w:tcPr>
            <w:tcW w:type="dxa" w:w="1944"/>
            <w:vAlign w:val="center"/>
          </w:tcPr>
          <w:p>
            <w:pPr>
              <w:spacing w:after="0"/>
            </w:pPr>
            <w:r>
              <w:t>(42809, 16, 8, 24)</w:t>
            </w:r>
          </w:p>
        </w:tc>
        <w:tc>
          <w:tcPr>
            <w:tcW w:type="dxa" w:w="3240"/>
            <w:vAlign w:val="center"/>
          </w:tcPr>
          <w:p>
            <w:pPr>
              <w:spacing w:after="0"/>
              <w:jc w:val="center"/>
            </w:pPr>
            <w:r>
              <w:t>Aggregate + per-port directional counts/IFDs</w:t>
            </w:r>
          </w:p>
        </w:tc>
        <w:tc>
          <w:tcPr>
            <w:tcW w:type="dxa" w:w="2664"/>
            <w:vAlign w:val="center"/>
          </w:tcPr>
          <w:p>
            <w:pPr>
              <w:spacing w:after="0"/>
              <w:jc w:val="center"/>
            </w:pPr>
            <w:r>
              <w:t>Final localization dataset</w:t>
            </w:r>
          </w:p>
        </w:tc>
      </w:tr>
    </w:tbl>
    <w:p/>
    <w:p>
      <w:r>
        <w:t>The old datasets only described total router behavior. The 24-feature dataset adds directional behavior for local, north, east, south, and west ports. This gives the model path information rather than only congestion intensity.</w:t>
      </w:r>
    </w:p>
    <w:p>
      <w:pPr>
        <w:pStyle w:val="Heading1"/>
      </w:pPr>
      <w:r>
        <w:t>3. Model architecture</w:t>
      </w:r>
    </w:p>
    <w:p>
      <w:r>
        <w:t>The same Temporal GCN architecture was used across the aggregate and port-feature experiments.</w:t>
      </w:r>
    </w:p>
    <w:p>
      <w:pPr>
        <w:pStyle w:val="CodeBlock"/>
      </w:pPr>
      <w:r>
        <w:rPr>
          <w:rFonts w:ascii="Consolas" w:hAnsi="Consolas"/>
          <w:sz w:val="16"/>
        </w:rPr>
        <w:t>Input tensor: x = [samples, routers, time_window, features]</w:t>
        <w:br/>
        <w:t>For DS2 port features: x = (42809, 16, 8, 24)</w:t>
      </w:r>
    </w:p>
    <w:p>
      <w:pPr>
        <w:pStyle w:val="CodeBlock"/>
      </w:pPr>
      <w:r>
        <w:rPr>
          <w:rFonts w:ascii="Consolas" w:hAnsi="Consolas"/>
          <w:sz w:val="16"/>
        </w:rPr>
        <w:t>router temporal features</w:t>
        <w:br/>
        <w:t xml:space="preserve">    ↓</w:t>
        <w:br/>
        <w:t>1D temporal convolution per router</w:t>
        <w:br/>
        <w:t xml:space="preserve">    ↓</w:t>
        <w:br/>
        <w:t>router embeddings</w:t>
        <w:br/>
        <w:t xml:space="preserve">    ↓</w:t>
        <w:br/>
        <w:t>2-layer GCN over 4x4 mesh</w:t>
        <w:br/>
        <w:t xml:space="preserve">    ↓</w:t>
        <w:br/>
        <w:t>graph head + node head</w:t>
      </w:r>
    </w:p>
    <w:p>
      <w:r>
        <w:t>The temporal encoder is a 1D convolution over the 8-step time window for each router independently. Spatial information is modeled by graph convolution over the 4x4 NoC mesh adjacency.</w:t>
      </w:r>
    </w:p>
    <w:p>
      <w:pPr>
        <w:pStyle w:val="Heading1"/>
      </w:pPr>
      <w:r>
        <w:t>4. Why the 24 features helped</w:t>
      </w:r>
    </w:p>
    <w:p>
      <w:r>
        <w:t>Aggregate features tell the model that a router has high traffic or changed inter-flit delay, but not where that traffic came from or where it is going. In a mesh NoC, congestion spreads spatially, so an attacker router and its neighbors can look similar if direction is missing.</w:t>
      </w:r>
    </w:p>
    <w:tbl>
      <w:tblPr>
        <w:tblStyle w:val="TableGrid"/>
        <w:tblW w:type="auto" w:w="0"/>
        <w:jc w:val="center"/>
        <w:tblLayout w:type="autofit"/>
        <w:tblLook w:firstColumn="1" w:firstRow="1" w:lastColumn="0" w:lastRow="0" w:noHBand="0" w:noVBand="1" w:val="04A0"/>
      </w:tblPr>
      <w:tblGrid>
        <w:gridCol w:w="5184"/>
        <w:gridCol w:w="5184"/>
      </w:tblGrid>
      <w:tr>
        <w:tc>
          <w:tcPr>
            <w:tcW w:type="dxa" w:w="4896"/>
            <w:shd w:fill="1F4E79"/>
            <w:vAlign w:val="center"/>
          </w:tcPr>
          <w:p>
            <w:pPr>
              <w:jc w:val="center"/>
            </w:pPr>
            <w:r>
              <w:rPr>
                <w:b/>
                <w:color w:val="FFFFFF"/>
              </w:rPr>
              <w:t>Aggregate feature view</w:t>
            </w:r>
          </w:p>
        </w:tc>
        <w:tc>
          <w:tcPr>
            <w:tcW w:type="dxa" w:w="4896"/>
            <w:shd w:fill="1F4E79"/>
            <w:vAlign w:val="center"/>
          </w:tcPr>
          <w:p>
            <w:pPr>
              <w:jc w:val="center"/>
            </w:pPr>
            <w:r>
              <w:rPr>
                <w:b/>
                <w:color w:val="FFFFFF"/>
              </w:rPr>
              <w:t>Port/directional feature view</w:t>
            </w:r>
          </w:p>
        </w:tc>
      </w:tr>
      <w:tr>
        <w:tc>
          <w:tcPr>
            <w:tcW w:type="dxa" w:w="4896"/>
            <w:vAlign w:val="center"/>
          </w:tcPr>
          <w:p>
            <w:pPr>
              <w:spacing w:after="0"/>
            </w:pPr>
            <w:r>
              <w:t>Router X has high input traffic.</w:t>
            </w:r>
          </w:p>
        </w:tc>
        <w:tc>
          <w:tcPr>
            <w:tcW w:type="dxa" w:w="4896"/>
            <w:vAlign w:val="center"/>
          </w:tcPr>
          <w:p>
            <w:pPr>
              <w:spacing w:after="0"/>
            </w:pPr>
            <w:r>
              <w:t>Traffic entered from west and exited east.</w:t>
            </w:r>
          </w:p>
        </w:tc>
      </w:tr>
      <w:tr>
        <w:tc>
          <w:tcPr>
            <w:tcW w:type="dxa" w:w="4896"/>
            <w:vAlign w:val="center"/>
          </w:tcPr>
          <w:p>
            <w:pPr>
              <w:spacing w:after="0"/>
            </w:pPr>
            <w:r>
              <w:t>Router X has high output traffic.</w:t>
            </w:r>
          </w:p>
        </w:tc>
        <w:tc>
          <w:tcPr>
            <w:tcW w:type="dxa" w:w="4896"/>
            <w:vAlign w:val="center"/>
          </w:tcPr>
          <w:p>
            <w:pPr>
              <w:spacing w:after="0"/>
            </w:pPr>
            <w:r>
              <w:t>Local injection increased at router X.</w:t>
            </w:r>
          </w:p>
        </w:tc>
      </w:tr>
      <w:tr>
        <w:tc>
          <w:tcPr>
            <w:tcW w:type="dxa" w:w="4896"/>
            <w:vAlign w:val="center"/>
          </w:tcPr>
          <w:p>
            <w:pPr>
              <w:spacing w:after="0"/>
            </w:pPr>
            <w:r>
              <w:t>Router X has changed inter-flit delay.</w:t>
            </w:r>
          </w:p>
        </w:tc>
        <w:tc>
          <w:tcPr>
            <w:tcW w:type="dxa" w:w="4896"/>
            <w:vAlign w:val="center"/>
          </w:tcPr>
          <w:p>
            <w:pPr>
              <w:spacing w:after="0"/>
            </w:pPr>
            <w:r>
              <w:t>North or south port became congested along a path.</w:t>
            </w:r>
          </w:p>
        </w:tc>
      </w:tr>
      <w:tr>
        <w:tc>
          <w:tcPr>
            <w:tcW w:type="dxa" w:w="4896"/>
            <w:vAlign w:val="center"/>
          </w:tcPr>
          <w:p>
            <w:pPr>
              <w:spacing w:after="0"/>
            </w:pPr>
            <w:r>
              <w:t>Cannot separate source and forwarding behavior clearly.</w:t>
            </w:r>
          </w:p>
        </w:tc>
        <w:tc>
          <w:tcPr>
            <w:tcW w:type="dxa" w:w="4896"/>
            <w:vAlign w:val="center"/>
          </w:tcPr>
          <w:p>
            <w:pPr>
              <w:spacing w:after="0"/>
            </w:pPr>
            <w:r>
              <w:t>Can distinguish attacker, forwarding neighbor, and victim-side congestion.</w:t>
            </w:r>
          </w:p>
        </w:tc>
      </w:tr>
    </w:tbl>
    <w:p/>
    <w:p>
      <w:pPr>
        <w:pStyle w:val="Heading1"/>
      </w:pPr>
      <w:r>
        <w:t>5. Main result comparison</w:t>
      </w:r>
    </w:p>
    <w:tbl>
      <w:tblPr>
        <w:tblStyle w:val="TableGrid"/>
        <w:tblW w:type="auto" w:w="0"/>
        <w:jc w:val="center"/>
        <w:tblLayout w:type="autofit"/>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2088"/>
            <w:shd w:fill="1F4E79"/>
            <w:vAlign w:val="center"/>
          </w:tcPr>
          <w:p>
            <w:pPr>
              <w:jc w:val="center"/>
            </w:pPr>
            <w:r>
              <w:rPr>
                <w:b/>
                <w:color w:val="FFFFFF"/>
              </w:rPr>
              <w:t>Feature set</w:t>
            </w:r>
          </w:p>
        </w:tc>
        <w:tc>
          <w:tcPr>
            <w:tcW w:type="dxa" w:w="1080"/>
            <w:shd w:fill="1F4E79"/>
            <w:vAlign w:val="center"/>
          </w:tcPr>
          <w:p>
            <w:pPr>
              <w:jc w:val="center"/>
            </w:pPr>
            <w:r>
              <w:rPr>
                <w:b/>
                <w:color w:val="FFFFFF"/>
              </w:rPr>
              <w:t>Split</w:t>
            </w:r>
          </w:p>
        </w:tc>
        <w:tc>
          <w:tcPr>
            <w:tcW w:type="dxa" w:w="1152"/>
            <w:shd w:fill="1F4E79"/>
            <w:vAlign w:val="center"/>
          </w:tcPr>
          <w:p>
            <w:pPr>
              <w:jc w:val="center"/>
            </w:pPr>
            <w:r>
              <w:rPr>
                <w:b/>
                <w:color w:val="FFFFFF"/>
              </w:rPr>
              <w:t>Threshold</w:t>
            </w:r>
          </w:p>
        </w:tc>
        <w:tc>
          <w:tcPr>
            <w:tcW w:type="dxa" w:w="936"/>
            <w:shd w:fill="1F4E79"/>
            <w:vAlign w:val="center"/>
          </w:tcPr>
          <w:p>
            <w:pPr>
              <w:jc w:val="center"/>
            </w:pPr>
            <w:r>
              <w:rPr>
                <w:b/>
                <w:color w:val="FFFFFF"/>
              </w:rPr>
              <w:t>Graph F1</w:t>
            </w:r>
          </w:p>
        </w:tc>
        <w:tc>
          <w:tcPr>
            <w:tcW w:type="dxa" w:w="1152"/>
            <w:shd w:fill="1F4E79"/>
            <w:vAlign w:val="center"/>
          </w:tcPr>
          <w:p>
            <w:pPr>
              <w:jc w:val="center"/>
            </w:pPr>
            <w:r>
              <w:rPr>
                <w:b/>
                <w:color w:val="FFFFFF"/>
              </w:rPr>
              <w:t>Node precision</w:t>
            </w:r>
          </w:p>
        </w:tc>
        <w:tc>
          <w:tcPr>
            <w:tcW w:type="dxa" w:w="1152"/>
            <w:shd w:fill="1F4E79"/>
            <w:vAlign w:val="center"/>
          </w:tcPr>
          <w:p>
            <w:pPr>
              <w:jc w:val="center"/>
            </w:pPr>
            <w:r>
              <w:rPr>
                <w:b/>
                <w:color w:val="FFFFFF"/>
              </w:rPr>
              <w:t>Node recall</w:t>
            </w:r>
          </w:p>
        </w:tc>
        <w:tc>
          <w:tcPr>
            <w:tcW w:type="dxa" w:w="936"/>
            <w:shd w:fill="1F4E79"/>
            <w:vAlign w:val="center"/>
          </w:tcPr>
          <w:p>
            <w:pPr>
              <w:jc w:val="center"/>
            </w:pPr>
            <w:r>
              <w:rPr>
                <w:b/>
                <w:color w:val="FFFFFF"/>
              </w:rPr>
              <w:t>Node F1</w:t>
            </w:r>
          </w:p>
        </w:tc>
        <w:tc>
          <w:tcPr>
            <w:tcW w:type="dxa" w:w="1008"/>
            <w:shd w:fill="1F4E79"/>
            <w:vAlign w:val="center"/>
          </w:tcPr>
          <w:p>
            <w:pPr>
              <w:jc w:val="center"/>
            </w:pPr>
            <w:r>
              <w:rPr>
                <w:b/>
                <w:color w:val="FFFFFF"/>
              </w:rPr>
              <w:t>Exact loc.</w:t>
            </w:r>
          </w:p>
        </w:tc>
        <w:tc>
          <w:tcPr>
            <w:tcW w:type="dxa" w:w="1008"/>
            <w:shd w:fill="1F4E79"/>
            <w:vAlign w:val="center"/>
          </w:tcPr>
          <w:p>
            <w:pPr>
              <w:jc w:val="center"/>
            </w:pPr>
            <w:r>
              <w:rPr>
                <w:b/>
                <w:color w:val="FFFFFF"/>
              </w:rPr>
              <w:t>TopK exact</w:t>
            </w:r>
          </w:p>
        </w:tc>
      </w:tr>
      <w:tr>
        <w:tc>
          <w:tcPr>
            <w:tcW w:type="dxa" w:w="2088"/>
            <w:vAlign w:val="center"/>
          </w:tcPr>
          <w:p>
            <w:pPr>
              <w:spacing w:after="0"/>
            </w:pPr>
            <w:r>
              <w:t>Aggregate 4-feature</w:t>
            </w:r>
          </w:p>
        </w:tc>
        <w:tc>
          <w:tcPr>
            <w:tcW w:type="dxa" w:w="1080"/>
            <w:vAlign w:val="center"/>
          </w:tcPr>
          <w:p>
            <w:pPr>
              <w:spacing w:after="0"/>
            </w:pPr>
            <w:r>
              <w:t>Prototype</w:t>
            </w:r>
          </w:p>
        </w:tc>
        <w:tc>
          <w:tcPr>
            <w:tcW w:type="dxa" w:w="1152"/>
            <w:vAlign w:val="center"/>
          </w:tcPr>
          <w:p>
            <w:pPr>
              <w:spacing w:after="0"/>
              <w:jc w:val="center"/>
            </w:pPr>
            <w:r>
              <w:t>Tuned</w:t>
            </w:r>
          </w:p>
        </w:tc>
        <w:tc>
          <w:tcPr>
            <w:tcW w:type="dxa" w:w="936"/>
            <w:vAlign w:val="center"/>
          </w:tcPr>
          <w:p>
            <w:pPr>
              <w:spacing w:after="0"/>
              <w:jc w:val="center"/>
            </w:pPr>
            <w:r>
              <w:t>0.9996</w:t>
            </w:r>
          </w:p>
        </w:tc>
        <w:tc>
          <w:tcPr>
            <w:tcW w:type="dxa" w:w="1152"/>
            <w:vAlign w:val="center"/>
          </w:tcPr>
          <w:p>
            <w:pPr>
              <w:spacing w:after="0"/>
              <w:jc w:val="center"/>
            </w:pPr>
            <w:r>
              <w:t>0.2366</w:t>
            </w:r>
          </w:p>
        </w:tc>
        <w:tc>
          <w:tcPr>
            <w:tcW w:type="dxa" w:w="1152"/>
            <w:vAlign w:val="center"/>
          </w:tcPr>
          <w:p>
            <w:pPr>
              <w:spacing w:after="0"/>
              <w:jc w:val="center"/>
            </w:pPr>
            <w:r>
              <w:t>0.7857</w:t>
            </w:r>
          </w:p>
        </w:tc>
        <w:tc>
          <w:tcPr>
            <w:tcW w:type="dxa" w:w="936"/>
            <w:vAlign w:val="center"/>
          </w:tcPr>
          <w:p>
            <w:pPr>
              <w:spacing w:after="0"/>
              <w:jc w:val="center"/>
            </w:pPr>
            <w:r>
              <w:t>0.3637</w:t>
            </w:r>
          </w:p>
        </w:tc>
        <w:tc>
          <w:tcPr>
            <w:tcW w:type="dxa" w:w="1008"/>
            <w:vAlign w:val="center"/>
          </w:tcPr>
          <w:p>
            <w:pPr>
              <w:spacing w:after="0"/>
              <w:jc w:val="center"/>
            </w:pPr>
            <w:r>
              <w:t>0.1141</w:t>
            </w:r>
          </w:p>
        </w:tc>
        <w:tc>
          <w:tcPr>
            <w:tcW w:type="dxa" w:w="1008"/>
            <w:vAlign w:val="center"/>
          </w:tcPr>
          <w:p>
            <w:pPr>
              <w:spacing w:after="0"/>
              <w:jc w:val="center"/>
            </w:pPr>
            <w:r>
              <w:t>0.1763</w:t>
            </w:r>
          </w:p>
        </w:tc>
      </w:tr>
      <w:tr>
        <w:tc>
          <w:tcPr>
            <w:tcW w:type="dxa" w:w="2088"/>
            <w:vAlign w:val="center"/>
          </w:tcPr>
          <w:p>
            <w:pPr>
              <w:spacing w:after="0"/>
            </w:pPr>
            <w:r>
              <w:t>Port 24-feature</w:t>
            </w:r>
          </w:p>
        </w:tc>
        <w:tc>
          <w:tcPr>
            <w:tcW w:type="dxa" w:w="1080"/>
            <w:vAlign w:val="center"/>
          </w:tcPr>
          <w:p>
            <w:pPr>
              <w:spacing w:after="0"/>
            </w:pPr>
            <w:r>
              <w:t>Prototype</w:t>
            </w:r>
          </w:p>
        </w:tc>
        <w:tc>
          <w:tcPr>
            <w:tcW w:type="dxa" w:w="1152"/>
            <w:vAlign w:val="center"/>
          </w:tcPr>
          <w:p>
            <w:pPr>
              <w:spacing w:after="0"/>
              <w:jc w:val="center"/>
            </w:pPr>
            <w:r>
              <w:t>0.50</w:t>
            </w:r>
          </w:p>
        </w:tc>
        <w:tc>
          <w:tcPr>
            <w:tcW w:type="dxa" w:w="936"/>
            <w:vAlign w:val="center"/>
          </w:tcPr>
          <w:p>
            <w:pPr>
              <w:spacing w:after="0"/>
              <w:jc w:val="center"/>
            </w:pPr>
            <w:r>
              <w:t>0.9525</w:t>
            </w:r>
          </w:p>
        </w:tc>
        <w:tc>
          <w:tcPr>
            <w:tcW w:type="dxa" w:w="1152"/>
            <w:vAlign w:val="center"/>
          </w:tcPr>
          <w:p>
            <w:pPr>
              <w:spacing w:after="0"/>
              <w:jc w:val="center"/>
            </w:pPr>
            <w:r>
              <w:t>0.7856</w:t>
            </w:r>
          </w:p>
        </w:tc>
        <w:tc>
          <w:tcPr>
            <w:tcW w:type="dxa" w:w="1152"/>
            <w:vAlign w:val="center"/>
          </w:tcPr>
          <w:p>
            <w:pPr>
              <w:spacing w:after="0"/>
              <w:jc w:val="center"/>
            </w:pPr>
            <w:r>
              <w:t>0.9980</w:t>
            </w:r>
          </w:p>
        </w:tc>
        <w:tc>
          <w:tcPr>
            <w:tcW w:type="dxa" w:w="936"/>
            <w:vAlign w:val="center"/>
          </w:tcPr>
          <w:p>
            <w:pPr>
              <w:spacing w:after="0"/>
              <w:jc w:val="center"/>
            </w:pPr>
            <w:r>
              <w:t>0.8792</w:t>
            </w:r>
          </w:p>
        </w:tc>
        <w:tc>
          <w:tcPr>
            <w:tcW w:type="dxa" w:w="1008"/>
            <w:vAlign w:val="center"/>
          </w:tcPr>
          <w:p>
            <w:pPr>
              <w:spacing w:after="0"/>
              <w:jc w:val="center"/>
            </w:pPr>
            <w:r>
              <w:t>0.5871</w:t>
            </w:r>
          </w:p>
        </w:tc>
        <w:tc>
          <w:tcPr>
            <w:tcW w:type="dxa" w:w="1008"/>
            <w:vAlign w:val="center"/>
          </w:tcPr>
          <w:p>
            <w:pPr>
              <w:spacing w:after="0"/>
              <w:jc w:val="center"/>
            </w:pPr>
            <w:r>
              <w:t>0.9431</w:t>
            </w:r>
          </w:p>
        </w:tc>
      </w:tr>
      <w:tr>
        <w:tc>
          <w:tcPr>
            <w:tcW w:type="dxa" w:w="2088"/>
            <w:vAlign w:val="center"/>
          </w:tcPr>
          <w:p>
            <w:pPr>
              <w:spacing w:after="0"/>
            </w:pPr>
            <w:r>
              <w:t>Port 24-feature</w:t>
            </w:r>
          </w:p>
        </w:tc>
        <w:tc>
          <w:tcPr>
            <w:tcW w:type="dxa" w:w="1080"/>
            <w:vAlign w:val="center"/>
          </w:tcPr>
          <w:p>
            <w:pPr>
              <w:spacing w:after="0"/>
            </w:pPr>
            <w:r>
              <w:t>Prototype</w:t>
            </w:r>
          </w:p>
        </w:tc>
        <w:tc>
          <w:tcPr>
            <w:tcW w:type="dxa" w:w="1152"/>
            <w:vAlign w:val="center"/>
          </w:tcPr>
          <w:p>
            <w:pPr>
              <w:spacing w:after="0"/>
              <w:jc w:val="center"/>
            </w:pPr>
            <w:r>
              <w:t>Tuned 0.90</w:t>
            </w:r>
          </w:p>
        </w:tc>
        <w:tc>
          <w:tcPr>
            <w:tcW w:type="dxa" w:w="936"/>
            <w:vAlign w:val="center"/>
          </w:tcPr>
          <w:p>
            <w:pPr>
              <w:spacing w:after="0"/>
              <w:jc w:val="center"/>
            </w:pPr>
            <w:r>
              <w:t>0.9526</w:t>
            </w:r>
          </w:p>
        </w:tc>
        <w:tc>
          <w:tcPr>
            <w:tcW w:type="dxa" w:w="1152"/>
            <w:vAlign w:val="center"/>
          </w:tcPr>
          <w:p>
            <w:pPr>
              <w:spacing w:after="0"/>
              <w:jc w:val="center"/>
            </w:pPr>
            <w:r>
              <w:t>0.8983</w:t>
            </w:r>
          </w:p>
        </w:tc>
        <w:tc>
          <w:tcPr>
            <w:tcW w:type="dxa" w:w="1152"/>
            <w:vAlign w:val="center"/>
          </w:tcPr>
          <w:p>
            <w:pPr>
              <w:spacing w:after="0"/>
              <w:jc w:val="center"/>
            </w:pPr>
            <w:r>
              <w:t>0.9745</w:t>
            </w:r>
          </w:p>
        </w:tc>
        <w:tc>
          <w:tcPr>
            <w:tcW w:type="dxa" w:w="936"/>
            <w:vAlign w:val="center"/>
          </w:tcPr>
          <w:p>
            <w:pPr>
              <w:spacing w:after="0"/>
              <w:jc w:val="center"/>
            </w:pPr>
            <w:r>
              <w:t>0.9349</w:t>
            </w:r>
          </w:p>
        </w:tc>
        <w:tc>
          <w:tcPr>
            <w:tcW w:type="dxa" w:w="1008"/>
            <w:vAlign w:val="center"/>
          </w:tcPr>
          <w:p>
            <w:pPr>
              <w:spacing w:after="0"/>
              <w:jc w:val="center"/>
            </w:pPr>
            <w:r>
              <w:t>0.7677</w:t>
            </w:r>
          </w:p>
        </w:tc>
        <w:tc>
          <w:tcPr>
            <w:tcW w:type="dxa" w:w="1008"/>
            <w:vAlign w:val="center"/>
          </w:tcPr>
          <w:p>
            <w:pPr>
              <w:spacing w:after="0"/>
              <w:jc w:val="center"/>
            </w:pPr>
            <w:r>
              <w:t>0.9431</w:t>
            </w:r>
          </w:p>
        </w:tc>
      </w:tr>
      <w:tr>
        <w:tc>
          <w:tcPr>
            <w:tcW w:type="dxa" w:w="2088"/>
            <w:vAlign w:val="center"/>
          </w:tcPr>
          <w:p>
            <w:pPr>
              <w:spacing w:after="0"/>
            </w:pPr>
            <w:r>
              <w:t>Port 24-feature</w:t>
            </w:r>
          </w:p>
        </w:tc>
        <w:tc>
          <w:tcPr>
            <w:tcW w:type="dxa" w:w="1080"/>
            <w:vAlign w:val="center"/>
          </w:tcPr>
          <w:p>
            <w:pPr>
              <w:spacing w:after="0"/>
            </w:pPr>
            <w:r>
              <w:t>Placement</w:t>
            </w:r>
          </w:p>
        </w:tc>
        <w:tc>
          <w:tcPr>
            <w:tcW w:type="dxa" w:w="1152"/>
            <w:vAlign w:val="center"/>
          </w:tcPr>
          <w:p>
            <w:pPr>
              <w:spacing w:after="0"/>
              <w:jc w:val="center"/>
            </w:pPr>
            <w:r>
              <w:t>0.50</w:t>
            </w:r>
          </w:p>
        </w:tc>
        <w:tc>
          <w:tcPr>
            <w:tcW w:type="dxa" w:w="936"/>
            <w:vAlign w:val="center"/>
          </w:tcPr>
          <w:p>
            <w:pPr>
              <w:spacing w:after="0"/>
              <w:jc w:val="center"/>
            </w:pPr>
            <w:r>
              <w:t>0.9990</w:t>
            </w:r>
          </w:p>
        </w:tc>
        <w:tc>
          <w:tcPr>
            <w:tcW w:type="dxa" w:w="1152"/>
            <w:vAlign w:val="center"/>
          </w:tcPr>
          <w:p>
            <w:pPr>
              <w:spacing w:after="0"/>
              <w:jc w:val="center"/>
            </w:pPr>
            <w:r>
              <w:t>0.9287</w:t>
            </w:r>
          </w:p>
        </w:tc>
        <w:tc>
          <w:tcPr>
            <w:tcW w:type="dxa" w:w="1152"/>
            <w:vAlign w:val="center"/>
          </w:tcPr>
          <w:p>
            <w:pPr>
              <w:spacing w:after="0"/>
              <w:jc w:val="center"/>
            </w:pPr>
            <w:r>
              <w:t>0.9875</w:t>
            </w:r>
          </w:p>
        </w:tc>
        <w:tc>
          <w:tcPr>
            <w:tcW w:type="dxa" w:w="936"/>
            <w:vAlign w:val="center"/>
          </w:tcPr>
          <w:p>
            <w:pPr>
              <w:spacing w:after="0"/>
              <w:jc w:val="center"/>
            </w:pPr>
            <w:r>
              <w:t>0.9572</w:t>
            </w:r>
          </w:p>
        </w:tc>
        <w:tc>
          <w:tcPr>
            <w:tcW w:type="dxa" w:w="1008"/>
            <w:vAlign w:val="center"/>
          </w:tcPr>
          <w:p>
            <w:pPr>
              <w:spacing w:after="0"/>
              <w:jc w:val="center"/>
            </w:pPr>
            <w:r>
              <w:t>0.7798</w:t>
            </w:r>
          </w:p>
        </w:tc>
        <w:tc>
          <w:tcPr>
            <w:tcW w:type="dxa" w:w="1008"/>
            <w:vAlign w:val="center"/>
          </w:tcPr>
          <w:p>
            <w:pPr>
              <w:spacing w:after="0"/>
              <w:jc w:val="center"/>
            </w:pPr>
            <w:r>
              <w:t>0.8934</w:t>
            </w:r>
          </w:p>
        </w:tc>
      </w:tr>
      <w:tr>
        <w:tc>
          <w:tcPr>
            <w:tcW w:type="dxa" w:w="2088"/>
            <w:vAlign w:val="center"/>
          </w:tcPr>
          <w:p>
            <w:pPr>
              <w:spacing w:after="0"/>
            </w:pPr>
            <w:r>
              <w:t>Port 24-feature</w:t>
            </w:r>
          </w:p>
        </w:tc>
        <w:tc>
          <w:tcPr>
            <w:tcW w:type="dxa" w:w="1080"/>
            <w:vAlign w:val="center"/>
          </w:tcPr>
          <w:p>
            <w:pPr>
              <w:spacing w:after="0"/>
            </w:pPr>
            <w:r>
              <w:t>Placement</w:t>
            </w:r>
          </w:p>
        </w:tc>
        <w:tc>
          <w:tcPr>
            <w:tcW w:type="dxa" w:w="1152"/>
            <w:vAlign w:val="center"/>
          </w:tcPr>
          <w:p>
            <w:pPr>
              <w:spacing w:after="0"/>
              <w:jc w:val="center"/>
            </w:pPr>
            <w:r>
              <w:t>Tuned 0.10</w:t>
            </w:r>
          </w:p>
        </w:tc>
        <w:tc>
          <w:tcPr>
            <w:tcW w:type="dxa" w:w="936"/>
            <w:vAlign w:val="center"/>
          </w:tcPr>
          <w:p>
            <w:pPr>
              <w:spacing w:after="0"/>
              <w:jc w:val="center"/>
            </w:pPr>
            <w:r>
              <w:t>0.9990</w:t>
            </w:r>
          </w:p>
        </w:tc>
        <w:tc>
          <w:tcPr>
            <w:tcW w:type="dxa" w:w="1152"/>
            <w:vAlign w:val="center"/>
          </w:tcPr>
          <w:p>
            <w:pPr>
              <w:spacing w:after="0"/>
              <w:jc w:val="center"/>
            </w:pPr>
            <w:r>
              <w:t>0.8760</w:t>
            </w:r>
          </w:p>
        </w:tc>
        <w:tc>
          <w:tcPr>
            <w:tcW w:type="dxa" w:w="1152"/>
            <w:vAlign w:val="center"/>
          </w:tcPr>
          <w:p>
            <w:pPr>
              <w:spacing w:after="0"/>
              <w:jc w:val="center"/>
            </w:pPr>
            <w:r>
              <w:t>0.9979</w:t>
            </w:r>
          </w:p>
        </w:tc>
        <w:tc>
          <w:tcPr>
            <w:tcW w:type="dxa" w:w="936"/>
            <w:vAlign w:val="center"/>
          </w:tcPr>
          <w:p>
            <w:pPr>
              <w:spacing w:after="0"/>
              <w:jc w:val="center"/>
            </w:pPr>
            <w:r>
              <w:t>0.9330</w:t>
            </w:r>
          </w:p>
        </w:tc>
        <w:tc>
          <w:tcPr>
            <w:tcW w:type="dxa" w:w="1008"/>
            <w:vAlign w:val="center"/>
          </w:tcPr>
          <w:p>
            <w:pPr>
              <w:spacing w:after="0"/>
              <w:jc w:val="center"/>
            </w:pPr>
            <w:r>
              <w:t>0.6520</w:t>
            </w:r>
          </w:p>
        </w:tc>
        <w:tc>
          <w:tcPr>
            <w:tcW w:type="dxa" w:w="1008"/>
            <w:vAlign w:val="center"/>
          </w:tcPr>
          <w:p>
            <w:pPr>
              <w:spacing w:after="0"/>
              <w:jc w:val="center"/>
            </w:pPr>
            <w:r>
              <w:t>0.8934</w:t>
            </w:r>
          </w:p>
        </w:tc>
      </w:tr>
    </w:tbl>
    <w:p/>
    <w:p>
      <w:pPr>
        <w:jc w:val="center"/>
      </w:pPr>
      <w:r>
        <w:drawing>
          <wp:inline xmlns:a="http://schemas.openxmlformats.org/drawingml/2006/main" xmlns:pic="http://schemas.openxmlformats.org/drawingml/2006/picture">
            <wp:extent cx="5943600" cy="3120390"/>
            <wp:docPr id="1" name="Picture 1"/>
            <wp:cNvGraphicFramePr>
              <a:graphicFrameLocks noChangeAspect="1"/>
            </wp:cNvGraphicFramePr>
            <a:graphic>
              <a:graphicData uri="http://schemas.openxmlformats.org/drawingml/2006/picture">
                <pic:pic>
                  <pic:nvPicPr>
                    <pic:cNvPr id="0" name="ds2_4x4_metric_comparison.png"/>
                    <pic:cNvPicPr/>
                  </pic:nvPicPr>
                  <pic:blipFill>
                    <a:blip r:embed="rId10"/>
                    <a:stretch>
                      <a:fillRect/>
                    </a:stretch>
                  </pic:blipFill>
                  <pic:spPr>
                    <a:xfrm>
                      <a:off x="0" y="0"/>
                      <a:ext cx="5943600" cy="3120390"/>
                    </a:xfrm>
                    <a:prstGeom prst="rect"/>
                  </pic:spPr>
                </pic:pic>
              </a:graphicData>
            </a:graphic>
          </wp:inline>
        </w:drawing>
      </w:r>
    </w:p>
    <w:p>
      <w:pPr>
        <w:jc w:val="center"/>
      </w:pPr>
      <w:r>
        <w:rPr>
          <w:i/>
          <w:sz w:val="18"/>
        </w:rPr>
        <w:t>Figure 1. Node-localization metrics improve sharply after adding directional port features.</w:t>
      </w:r>
    </w:p>
    <w:p>
      <w:pPr>
        <w:pStyle w:val="Heading1"/>
      </w:pPr>
      <w:r>
        <w:t>6. Prototype split results</w:t>
      </w:r>
    </w:p>
    <w:p>
      <w:r>
        <w:t>The prototype split is useful as a sanity/proof-of-concept split. It verifies that the model can learn from the feature representation.</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744"/>
            <w:shd w:fill="1F4E79"/>
            <w:vAlign w:val="center"/>
          </w:tcPr>
          <w:p>
            <w:pPr>
              <w:jc w:val="center"/>
            </w:pPr>
            <w:r>
              <w:rPr>
                <w:b/>
                <w:color w:val="FFFFFF"/>
              </w:rPr>
              <w:t>Metric</w:t>
            </w:r>
          </w:p>
        </w:tc>
        <w:tc>
          <w:tcPr>
            <w:tcW w:type="dxa" w:w="2016"/>
            <w:shd w:fill="1F4E79"/>
            <w:vAlign w:val="center"/>
          </w:tcPr>
          <w:p>
            <w:pPr>
              <w:jc w:val="center"/>
            </w:pPr>
            <w:r>
              <w:rPr>
                <w:b/>
                <w:color w:val="FFFFFF"/>
              </w:rPr>
              <w:t>Fixed 0.50</w:t>
            </w:r>
          </w:p>
        </w:tc>
        <w:tc>
          <w:tcPr>
            <w:tcW w:type="dxa" w:w="2448"/>
            <w:shd w:fill="1F4E79"/>
            <w:vAlign w:val="center"/>
          </w:tcPr>
          <w:p>
            <w:pPr>
              <w:jc w:val="center"/>
            </w:pPr>
            <w:r>
              <w:rPr>
                <w:b/>
                <w:color w:val="FFFFFF"/>
              </w:rPr>
              <w:t>Validation-tuned 0.90</w:t>
            </w:r>
          </w:p>
        </w:tc>
      </w:tr>
      <w:tr>
        <w:tc>
          <w:tcPr>
            <w:tcW w:type="dxa" w:w="3744"/>
            <w:vAlign w:val="center"/>
          </w:tcPr>
          <w:p>
            <w:pPr>
              <w:spacing w:after="0"/>
            </w:pPr>
            <w:r>
              <w:t>Graph accuracy</w:t>
            </w:r>
          </w:p>
        </w:tc>
        <w:tc>
          <w:tcPr>
            <w:tcW w:type="dxa" w:w="2016"/>
            <w:vAlign w:val="center"/>
          </w:tcPr>
          <w:p>
            <w:pPr>
              <w:spacing w:after="0"/>
            </w:pPr>
            <w:r>
              <w:t>0.9159</w:t>
            </w:r>
          </w:p>
        </w:tc>
        <w:tc>
          <w:tcPr>
            <w:tcW w:type="dxa" w:w="2448"/>
            <w:vAlign w:val="center"/>
          </w:tcPr>
          <w:p>
            <w:pPr>
              <w:spacing w:after="0"/>
              <w:jc w:val="center"/>
            </w:pPr>
            <w:r>
              <w:t>0.9161</w:t>
            </w:r>
          </w:p>
        </w:tc>
      </w:tr>
      <w:tr>
        <w:tc>
          <w:tcPr>
            <w:tcW w:type="dxa" w:w="3744"/>
            <w:vAlign w:val="center"/>
          </w:tcPr>
          <w:p>
            <w:pPr>
              <w:spacing w:after="0"/>
            </w:pPr>
            <w:r>
              <w:t>Graph precision</w:t>
            </w:r>
          </w:p>
        </w:tc>
        <w:tc>
          <w:tcPr>
            <w:tcW w:type="dxa" w:w="2016"/>
            <w:vAlign w:val="center"/>
          </w:tcPr>
          <w:p>
            <w:pPr>
              <w:spacing w:after="0"/>
            </w:pPr>
            <w:r>
              <w:t>0.9961</w:t>
            </w:r>
          </w:p>
        </w:tc>
        <w:tc>
          <w:tcPr>
            <w:tcW w:type="dxa" w:w="2448"/>
            <w:vAlign w:val="center"/>
          </w:tcPr>
          <w:p>
            <w:pPr>
              <w:spacing w:after="0"/>
              <w:jc w:val="center"/>
            </w:pPr>
            <w:r>
              <w:t>0.9961</w:t>
            </w:r>
          </w:p>
        </w:tc>
      </w:tr>
      <w:tr>
        <w:tc>
          <w:tcPr>
            <w:tcW w:type="dxa" w:w="3744"/>
            <w:vAlign w:val="center"/>
          </w:tcPr>
          <w:p>
            <w:pPr>
              <w:spacing w:after="0"/>
            </w:pPr>
            <w:r>
              <w:t>Graph recall</w:t>
            </w:r>
          </w:p>
        </w:tc>
        <w:tc>
          <w:tcPr>
            <w:tcW w:type="dxa" w:w="2016"/>
            <w:vAlign w:val="center"/>
          </w:tcPr>
          <w:p>
            <w:pPr>
              <w:spacing w:after="0"/>
            </w:pPr>
            <w:r>
              <w:t>0.9125</w:t>
            </w:r>
          </w:p>
        </w:tc>
        <w:tc>
          <w:tcPr>
            <w:tcW w:type="dxa" w:w="2448"/>
            <w:vAlign w:val="center"/>
          </w:tcPr>
          <w:p>
            <w:pPr>
              <w:spacing w:after="0"/>
              <w:jc w:val="center"/>
            </w:pPr>
            <w:r>
              <w:t>0.9126</w:t>
            </w:r>
          </w:p>
        </w:tc>
      </w:tr>
      <w:tr>
        <w:tc>
          <w:tcPr>
            <w:tcW w:type="dxa" w:w="3744"/>
            <w:vAlign w:val="center"/>
          </w:tcPr>
          <w:p>
            <w:pPr>
              <w:spacing w:after="0"/>
            </w:pPr>
            <w:r>
              <w:t>Graph F1</w:t>
            </w:r>
          </w:p>
        </w:tc>
        <w:tc>
          <w:tcPr>
            <w:tcW w:type="dxa" w:w="2016"/>
            <w:vAlign w:val="center"/>
          </w:tcPr>
          <w:p>
            <w:pPr>
              <w:spacing w:after="0"/>
            </w:pPr>
            <w:r>
              <w:t>0.9525</w:t>
            </w:r>
          </w:p>
        </w:tc>
        <w:tc>
          <w:tcPr>
            <w:tcW w:type="dxa" w:w="2448"/>
            <w:vAlign w:val="center"/>
          </w:tcPr>
          <w:p>
            <w:pPr>
              <w:spacing w:after="0"/>
              <w:jc w:val="center"/>
            </w:pPr>
            <w:r>
              <w:t>0.9526</w:t>
            </w:r>
          </w:p>
        </w:tc>
      </w:tr>
      <w:tr>
        <w:tc>
          <w:tcPr>
            <w:tcW w:type="dxa" w:w="3744"/>
            <w:vAlign w:val="center"/>
          </w:tcPr>
          <w:p>
            <w:pPr>
              <w:spacing w:after="0"/>
            </w:pPr>
            <w:r>
              <w:t>Graph FPR</w:t>
            </w:r>
          </w:p>
        </w:tc>
        <w:tc>
          <w:tcPr>
            <w:tcW w:type="dxa" w:w="2016"/>
            <w:vAlign w:val="center"/>
          </w:tcPr>
          <w:p>
            <w:pPr>
              <w:spacing w:after="0"/>
            </w:pPr>
            <w:r>
              <w:t>0.0424</w:t>
            </w:r>
          </w:p>
        </w:tc>
        <w:tc>
          <w:tcPr>
            <w:tcW w:type="dxa" w:w="2448"/>
            <w:vAlign w:val="center"/>
          </w:tcPr>
          <w:p>
            <w:pPr>
              <w:spacing w:after="0"/>
              <w:jc w:val="center"/>
            </w:pPr>
            <w:r>
              <w:t>0.0424</w:t>
            </w:r>
          </w:p>
        </w:tc>
      </w:tr>
      <w:tr>
        <w:tc>
          <w:tcPr>
            <w:tcW w:type="dxa" w:w="3744"/>
            <w:vAlign w:val="center"/>
          </w:tcPr>
          <w:p>
            <w:pPr>
              <w:spacing w:after="0"/>
            </w:pPr>
            <w:r>
              <w:t>Node precision</w:t>
            </w:r>
          </w:p>
        </w:tc>
        <w:tc>
          <w:tcPr>
            <w:tcW w:type="dxa" w:w="2016"/>
            <w:vAlign w:val="center"/>
          </w:tcPr>
          <w:p>
            <w:pPr>
              <w:spacing w:after="0"/>
            </w:pPr>
            <w:r>
              <w:t>0.7856</w:t>
            </w:r>
          </w:p>
        </w:tc>
        <w:tc>
          <w:tcPr>
            <w:tcW w:type="dxa" w:w="2448"/>
            <w:vAlign w:val="center"/>
          </w:tcPr>
          <w:p>
            <w:pPr>
              <w:spacing w:after="0"/>
              <w:jc w:val="center"/>
            </w:pPr>
            <w:r>
              <w:t>0.8983</w:t>
            </w:r>
          </w:p>
        </w:tc>
      </w:tr>
      <w:tr>
        <w:tc>
          <w:tcPr>
            <w:tcW w:type="dxa" w:w="3744"/>
            <w:vAlign w:val="center"/>
          </w:tcPr>
          <w:p>
            <w:pPr>
              <w:spacing w:after="0"/>
            </w:pPr>
            <w:r>
              <w:t>Node recall</w:t>
            </w:r>
          </w:p>
        </w:tc>
        <w:tc>
          <w:tcPr>
            <w:tcW w:type="dxa" w:w="2016"/>
            <w:vAlign w:val="center"/>
          </w:tcPr>
          <w:p>
            <w:pPr>
              <w:spacing w:after="0"/>
            </w:pPr>
            <w:r>
              <w:t>0.9980</w:t>
            </w:r>
          </w:p>
        </w:tc>
        <w:tc>
          <w:tcPr>
            <w:tcW w:type="dxa" w:w="2448"/>
            <w:vAlign w:val="center"/>
          </w:tcPr>
          <w:p>
            <w:pPr>
              <w:spacing w:after="0"/>
              <w:jc w:val="center"/>
            </w:pPr>
            <w:r>
              <w:t>0.9745</w:t>
            </w:r>
          </w:p>
        </w:tc>
      </w:tr>
      <w:tr>
        <w:tc>
          <w:tcPr>
            <w:tcW w:type="dxa" w:w="3744"/>
            <w:vAlign w:val="center"/>
          </w:tcPr>
          <w:p>
            <w:pPr>
              <w:spacing w:after="0"/>
            </w:pPr>
            <w:r>
              <w:t>Node F1</w:t>
            </w:r>
          </w:p>
        </w:tc>
        <w:tc>
          <w:tcPr>
            <w:tcW w:type="dxa" w:w="2016"/>
            <w:vAlign w:val="center"/>
          </w:tcPr>
          <w:p>
            <w:pPr>
              <w:spacing w:after="0"/>
            </w:pPr>
            <w:r>
              <w:t>0.8792</w:t>
            </w:r>
          </w:p>
        </w:tc>
        <w:tc>
          <w:tcPr>
            <w:tcW w:type="dxa" w:w="2448"/>
            <w:vAlign w:val="center"/>
          </w:tcPr>
          <w:p>
            <w:pPr>
              <w:spacing w:after="0"/>
              <w:jc w:val="center"/>
            </w:pPr>
            <w:r>
              <w:t>0.9349</w:t>
            </w:r>
          </w:p>
        </w:tc>
      </w:tr>
      <w:tr>
        <w:tc>
          <w:tcPr>
            <w:tcW w:type="dxa" w:w="3744"/>
            <w:vAlign w:val="center"/>
          </w:tcPr>
          <w:p>
            <w:pPr>
              <w:spacing w:after="0"/>
            </w:pPr>
            <w:r>
              <w:t>Exact localization</w:t>
            </w:r>
          </w:p>
        </w:tc>
        <w:tc>
          <w:tcPr>
            <w:tcW w:type="dxa" w:w="2016"/>
            <w:vAlign w:val="center"/>
          </w:tcPr>
          <w:p>
            <w:pPr>
              <w:spacing w:after="0"/>
            </w:pPr>
            <w:r>
              <w:t>0.5871</w:t>
            </w:r>
          </w:p>
        </w:tc>
        <w:tc>
          <w:tcPr>
            <w:tcW w:type="dxa" w:w="2448"/>
            <w:vAlign w:val="center"/>
          </w:tcPr>
          <w:p>
            <w:pPr>
              <w:spacing w:after="0"/>
              <w:jc w:val="center"/>
            </w:pPr>
            <w:r>
              <w:t>0.7677</w:t>
            </w:r>
          </w:p>
        </w:tc>
      </w:tr>
    </w:tbl>
    <w:p/>
    <w:tbl>
      <w:tblPr>
        <w:tblStyle w:val="TableGrid"/>
        <w:tblW w:type="auto" w:w="0"/>
        <w:jc w:val="center"/>
        <w:tblLayout w:type="autofit"/>
        <w:tblLook w:firstColumn="1" w:firstRow="1" w:lastColumn="0" w:lastRow="0" w:noHBand="0" w:noVBand="1" w:val="04A0"/>
      </w:tblPr>
      <w:tblGrid>
        <w:gridCol w:w="5184"/>
        <w:gridCol w:w="5184"/>
      </w:tblGrid>
      <w:tr>
        <w:tc>
          <w:tcPr>
            <w:tcW w:type="dxa" w:w="4464"/>
            <w:shd w:fill="1F4E79"/>
            <w:vAlign w:val="center"/>
          </w:tcPr>
          <w:p>
            <w:pPr>
              <w:jc w:val="center"/>
            </w:pPr>
            <w:r>
              <w:rPr>
                <w:b/>
                <w:color w:val="FFFFFF"/>
              </w:rPr>
              <w:t>Prototype top-k metric</w:t>
            </w:r>
          </w:p>
        </w:tc>
        <w:tc>
          <w:tcPr>
            <w:tcW w:type="dxa" w:w="1872"/>
            <w:shd w:fill="1F4E79"/>
            <w:vAlign w:val="center"/>
          </w:tcPr>
          <w:p>
            <w:pPr>
              <w:jc w:val="center"/>
            </w:pPr>
            <w:r>
              <w:rPr>
                <w:b/>
                <w:color w:val="FFFFFF"/>
              </w:rPr>
              <w:t>Value</w:t>
            </w:r>
          </w:p>
        </w:tc>
      </w:tr>
      <w:tr>
        <w:tc>
          <w:tcPr>
            <w:tcW w:type="dxa" w:w="4464"/>
            <w:vAlign w:val="center"/>
          </w:tcPr>
          <w:p>
            <w:pPr>
              <w:spacing w:after="0"/>
            </w:pPr>
            <w:r>
              <w:t>Overall top1_any</w:t>
            </w:r>
          </w:p>
        </w:tc>
        <w:tc>
          <w:tcPr>
            <w:tcW w:type="dxa" w:w="1872"/>
            <w:vAlign w:val="center"/>
          </w:tcPr>
          <w:p>
            <w:pPr>
              <w:spacing w:after="0"/>
            </w:pPr>
            <w:r>
              <w:t>0.9816</w:t>
            </w:r>
          </w:p>
        </w:tc>
      </w:tr>
      <w:tr>
        <w:tc>
          <w:tcPr>
            <w:tcW w:type="dxa" w:w="4464"/>
            <w:vAlign w:val="center"/>
          </w:tcPr>
          <w:p>
            <w:pPr>
              <w:spacing w:after="0"/>
            </w:pPr>
            <w:r>
              <w:t>Overall topK_exact</w:t>
            </w:r>
          </w:p>
        </w:tc>
        <w:tc>
          <w:tcPr>
            <w:tcW w:type="dxa" w:w="1872"/>
            <w:vAlign w:val="center"/>
          </w:tcPr>
          <w:p>
            <w:pPr>
              <w:spacing w:after="0"/>
            </w:pPr>
            <w:r>
              <w:t>0.9431</w:t>
            </w:r>
          </w:p>
        </w:tc>
      </w:tr>
      <w:tr>
        <w:tc>
          <w:tcPr>
            <w:tcW w:type="dxa" w:w="4464"/>
            <w:vAlign w:val="center"/>
          </w:tcPr>
          <w:p>
            <w:pPr>
              <w:spacing w:after="0"/>
            </w:pPr>
            <w:r>
              <w:t>Overall top4_all</w:t>
            </w:r>
          </w:p>
        </w:tc>
        <w:tc>
          <w:tcPr>
            <w:tcW w:type="dxa" w:w="1872"/>
            <w:vAlign w:val="center"/>
          </w:tcPr>
          <w:p>
            <w:pPr>
              <w:spacing w:after="0"/>
            </w:pPr>
            <w:r>
              <w:t>0.9998</w:t>
            </w:r>
          </w:p>
        </w:tc>
      </w:tr>
      <w:tr>
        <w:tc>
          <w:tcPr>
            <w:tcW w:type="dxa" w:w="4464"/>
            <w:vAlign w:val="center"/>
          </w:tcPr>
          <w:p>
            <w:pPr>
              <w:spacing w:after="0"/>
            </w:pPr>
            <w:r>
              <w:t>1 attacker topK_exact</w:t>
            </w:r>
          </w:p>
        </w:tc>
        <w:tc>
          <w:tcPr>
            <w:tcW w:type="dxa" w:w="1872"/>
            <w:vAlign w:val="center"/>
          </w:tcPr>
          <w:p>
            <w:pPr>
              <w:spacing w:after="0"/>
            </w:pPr>
            <w:r>
              <w:t>0.9773</w:t>
            </w:r>
          </w:p>
        </w:tc>
      </w:tr>
      <w:tr>
        <w:tc>
          <w:tcPr>
            <w:tcW w:type="dxa" w:w="4464"/>
            <w:vAlign w:val="center"/>
          </w:tcPr>
          <w:p>
            <w:pPr>
              <w:spacing w:after="0"/>
            </w:pPr>
            <w:r>
              <w:t>2 attacker topK_exact</w:t>
            </w:r>
          </w:p>
        </w:tc>
        <w:tc>
          <w:tcPr>
            <w:tcW w:type="dxa" w:w="1872"/>
            <w:vAlign w:val="center"/>
          </w:tcPr>
          <w:p>
            <w:pPr>
              <w:spacing w:after="0"/>
            </w:pPr>
            <w:r>
              <w:t>0.9545</w:t>
            </w:r>
          </w:p>
        </w:tc>
      </w:tr>
      <w:tr>
        <w:tc>
          <w:tcPr>
            <w:tcW w:type="dxa" w:w="4464"/>
            <w:vAlign w:val="center"/>
          </w:tcPr>
          <w:p>
            <w:pPr>
              <w:spacing w:after="0"/>
            </w:pPr>
            <w:r>
              <w:t>3 attacker topK_exact</w:t>
            </w:r>
          </w:p>
        </w:tc>
        <w:tc>
          <w:tcPr>
            <w:tcW w:type="dxa" w:w="1872"/>
            <w:vAlign w:val="center"/>
          </w:tcPr>
          <w:p>
            <w:pPr>
              <w:spacing w:after="0"/>
            </w:pPr>
            <w:r>
              <w:t>0.8975</w:t>
            </w:r>
          </w:p>
        </w:tc>
      </w:tr>
    </w:tbl>
    <w:p/>
    <w:p>
      <w:pPr>
        <w:pStyle w:val="Heading1"/>
      </w:pPr>
      <w:r>
        <w:t>7. Placement split results</w:t>
      </w:r>
    </w:p>
    <w:p>
      <w:r>
        <w:t>The placement split is more meaningful than prototype because it evaluates attacker placements held out from training.</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744"/>
            <w:shd w:fill="1F4E79"/>
            <w:vAlign w:val="center"/>
          </w:tcPr>
          <w:p>
            <w:pPr>
              <w:jc w:val="center"/>
            </w:pPr>
            <w:r>
              <w:rPr>
                <w:b/>
                <w:color w:val="FFFFFF"/>
              </w:rPr>
              <w:t>Metric</w:t>
            </w:r>
          </w:p>
        </w:tc>
        <w:tc>
          <w:tcPr>
            <w:tcW w:type="dxa" w:w="2016"/>
            <w:shd w:fill="1F4E79"/>
            <w:vAlign w:val="center"/>
          </w:tcPr>
          <w:p>
            <w:pPr>
              <w:jc w:val="center"/>
            </w:pPr>
            <w:r>
              <w:rPr>
                <w:b/>
                <w:color w:val="FFFFFF"/>
              </w:rPr>
              <w:t>Fixed 0.50</w:t>
            </w:r>
          </w:p>
        </w:tc>
        <w:tc>
          <w:tcPr>
            <w:tcW w:type="dxa" w:w="2448"/>
            <w:shd w:fill="1F4E79"/>
            <w:vAlign w:val="center"/>
          </w:tcPr>
          <w:p>
            <w:pPr>
              <w:jc w:val="center"/>
            </w:pPr>
            <w:r>
              <w:rPr>
                <w:b/>
                <w:color w:val="FFFFFF"/>
              </w:rPr>
              <w:t>Validation-tuned 0.10</w:t>
            </w:r>
          </w:p>
        </w:tc>
      </w:tr>
      <w:tr>
        <w:tc>
          <w:tcPr>
            <w:tcW w:type="dxa" w:w="3744"/>
            <w:vAlign w:val="center"/>
          </w:tcPr>
          <w:p>
            <w:pPr>
              <w:spacing w:after="0"/>
            </w:pPr>
            <w:r>
              <w:t>Graph accuracy</w:t>
            </w:r>
          </w:p>
        </w:tc>
        <w:tc>
          <w:tcPr>
            <w:tcW w:type="dxa" w:w="2016"/>
            <w:vAlign w:val="center"/>
          </w:tcPr>
          <w:p>
            <w:pPr>
              <w:spacing w:after="0"/>
            </w:pPr>
            <w:r>
              <w:t>0.9982</w:t>
            </w:r>
          </w:p>
        </w:tc>
        <w:tc>
          <w:tcPr>
            <w:tcW w:type="dxa" w:w="2448"/>
            <w:vAlign w:val="center"/>
          </w:tcPr>
          <w:p>
            <w:pPr>
              <w:spacing w:after="0"/>
              <w:jc w:val="center"/>
            </w:pPr>
            <w:r>
              <w:t>0.9982</w:t>
            </w:r>
          </w:p>
        </w:tc>
      </w:tr>
      <w:tr>
        <w:tc>
          <w:tcPr>
            <w:tcW w:type="dxa" w:w="3744"/>
            <w:vAlign w:val="center"/>
          </w:tcPr>
          <w:p>
            <w:pPr>
              <w:spacing w:after="0"/>
            </w:pPr>
            <w:r>
              <w:t>Graph precision</w:t>
            </w:r>
          </w:p>
        </w:tc>
        <w:tc>
          <w:tcPr>
            <w:tcW w:type="dxa" w:w="2016"/>
            <w:vAlign w:val="center"/>
          </w:tcPr>
          <w:p>
            <w:pPr>
              <w:spacing w:after="0"/>
            </w:pPr>
            <w:r>
              <w:t>0.9991</w:t>
            </w:r>
          </w:p>
        </w:tc>
        <w:tc>
          <w:tcPr>
            <w:tcW w:type="dxa" w:w="2448"/>
            <w:vAlign w:val="center"/>
          </w:tcPr>
          <w:p>
            <w:pPr>
              <w:spacing w:after="0"/>
              <w:jc w:val="center"/>
            </w:pPr>
            <w:r>
              <w:t>0.9991</w:t>
            </w:r>
          </w:p>
        </w:tc>
      </w:tr>
      <w:tr>
        <w:tc>
          <w:tcPr>
            <w:tcW w:type="dxa" w:w="3744"/>
            <w:vAlign w:val="center"/>
          </w:tcPr>
          <w:p>
            <w:pPr>
              <w:spacing w:after="0"/>
            </w:pPr>
            <w:r>
              <w:t>Graph recall</w:t>
            </w:r>
          </w:p>
        </w:tc>
        <w:tc>
          <w:tcPr>
            <w:tcW w:type="dxa" w:w="2016"/>
            <w:vAlign w:val="center"/>
          </w:tcPr>
          <w:p>
            <w:pPr>
              <w:spacing w:after="0"/>
            </w:pPr>
            <w:r>
              <w:t>0.9989</w:t>
            </w:r>
          </w:p>
        </w:tc>
        <w:tc>
          <w:tcPr>
            <w:tcW w:type="dxa" w:w="2448"/>
            <w:vAlign w:val="center"/>
          </w:tcPr>
          <w:p>
            <w:pPr>
              <w:spacing w:after="0"/>
              <w:jc w:val="center"/>
            </w:pPr>
            <w:r>
              <w:t>0.9989</w:t>
            </w:r>
          </w:p>
        </w:tc>
      </w:tr>
      <w:tr>
        <w:tc>
          <w:tcPr>
            <w:tcW w:type="dxa" w:w="3744"/>
            <w:vAlign w:val="center"/>
          </w:tcPr>
          <w:p>
            <w:pPr>
              <w:spacing w:after="0"/>
            </w:pPr>
            <w:r>
              <w:t>Graph F1</w:t>
            </w:r>
          </w:p>
        </w:tc>
        <w:tc>
          <w:tcPr>
            <w:tcW w:type="dxa" w:w="2016"/>
            <w:vAlign w:val="center"/>
          </w:tcPr>
          <w:p>
            <w:pPr>
              <w:spacing w:after="0"/>
            </w:pPr>
            <w:r>
              <w:t>0.9990</w:t>
            </w:r>
          </w:p>
        </w:tc>
        <w:tc>
          <w:tcPr>
            <w:tcW w:type="dxa" w:w="2448"/>
            <w:vAlign w:val="center"/>
          </w:tcPr>
          <w:p>
            <w:pPr>
              <w:spacing w:after="0"/>
              <w:jc w:val="center"/>
            </w:pPr>
            <w:r>
              <w:t>0.9990</w:t>
            </w:r>
          </w:p>
        </w:tc>
      </w:tr>
      <w:tr>
        <w:tc>
          <w:tcPr>
            <w:tcW w:type="dxa" w:w="3744"/>
            <w:vAlign w:val="center"/>
          </w:tcPr>
          <w:p>
            <w:pPr>
              <w:spacing w:after="0"/>
            </w:pPr>
            <w:r>
              <w:t>Graph FPR</w:t>
            </w:r>
          </w:p>
        </w:tc>
        <w:tc>
          <w:tcPr>
            <w:tcW w:type="dxa" w:w="2016"/>
            <w:vAlign w:val="center"/>
          </w:tcPr>
          <w:p>
            <w:pPr>
              <w:spacing w:after="0"/>
            </w:pPr>
            <w:r>
              <w:t>0.0121</w:t>
            </w:r>
          </w:p>
        </w:tc>
        <w:tc>
          <w:tcPr>
            <w:tcW w:type="dxa" w:w="2448"/>
            <w:vAlign w:val="center"/>
          </w:tcPr>
          <w:p>
            <w:pPr>
              <w:spacing w:after="0"/>
              <w:jc w:val="center"/>
            </w:pPr>
            <w:r>
              <w:t>0.0121</w:t>
            </w:r>
          </w:p>
        </w:tc>
      </w:tr>
      <w:tr>
        <w:tc>
          <w:tcPr>
            <w:tcW w:type="dxa" w:w="3744"/>
            <w:vAlign w:val="center"/>
          </w:tcPr>
          <w:p>
            <w:pPr>
              <w:spacing w:after="0"/>
            </w:pPr>
            <w:r>
              <w:t>Node precision</w:t>
            </w:r>
          </w:p>
        </w:tc>
        <w:tc>
          <w:tcPr>
            <w:tcW w:type="dxa" w:w="2016"/>
            <w:vAlign w:val="center"/>
          </w:tcPr>
          <w:p>
            <w:pPr>
              <w:spacing w:after="0"/>
            </w:pPr>
            <w:r>
              <w:t>0.9287</w:t>
            </w:r>
          </w:p>
        </w:tc>
        <w:tc>
          <w:tcPr>
            <w:tcW w:type="dxa" w:w="2448"/>
            <w:vAlign w:val="center"/>
          </w:tcPr>
          <w:p>
            <w:pPr>
              <w:spacing w:after="0"/>
              <w:jc w:val="center"/>
            </w:pPr>
            <w:r>
              <w:t>0.8760</w:t>
            </w:r>
          </w:p>
        </w:tc>
      </w:tr>
      <w:tr>
        <w:tc>
          <w:tcPr>
            <w:tcW w:type="dxa" w:w="3744"/>
            <w:vAlign w:val="center"/>
          </w:tcPr>
          <w:p>
            <w:pPr>
              <w:spacing w:after="0"/>
            </w:pPr>
            <w:r>
              <w:t>Node recall</w:t>
            </w:r>
          </w:p>
        </w:tc>
        <w:tc>
          <w:tcPr>
            <w:tcW w:type="dxa" w:w="2016"/>
            <w:vAlign w:val="center"/>
          </w:tcPr>
          <w:p>
            <w:pPr>
              <w:spacing w:after="0"/>
            </w:pPr>
            <w:r>
              <w:t>0.9875</w:t>
            </w:r>
          </w:p>
        </w:tc>
        <w:tc>
          <w:tcPr>
            <w:tcW w:type="dxa" w:w="2448"/>
            <w:vAlign w:val="center"/>
          </w:tcPr>
          <w:p>
            <w:pPr>
              <w:spacing w:after="0"/>
              <w:jc w:val="center"/>
            </w:pPr>
            <w:r>
              <w:t>0.9979</w:t>
            </w:r>
          </w:p>
        </w:tc>
      </w:tr>
      <w:tr>
        <w:tc>
          <w:tcPr>
            <w:tcW w:type="dxa" w:w="3744"/>
            <w:vAlign w:val="center"/>
          </w:tcPr>
          <w:p>
            <w:pPr>
              <w:spacing w:after="0"/>
            </w:pPr>
            <w:r>
              <w:t>Node F1</w:t>
            </w:r>
          </w:p>
        </w:tc>
        <w:tc>
          <w:tcPr>
            <w:tcW w:type="dxa" w:w="2016"/>
            <w:vAlign w:val="center"/>
          </w:tcPr>
          <w:p>
            <w:pPr>
              <w:spacing w:after="0"/>
            </w:pPr>
            <w:r>
              <w:t>0.9572</w:t>
            </w:r>
          </w:p>
        </w:tc>
        <w:tc>
          <w:tcPr>
            <w:tcW w:type="dxa" w:w="2448"/>
            <w:vAlign w:val="center"/>
          </w:tcPr>
          <w:p>
            <w:pPr>
              <w:spacing w:after="0"/>
              <w:jc w:val="center"/>
            </w:pPr>
            <w:r>
              <w:t>0.9330</w:t>
            </w:r>
          </w:p>
        </w:tc>
      </w:tr>
      <w:tr>
        <w:tc>
          <w:tcPr>
            <w:tcW w:type="dxa" w:w="3744"/>
            <w:vAlign w:val="center"/>
          </w:tcPr>
          <w:p>
            <w:pPr>
              <w:spacing w:after="0"/>
            </w:pPr>
            <w:r>
              <w:t>Exact localization</w:t>
            </w:r>
          </w:p>
        </w:tc>
        <w:tc>
          <w:tcPr>
            <w:tcW w:type="dxa" w:w="2016"/>
            <w:vAlign w:val="center"/>
          </w:tcPr>
          <w:p>
            <w:pPr>
              <w:spacing w:after="0"/>
            </w:pPr>
            <w:r>
              <w:t>0.7798</w:t>
            </w:r>
          </w:p>
        </w:tc>
        <w:tc>
          <w:tcPr>
            <w:tcW w:type="dxa" w:w="2448"/>
            <w:vAlign w:val="center"/>
          </w:tcPr>
          <w:p>
            <w:pPr>
              <w:spacing w:after="0"/>
              <w:jc w:val="center"/>
            </w:pPr>
            <w:r>
              <w:t>0.6520</w:t>
            </w:r>
          </w:p>
        </w:tc>
      </w:tr>
    </w:tbl>
    <w:p/>
    <w:tbl>
      <w:tblPr>
        <w:tblStyle w:val="TableGrid"/>
        <w:tblW w:type="auto" w:w="0"/>
        <w:jc w:val="center"/>
        <w:tblLayout w:type="autofit"/>
        <w:tblLook w:firstColumn="1" w:firstRow="1" w:lastColumn="0" w:lastRow="0" w:noHBand="0" w:noVBand="1" w:val="04A0"/>
      </w:tblPr>
      <w:tblGrid>
        <w:gridCol w:w="5184"/>
        <w:gridCol w:w="5184"/>
      </w:tblGrid>
      <w:tr>
        <w:tc>
          <w:tcPr>
            <w:tcW w:type="dxa" w:w="4464"/>
            <w:shd w:fill="1F4E79"/>
            <w:vAlign w:val="center"/>
          </w:tcPr>
          <w:p>
            <w:pPr>
              <w:jc w:val="center"/>
            </w:pPr>
            <w:r>
              <w:rPr>
                <w:b/>
                <w:color w:val="FFFFFF"/>
              </w:rPr>
              <w:t>Placement top-k metric</w:t>
            </w:r>
          </w:p>
        </w:tc>
        <w:tc>
          <w:tcPr>
            <w:tcW w:type="dxa" w:w="1872"/>
            <w:shd w:fill="1F4E79"/>
            <w:vAlign w:val="center"/>
          </w:tcPr>
          <w:p>
            <w:pPr>
              <w:jc w:val="center"/>
            </w:pPr>
            <w:r>
              <w:rPr>
                <w:b/>
                <w:color w:val="FFFFFF"/>
              </w:rPr>
              <w:t>Value</w:t>
            </w:r>
          </w:p>
        </w:tc>
      </w:tr>
      <w:tr>
        <w:tc>
          <w:tcPr>
            <w:tcW w:type="dxa" w:w="4464"/>
            <w:vAlign w:val="center"/>
          </w:tcPr>
          <w:p>
            <w:pPr>
              <w:spacing w:after="0"/>
            </w:pPr>
            <w:r>
              <w:t>Top1_any</w:t>
            </w:r>
          </w:p>
        </w:tc>
        <w:tc>
          <w:tcPr>
            <w:tcW w:type="dxa" w:w="1872"/>
            <w:vAlign w:val="center"/>
          </w:tcPr>
          <w:p>
            <w:pPr>
              <w:spacing w:after="0"/>
            </w:pPr>
            <w:r>
              <w:t>0.9885</w:t>
            </w:r>
          </w:p>
        </w:tc>
      </w:tr>
      <w:tr>
        <w:tc>
          <w:tcPr>
            <w:tcW w:type="dxa" w:w="4464"/>
            <w:vAlign w:val="center"/>
          </w:tcPr>
          <w:p>
            <w:pPr>
              <w:spacing w:after="0"/>
            </w:pPr>
            <w:r>
              <w:t>TopK_exact / top3 exact</w:t>
            </w:r>
          </w:p>
        </w:tc>
        <w:tc>
          <w:tcPr>
            <w:tcW w:type="dxa" w:w="1872"/>
            <w:vAlign w:val="center"/>
          </w:tcPr>
          <w:p>
            <w:pPr>
              <w:spacing w:after="0"/>
            </w:pPr>
            <w:r>
              <w:t>0.8934</w:t>
            </w:r>
          </w:p>
        </w:tc>
      </w:tr>
      <w:tr>
        <w:tc>
          <w:tcPr>
            <w:tcW w:type="dxa" w:w="4464"/>
            <w:vAlign w:val="center"/>
          </w:tcPr>
          <w:p>
            <w:pPr>
              <w:spacing w:after="0"/>
            </w:pPr>
            <w:r>
              <w:t>Top4_all</w:t>
            </w:r>
          </w:p>
        </w:tc>
        <w:tc>
          <w:tcPr>
            <w:tcW w:type="dxa" w:w="1872"/>
            <w:vAlign w:val="center"/>
          </w:tcPr>
          <w:p>
            <w:pPr>
              <w:spacing w:after="0"/>
            </w:pPr>
            <w:r>
              <w:t>0.9953</w:t>
            </w:r>
          </w:p>
        </w:tc>
      </w:tr>
      <w:tr>
        <w:tc>
          <w:tcPr>
            <w:tcW w:type="dxa" w:w="4464"/>
            <w:vAlign w:val="center"/>
          </w:tcPr>
          <w:p>
            <w:pPr>
              <w:spacing w:after="0"/>
            </w:pPr>
            <w:r>
              <w:t>Average worst rank</w:t>
            </w:r>
          </w:p>
        </w:tc>
        <w:tc>
          <w:tcPr>
            <w:tcW w:type="dxa" w:w="1872"/>
            <w:vAlign w:val="center"/>
          </w:tcPr>
          <w:p>
            <w:pPr>
              <w:spacing w:after="0"/>
            </w:pPr>
            <w:r>
              <w:t>3.12</w:t>
            </w:r>
          </w:p>
        </w:tc>
      </w:tr>
    </w:tbl>
    <w:p/>
    <w:tbl>
      <w:tblPr>
        <w:tblStyle w:val="TableGrid"/>
        <w:tblW w:type="auto" w:w="0"/>
        <w:tblLook w:firstColumn="1" w:firstRow="1" w:lastColumn="0" w:lastRow="0" w:noHBand="0" w:noVBand="1" w:val="04A0"/>
      </w:tblPr>
      <w:tblGrid>
        <w:gridCol w:w="10368"/>
      </w:tblGrid>
      <w:tr>
        <w:tc>
          <w:tcPr>
            <w:tcW w:type="dxa" w:w="10368"/>
            <w:shd w:fill="EAF2F8"/>
          </w:tcPr>
          <w:p>
            <w:r>
              <w:rPr>
                <w:b/>
                <w:color w:val="1F4E79"/>
              </w:rPr>
              <w:t>Placement headline</w:t>
            </w:r>
          </w:p>
          <w:p>
            <w:pPr>
              <w:spacing w:after="0"/>
            </w:pPr>
            <w:r>
              <w:t>The fixed 0.50 placement result is the cleanest headline result: Graph F1 = 0.9990, Node F1 = 0.9572, Exact localization = 0.7798, TopK exact = 0.8934.</w:t>
            </w:r>
          </w:p>
          <w:p>
            <w:pPr>
              <w:spacing w:after="0"/>
            </w:pPr>
            <w:r>
              <w:t>The validation-tuned threshold is also reported because it is methodologically useful, but the placement validation/test attacker distributions are mismatched.</w:t>
            </w:r>
          </w:p>
        </w:tc>
      </w:tr>
    </w:tbl>
    <w:p/>
    <w:p>
      <w:pPr>
        <w:pStyle w:val="Heading1"/>
      </w:pPr>
      <w:r>
        <w:t>8. Placement split caveat</w:t>
      </w:r>
    </w:p>
    <w:p>
      <w:r>
        <w:t>The current placement split is not perfectly balanced by attacker count. Validation contains one 1-attacker run and one 2-attacker run, while test contains two 3-attacker runs. Because of this, validation-selected threshold 0.10 improves validation F1 but is not necessarily optimal for exact localization on the 3-attacker-only test set. Therefore, both fixed 0.50 and validation-tuned results should be reported.</w:t>
      </w:r>
    </w:p>
    <w:p>
      <w:pPr>
        <w:pStyle w:val="Heading1"/>
      </w:pPr>
      <w:r>
        <w:t>9. Interpretation</w:t>
      </w:r>
    </w:p>
    <w:p>
      <w:r>
        <w:t>The aggregate 4-feature model achieved excellent graph-level detection but poor localization. Its node F1 was 0.3637 and exact localization was 0.1141. This means aggregate traffic features can detect that the NoC is under attack but cannot reliably identify source routers.</w:t>
      </w:r>
    </w:p>
    <w:p>
      <w:r>
        <w:t>After adding directional/per-port features, localization improved substantially. On the placement split with fixed threshold 0.50, node F1 reached 0.9572 and exact localization reached 0.7798. TopK exact localization on unseen 3-attacker placement cases was 0.8934, and all true attackers appeared within the top-4 routers in 0.9953 of test windows.</w:t>
      </w:r>
    </w:p>
    <w:p>
      <w:r>
        <w:t>The key scientific interpretation is that directional NoC features are essential for localization. The GNN architecture was capable, but the original aggregate feature representation was insufficient.</w:t>
      </w:r>
    </w:p>
    <w:p>
      <w:pPr>
        <w:pStyle w:val="Heading1"/>
      </w:pPr>
      <w:r>
        <w:t>10. Hardware implication</w:t>
      </w:r>
    </w:p>
    <w:p>
      <w:r>
        <w:t>The 24-feature dataset is effective, but it is not necessarily the final hardware-friendly feature set. The next hardware-facing question is whether similar localization accuracy can be preserved with fewer counters or fewer per-port statistics. This matters because a future security engine or accelerator should minimize monitor area, storage, sideband bandwidth, and inference input size.</w:t>
      </w:r>
    </w:p>
    <w:tbl>
      <w:tblPr>
        <w:tblStyle w:val="TableGrid"/>
        <w:tblW w:type="auto" w:w="0"/>
        <w:jc w:val="center"/>
        <w:tblLayout w:type="autofit"/>
        <w:tblLook w:firstColumn="1" w:firstRow="1" w:lastColumn="0" w:lastRow="0" w:noHBand="0" w:noVBand="1" w:val="04A0"/>
      </w:tblPr>
      <w:tblGrid>
        <w:gridCol w:w="5184"/>
        <w:gridCol w:w="5184"/>
      </w:tblGrid>
      <w:tr>
        <w:tc>
          <w:tcPr>
            <w:tcW w:type="dxa" w:w="3456"/>
            <w:shd w:fill="1F4E79"/>
            <w:vAlign w:val="center"/>
          </w:tcPr>
          <w:p>
            <w:pPr>
              <w:jc w:val="center"/>
            </w:pPr>
            <w:r>
              <w:rPr>
                <w:b/>
                <w:color w:val="FFFFFF"/>
              </w:rPr>
              <w:t>Future feature set</w:t>
            </w:r>
          </w:p>
        </w:tc>
        <w:tc>
          <w:tcPr>
            <w:tcW w:type="dxa" w:w="5760"/>
            <w:shd w:fill="1F4E79"/>
            <w:vAlign w:val="center"/>
          </w:tcPr>
          <w:p>
            <w:pPr>
              <w:jc w:val="center"/>
            </w:pPr>
            <w:r>
              <w:rPr>
                <w:b/>
                <w:color w:val="FFFFFF"/>
              </w:rPr>
              <w:t>Question</w:t>
            </w:r>
          </w:p>
        </w:tc>
      </w:tr>
      <w:tr>
        <w:tc>
          <w:tcPr>
            <w:tcW w:type="dxa" w:w="3456"/>
            <w:vAlign w:val="center"/>
          </w:tcPr>
          <w:p>
            <w:pPr>
              <w:spacing w:after="0"/>
            </w:pPr>
            <w:r>
              <w:t>Port counts only</w:t>
            </w:r>
          </w:p>
        </w:tc>
        <w:tc>
          <w:tcPr>
            <w:tcW w:type="dxa" w:w="5760"/>
            <w:vAlign w:val="center"/>
          </w:tcPr>
          <w:p>
            <w:pPr>
              <w:spacing w:after="0"/>
            </w:pPr>
            <w:r>
              <w:t>Are directional volume counters enough?</w:t>
            </w:r>
          </w:p>
        </w:tc>
      </w:tr>
      <w:tr>
        <w:tc>
          <w:tcPr>
            <w:tcW w:type="dxa" w:w="3456"/>
            <w:vAlign w:val="center"/>
          </w:tcPr>
          <w:p>
            <w:pPr>
              <w:spacing w:after="0"/>
            </w:pPr>
            <w:r>
              <w:t>Port IFD only</w:t>
            </w:r>
          </w:p>
        </w:tc>
        <w:tc>
          <w:tcPr>
            <w:tcW w:type="dxa" w:w="5760"/>
            <w:vAlign w:val="center"/>
          </w:tcPr>
          <w:p>
            <w:pPr>
              <w:spacing w:after="0"/>
            </w:pPr>
            <w:r>
              <w:t>Are directional timing features enough?</w:t>
            </w:r>
          </w:p>
        </w:tc>
      </w:tr>
      <w:tr>
        <w:tc>
          <w:tcPr>
            <w:tcW w:type="dxa" w:w="3456"/>
            <w:vAlign w:val="center"/>
          </w:tcPr>
          <w:p>
            <w:pPr>
              <w:spacing w:after="0"/>
            </w:pPr>
            <w:r>
              <w:t>Reduced 10-12 feature set</w:t>
            </w:r>
          </w:p>
        </w:tc>
        <w:tc>
          <w:tcPr>
            <w:tcW w:type="dxa" w:w="5760"/>
            <w:vAlign w:val="center"/>
          </w:tcPr>
          <w:p>
            <w:pPr>
              <w:spacing w:after="0"/>
            </w:pPr>
            <w:r>
              <w:t>Can hardware cost be reduced without losing localization?</w:t>
            </w:r>
          </w:p>
        </w:tc>
      </w:tr>
      <w:tr>
        <w:tc>
          <w:tcPr>
            <w:tcW w:type="dxa" w:w="3456"/>
            <w:vAlign w:val="center"/>
          </w:tcPr>
          <w:p>
            <w:pPr>
              <w:spacing w:after="0"/>
            </w:pPr>
            <w:r>
              <w:t>All 24 features</w:t>
            </w:r>
          </w:p>
        </w:tc>
        <w:tc>
          <w:tcPr>
            <w:tcW w:type="dxa" w:w="5760"/>
            <w:vAlign w:val="center"/>
          </w:tcPr>
          <w:p>
            <w:pPr>
              <w:spacing w:after="0"/>
            </w:pPr>
            <w:r>
              <w:t>Upper-bound localization baseline for the current frontend.</w:t>
            </w:r>
          </w:p>
        </w:tc>
      </w:tr>
    </w:tbl>
    <w:p/>
    <w:p>
      <w:pPr>
        <w:pStyle w:val="Heading1"/>
      </w:pPr>
      <w:r>
        <w:t>11. Code and artifact references</w:t>
      </w:r>
    </w:p>
    <w:tbl>
      <w:tblPr>
        <w:tblStyle w:val="TableGrid"/>
        <w:tblW w:type="auto" w:w="0"/>
        <w:jc w:val="center"/>
        <w:tblLayout w:type="autofit"/>
        <w:tblLook w:firstColumn="1" w:firstRow="1" w:lastColumn="0" w:lastRow="0" w:noHBand="0" w:noVBand="1" w:val="04A0"/>
      </w:tblPr>
      <w:tblGrid>
        <w:gridCol w:w="5184"/>
        <w:gridCol w:w="5184"/>
      </w:tblGrid>
      <w:tr>
        <w:tc>
          <w:tcPr>
            <w:tcW w:type="dxa" w:w="3024"/>
            <w:shd w:fill="1F4E79"/>
            <w:vAlign w:val="center"/>
          </w:tcPr>
          <w:p>
            <w:pPr>
              <w:jc w:val="center"/>
            </w:pPr>
            <w:r>
              <w:rPr>
                <w:b/>
                <w:color w:val="FFFFFF"/>
              </w:rPr>
              <w:t>Category</w:t>
            </w:r>
          </w:p>
        </w:tc>
        <w:tc>
          <w:tcPr>
            <w:tcW w:type="dxa" w:w="6768"/>
            <w:shd w:fill="1F4E79"/>
            <w:vAlign w:val="center"/>
          </w:tcPr>
          <w:p>
            <w:pPr>
              <w:jc w:val="center"/>
            </w:pPr>
            <w:r>
              <w:rPr>
                <w:b/>
                <w:color w:val="FFFFFF"/>
              </w:rPr>
              <w:t>Path</w:t>
            </w:r>
          </w:p>
        </w:tc>
      </w:tr>
      <w:tr>
        <w:tc>
          <w:tcPr>
            <w:tcW w:type="dxa" w:w="3024"/>
            <w:vAlign w:val="center"/>
          </w:tcPr>
          <w:p>
            <w:pPr>
              <w:spacing w:after="0"/>
            </w:pPr>
            <w:r>
              <w:t>Training script</w:t>
            </w:r>
          </w:p>
        </w:tc>
        <w:tc>
          <w:tcPr>
            <w:tcW w:type="dxa" w:w="6768"/>
            <w:vAlign w:val="center"/>
          </w:tcPr>
          <w:p>
            <w:pPr>
              <w:spacing w:after="0"/>
            </w:pPr>
            <w:r>
              <w:t>scripts/train_temporal_gcn.py</w:t>
            </w:r>
          </w:p>
        </w:tc>
      </w:tr>
      <w:tr>
        <w:tc>
          <w:tcPr>
            <w:tcW w:type="dxa" w:w="3024"/>
            <w:vAlign w:val="center"/>
          </w:tcPr>
          <w:p>
            <w:pPr>
              <w:spacing w:after="0"/>
            </w:pPr>
            <w:r>
              <w:t>Threshold evaluation</w:t>
            </w:r>
          </w:p>
        </w:tc>
        <w:tc>
          <w:tcPr>
            <w:tcW w:type="dxa" w:w="6768"/>
            <w:vAlign w:val="center"/>
          </w:tcPr>
          <w:p>
            <w:pPr>
              <w:spacing w:after="0"/>
            </w:pPr>
            <w:r>
              <w:t>scripts/eval_temporal_gcn_thresholds.py</w:t>
            </w:r>
          </w:p>
        </w:tc>
      </w:tr>
      <w:tr>
        <w:tc>
          <w:tcPr>
            <w:tcW w:type="dxa" w:w="3024"/>
            <w:vAlign w:val="center"/>
          </w:tcPr>
          <w:p>
            <w:pPr>
              <w:spacing w:after="0"/>
            </w:pPr>
            <w:r>
              <w:t>Top-k evaluation</w:t>
            </w:r>
          </w:p>
        </w:tc>
        <w:tc>
          <w:tcPr>
            <w:tcW w:type="dxa" w:w="6768"/>
            <w:vAlign w:val="center"/>
          </w:tcPr>
          <w:p>
            <w:pPr>
              <w:spacing w:after="0"/>
            </w:pPr>
            <w:r>
              <w:t>scripts/eval_temporal_gcn_topk.py</w:t>
            </w:r>
          </w:p>
        </w:tc>
      </w:tr>
      <w:tr>
        <w:tc>
          <w:tcPr>
            <w:tcW w:type="dxa" w:w="3024"/>
            <w:vAlign w:val="center"/>
          </w:tcPr>
          <w:p>
            <w:pPr>
              <w:spacing w:after="0"/>
            </w:pPr>
            <w:r>
              <w:t>4-feature dataset creation</w:t>
            </w:r>
          </w:p>
        </w:tc>
        <w:tc>
          <w:tcPr>
            <w:tcW w:type="dxa" w:w="6768"/>
            <w:vAlign w:val="center"/>
          </w:tcPr>
          <w:p>
            <w:pPr>
              <w:spacing w:after="0"/>
            </w:pPr>
            <w:r>
              <w:t>scripts/add_count_features_to_graph_dataset.py</w:t>
            </w:r>
          </w:p>
        </w:tc>
      </w:tr>
      <w:tr>
        <w:tc>
          <w:tcPr>
            <w:tcW w:type="dxa" w:w="3024"/>
            <w:vAlign w:val="center"/>
          </w:tcPr>
          <w:p>
            <w:pPr>
              <w:spacing w:after="0"/>
            </w:pPr>
            <w:r>
              <w:t>Final dataset</w:t>
            </w:r>
          </w:p>
        </w:tc>
        <w:tc>
          <w:tcPr>
            <w:tcW w:type="dxa" w:w="6768"/>
            <w:vAlign w:val="center"/>
          </w:tcPr>
          <w:p>
            <w:pPr>
              <w:spacing w:after="0"/>
            </w:pPr>
            <w:r>
              <w:t>data/processed/graph_dataset/paper1_temporal_graphs_ds2_4x4_portfeat.npz</w:t>
            </w:r>
          </w:p>
        </w:tc>
      </w:tr>
      <w:tr>
        <w:tc>
          <w:tcPr>
            <w:tcW w:type="dxa" w:w="3024"/>
            <w:vAlign w:val="center"/>
          </w:tcPr>
          <w:p>
            <w:pPr>
              <w:spacing w:after="0"/>
            </w:pPr>
            <w:r>
              <w:t>Prototype model</w:t>
            </w:r>
          </w:p>
        </w:tc>
        <w:tc>
          <w:tcPr>
            <w:tcW w:type="dxa" w:w="6768"/>
            <w:vAlign w:val="center"/>
          </w:tcPr>
          <w:p>
            <w:pPr>
              <w:spacing w:after="0"/>
            </w:pPr>
            <w:r>
              <w:t>models/temporal_gcn_float_prototype_ds2_4x4_portfeat</w:t>
            </w:r>
          </w:p>
        </w:tc>
      </w:tr>
      <w:tr>
        <w:tc>
          <w:tcPr>
            <w:tcW w:type="dxa" w:w="3024"/>
            <w:vAlign w:val="center"/>
          </w:tcPr>
          <w:p>
            <w:pPr>
              <w:spacing w:after="0"/>
            </w:pPr>
            <w:r>
              <w:t>Placement model</w:t>
            </w:r>
          </w:p>
        </w:tc>
        <w:tc>
          <w:tcPr>
            <w:tcW w:type="dxa" w:w="6768"/>
            <w:vAlign w:val="center"/>
          </w:tcPr>
          <w:p>
            <w:pPr>
              <w:spacing w:after="0"/>
            </w:pPr>
            <w:r>
              <w:t>models/temporal_gcn_float_placement_ds2_4x4_portfeat</w:t>
            </w:r>
          </w:p>
        </w:tc>
      </w:tr>
    </w:tbl>
    <w:p/>
    <w:p>
      <w:pPr>
        <w:pStyle w:val="Heading1"/>
      </w:pPr>
      <w:r>
        <w:t>12. Reproduction commands</w:t>
      </w:r>
    </w:p>
    <w:p>
      <w:pPr>
        <w:pStyle w:val="Heading2"/>
      </w:pPr>
      <w:r>
        <w:t>12.1 Prototype training</w:t>
      </w:r>
    </w:p>
    <w:p>
      <w:pPr>
        <w:pStyle w:val="CodeBlock"/>
      </w:pPr>
      <w:r>
        <w:rPr>
          <w:rFonts w:ascii="Consolas" w:hAnsi="Consolas"/>
          <w:sz w:val="16"/>
        </w:rPr>
        <w:t>python scripts/train_temporal_gcn.py \</w:t>
        <w:br/>
        <w:t xml:space="preserve">  --data data/processed/graph_dataset/paper1_temporal_graphs_ds2_4x4_portfeat.npz \</w:t>
        <w:br/>
        <w:t xml:space="preserve">  --out-dir models/temporal_gcn_float_prototype_ds2_4x4_portfeat \</w:t>
        <w:br/>
        <w:t xml:space="preserve">  --split-mode prototype \</w:t>
        <w:br/>
        <w:t xml:space="preserve">  --epochs 40 \</w:t>
        <w:br/>
        <w:t xml:space="preserve">  --batch-size 256 \</w:t>
        <w:br/>
        <w:t xml:space="preserve">  --lr 1e-3 \</w:t>
        <w:br/>
        <w:t xml:space="preserve">  --temporal-dim 8 \</w:t>
        <w:br/>
        <w:t xml:space="preserve">  --gcn-hidden 16 \</w:t>
        <w:br/>
        <w:t xml:space="preserve">  --gcn-out 8 \</w:t>
        <w:br/>
        <w:t xml:space="preserve">  --node-loss-weight 1.0 \</w:t>
        <w:br/>
        <w:t xml:space="preserve">  | tee logs/train_temporal_gcn_prototype_ds2_4x4_portfeat.log</w:t>
      </w:r>
    </w:p>
    <w:p>
      <w:pPr>
        <w:pStyle w:val="Heading2"/>
      </w:pPr>
      <w:r>
        <w:t>12.2 Placement training</w:t>
      </w:r>
    </w:p>
    <w:p>
      <w:pPr>
        <w:pStyle w:val="CodeBlock"/>
      </w:pPr>
      <w:r>
        <w:rPr>
          <w:rFonts w:ascii="Consolas" w:hAnsi="Consolas"/>
          <w:sz w:val="16"/>
        </w:rPr>
        <w:t>python scripts/train_temporal_gcn.py \</w:t>
        <w:br/>
        <w:t xml:space="preserve">  --data data/processed/graph_dataset/paper1_temporal_graphs_ds2_4x4_portfeat.npz \</w:t>
        <w:br/>
        <w:t xml:space="preserve">  --out-dir models/temporal_gcn_float_placement_ds2_4x4_portfeat \</w:t>
        <w:br/>
        <w:t xml:space="preserve">  --split-mode placement \</w:t>
        <w:br/>
        <w:t xml:space="preserve">  --epochs 60 \</w:t>
        <w:br/>
        <w:t xml:space="preserve">  --batch-size 256 \</w:t>
        <w:br/>
        <w:t xml:space="preserve">  --lr 1e-3 \</w:t>
        <w:br/>
        <w:t xml:space="preserve">  --temporal-dim 8 \</w:t>
        <w:br/>
        <w:t xml:space="preserve">  --gcn-hidden 16 \</w:t>
        <w:br/>
        <w:t xml:space="preserve">  --gcn-out 8 \</w:t>
        <w:br/>
        <w:t xml:space="preserve">  --node-loss-weight 1.0 \</w:t>
        <w:br/>
        <w:t xml:space="preserve">  | tee logs/train_temporal_gcn_placement_ds2_4x4_portfeat.log</w:t>
      </w:r>
    </w:p>
    <w:p>
      <w:pPr>
        <w:pStyle w:val="Heading2"/>
      </w:pPr>
      <w:r>
        <w:t>12.3 Threshold and top-k evaluation</w:t>
      </w:r>
    </w:p>
    <w:p>
      <w:pPr>
        <w:pStyle w:val="CodeBlock"/>
      </w:pPr>
      <w:r>
        <w:rPr>
          <w:rFonts w:ascii="Consolas" w:hAnsi="Consolas"/>
          <w:sz w:val="16"/>
        </w:rPr>
        <w:t>python scripts/eval_temporal_gcn_thresholds.py \</w:t>
        <w:br/>
        <w:t xml:space="preserve">  --data data/processed/graph_dataset/paper1_temporal_graphs_ds2_4x4_portfeat.npz \</w:t>
        <w:br/>
        <w:t xml:space="preserve">  --model-dir models/temporal_gcn_float_placement_ds2_4x4_portfeat \</w:t>
        <w:br/>
        <w:t xml:space="preserve">  --batch-size 512 \</w:t>
        <w:br/>
        <w:t xml:space="preserve">  | tee logs/eval_thresholds_placement_ds2_4x4_portfeat.log</w:t>
        <w:br/>
        <w:br/>
        <w:t>python scripts/eval_temporal_gcn_topk.py \</w:t>
        <w:br/>
        <w:t xml:space="preserve">  --data data/processed/graph_dataset/paper1_temporal_graphs_ds2_4x4_portfeat.npz \</w:t>
        <w:br/>
        <w:t xml:space="preserve">  --model-dir models/temporal_gcn_float_placement_ds2_4x4_portfeat \</w:t>
        <w:br/>
        <w:t xml:space="preserve">  --batch-size 512 \</w:t>
        <w:br/>
        <w:t xml:space="preserve">  | tee logs/eval_topk_placement_ds2_4x4_portfeat.log</w:t>
      </w:r>
    </w:p>
    <w:p>
      <w:pPr>
        <w:pStyle w:val="Heading1"/>
      </w:pPr>
      <w:r>
        <w:t>13. Next steps</w:t>
      </w:r>
    </w:p>
    <w:p>
      <w:pPr>
        <w:pStyle w:val="ListBullet"/>
      </w:pPr>
      <w:r>
        <w:t>Run a balanced placement split where validation and test both contain 1-, 2-, and 3-attacker cases.</w:t>
      </w:r>
    </w:p>
    <w:p>
      <w:pPr>
        <w:pStyle w:val="ListBullet"/>
      </w:pPr>
      <w:r>
        <w:t>Perform feature ablation: aggregate only, port counts only, port IFD only, and all 24 features.</w:t>
      </w:r>
    </w:p>
    <w:p>
      <w:pPr>
        <w:pStyle w:val="ListBullet"/>
      </w:pPr>
      <w:r>
        <w:t>Perform error analysis to identify hard placements and whether failures occur near victims or along forwarding paths.</w:t>
      </w:r>
    </w:p>
    <w:p>
      <w:pPr>
        <w:pStyle w:val="ListBullet"/>
      </w:pPr>
      <w:r>
        <w:t>Explore hardware-friendly feature reduction to test whether 10-12 features can preserve most of the localization gain.</w:t>
      </w:r>
    </w:p>
    <w:p>
      <w:pPr>
        <w:pStyle w:val="ListBullet"/>
      </w:pPr>
      <w:r>
        <w:t>Run multiple random seeds before making final paper-quality numerical claims.</w:t>
      </w:r>
    </w:p>
    <w:p>
      <w:pPr>
        <w:pStyle w:val="Heading1"/>
      </w:pPr>
      <w:r>
        <w:t>14. Final conclusion</w:t>
      </w:r>
    </w:p>
    <w:p>
      <w:r>
        <w:t>Aggregate router-level temporal features are sufficient for graph-level DoS detection, but insufficient for precise malicious-router localization. Per-port directional temporal features significantly improve localization. The strongest current result is the 24-feature placement split with fixed threshold 0.50: graph F1 = 0.9990, node F1 = 0.9572, exact localization = 0.7798, and topK exact localization = 0.8934.</w:t>
      </w:r>
    </w:p>
    <w:p>
      <w:r>
        <w:t>Therefore, the project direction is validated: temporal modeling plus graph message passing works, but localization requires directional NoC features.</w:t>
      </w:r>
    </w:p>
    <w:p>
      <w:pPr>
        <w:sectPr>
          <w:footerReference w:type="default" r:id="rId9"/>
          <w:pgSz w:w="12240" w:h="15840"/>
          <w:pgMar w:top="864" w:right="936" w:bottom="864" w:left="936" w:header="720" w:footer="720" w:gutter="0"/>
          <w:cols w:space="720"/>
          <w:docGrid w:linePitch="360"/>
        </w:sectPr>
      </w:pPr>
    </w:p>
    <w:p>
      <w:pPr>
        <w:pStyle w:val="Heading1"/>
      </w:pPr>
      <w:r>
        <w:t>Appendix A. Exact saved summary values</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c>
          <w:tcPr>
            <w:tcW w:type="dxa" w:w="3456"/>
            <w:shd w:fill="1F4E79"/>
            <w:vAlign w:val="center"/>
          </w:tcPr>
          <w:p>
            <w:pPr>
              <w:jc w:val="center"/>
            </w:pPr>
            <w:r>
              <w:rPr>
                <w:b/>
                <w:color w:val="FFFFFF"/>
              </w:rPr>
              <w:t>Model</w:t>
            </w:r>
          </w:p>
        </w:tc>
        <w:tc>
          <w:tcPr>
            <w:tcW w:type="dxa" w:w="1584"/>
            <w:shd w:fill="1F4E79"/>
            <w:vAlign w:val="center"/>
          </w:tcPr>
          <w:p>
            <w:pPr>
              <w:jc w:val="center"/>
            </w:pPr>
            <w:r>
              <w:rPr>
                <w:b/>
                <w:color w:val="FFFFFF"/>
              </w:rPr>
              <w:t>Best epoch</w:t>
            </w:r>
          </w:p>
        </w:tc>
        <w:tc>
          <w:tcPr>
            <w:tcW w:type="dxa" w:w="1584"/>
            <w:shd w:fill="1F4E79"/>
            <w:vAlign w:val="center"/>
          </w:tcPr>
          <w:p>
            <w:pPr>
              <w:jc w:val="center"/>
            </w:pPr>
            <w:r>
              <w:rPr>
                <w:b/>
                <w:color w:val="FFFFFF"/>
              </w:rPr>
              <w:t>Graph F1</w:t>
            </w:r>
          </w:p>
        </w:tc>
        <w:tc>
          <w:tcPr>
            <w:tcW w:type="dxa" w:w="1584"/>
            <w:shd w:fill="1F4E79"/>
            <w:vAlign w:val="center"/>
          </w:tcPr>
          <w:p>
            <w:pPr>
              <w:jc w:val="center"/>
            </w:pPr>
            <w:r>
              <w:rPr>
                <w:b/>
                <w:color w:val="FFFFFF"/>
              </w:rPr>
              <w:t>Node F1</w:t>
            </w:r>
          </w:p>
        </w:tc>
        <w:tc>
          <w:tcPr>
            <w:tcW w:type="dxa" w:w="1872"/>
            <w:shd w:fill="1F4E79"/>
            <w:vAlign w:val="center"/>
          </w:tcPr>
          <w:p>
            <w:pPr>
              <w:jc w:val="center"/>
            </w:pPr>
            <w:r>
              <w:rPr>
                <w:b/>
                <w:color w:val="FFFFFF"/>
              </w:rPr>
              <w:t>Exact localization</w:t>
            </w:r>
          </w:p>
        </w:tc>
      </w:tr>
      <w:tr>
        <w:tc>
          <w:tcPr>
            <w:tcW w:type="dxa" w:w="3456"/>
            <w:vAlign w:val="center"/>
          </w:tcPr>
          <w:p>
            <w:pPr>
              <w:spacing w:after="0"/>
            </w:pPr>
            <w:r>
              <w:t>Prototype port-feature model</w:t>
            </w:r>
          </w:p>
        </w:tc>
        <w:tc>
          <w:tcPr>
            <w:tcW w:type="dxa" w:w="1584"/>
            <w:vAlign w:val="center"/>
          </w:tcPr>
          <w:p>
            <w:pPr>
              <w:spacing w:after="0"/>
            </w:pPr>
            <w:r>
              <w:t>37</w:t>
            </w:r>
          </w:p>
        </w:tc>
        <w:tc>
          <w:tcPr>
            <w:tcW w:type="dxa" w:w="1584"/>
            <w:vAlign w:val="center"/>
          </w:tcPr>
          <w:p>
            <w:pPr>
              <w:spacing w:after="0"/>
              <w:jc w:val="center"/>
            </w:pPr>
            <w:r>
              <w:t>0.9524646340</w:t>
            </w:r>
          </w:p>
        </w:tc>
        <w:tc>
          <w:tcPr>
            <w:tcW w:type="dxa" w:w="1584"/>
            <w:vAlign w:val="center"/>
          </w:tcPr>
          <w:p>
            <w:pPr>
              <w:spacing w:after="0"/>
              <w:jc w:val="center"/>
            </w:pPr>
            <w:r>
              <w:t>0.8791665122</w:t>
            </w:r>
          </w:p>
        </w:tc>
        <w:tc>
          <w:tcPr>
            <w:tcW w:type="dxa" w:w="1872"/>
            <w:vAlign w:val="center"/>
          </w:tcPr>
          <w:p>
            <w:pPr>
              <w:spacing w:after="0"/>
              <w:jc w:val="center"/>
            </w:pPr>
            <w:r>
              <w:t>0.5871017871</w:t>
            </w:r>
          </w:p>
        </w:tc>
      </w:tr>
      <w:tr>
        <w:tc>
          <w:tcPr>
            <w:tcW w:type="dxa" w:w="3456"/>
            <w:vAlign w:val="center"/>
          </w:tcPr>
          <w:p>
            <w:pPr>
              <w:spacing w:after="0"/>
            </w:pPr>
            <w:r>
              <w:t>Placement port-feature model</w:t>
            </w:r>
          </w:p>
        </w:tc>
        <w:tc>
          <w:tcPr>
            <w:tcW w:type="dxa" w:w="1584"/>
            <w:vAlign w:val="center"/>
          </w:tcPr>
          <w:p>
            <w:pPr>
              <w:spacing w:after="0"/>
            </w:pPr>
            <w:r>
              <w:t>58</w:t>
            </w:r>
          </w:p>
        </w:tc>
        <w:tc>
          <w:tcPr>
            <w:tcW w:type="dxa" w:w="1584"/>
            <w:vAlign w:val="center"/>
          </w:tcPr>
          <w:p>
            <w:pPr>
              <w:spacing w:after="0"/>
              <w:jc w:val="center"/>
            </w:pPr>
            <w:r>
              <w:t>0.9990129831</w:t>
            </w:r>
          </w:p>
        </w:tc>
        <w:tc>
          <w:tcPr>
            <w:tcW w:type="dxa" w:w="1584"/>
            <w:vAlign w:val="center"/>
          </w:tcPr>
          <w:p>
            <w:pPr>
              <w:spacing w:after="0"/>
              <w:jc w:val="center"/>
            </w:pPr>
            <w:r>
              <w:t>0.9572213501</w:t>
            </w:r>
          </w:p>
        </w:tc>
        <w:tc>
          <w:tcPr>
            <w:tcW w:type="dxa" w:w="1872"/>
            <w:vAlign w:val="center"/>
          </w:tcPr>
          <w:p>
            <w:pPr>
              <w:spacing w:after="0"/>
              <w:jc w:val="center"/>
            </w:pPr>
            <w:r>
              <w:t>0.7798333569</w:t>
            </w:r>
          </w:p>
        </w:tc>
      </w:tr>
    </w:tbl>
    <w:p/>
    <w:p>
      <w:pPr>
        <w:pStyle w:val="CodeBlock"/>
      </w:pPr>
      <w:r>
        <w:rPr>
          <w:rFonts w:ascii="Consolas" w:hAnsi="Consolas"/>
          <w:sz w:val="16"/>
        </w:rPr>
        <w:t>Prototype summary file:</w:t>
        <w:br/>
        <w:t>models/temporal_gcn_float_prototype_ds2_4x4_portfeat/summary.json</w:t>
        <w:br/>
        <w:br/>
        <w:t>Placement summary file:</w:t>
        <w:br/>
        <w:t>models/temporal_gcn_float_placement_ds2_4x4_portfeat/summary.json</w:t>
      </w:r>
    </w:p>
    <w:sectPr w:rsidR="00FC693F" w:rsidRPr="0006063C" w:rsidSect="00034616">
      <w:footerReference w:type="default" r:id="rId11"/>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DS2 4x4 Port-Feature Temporal GCN Report</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DS2 4x4 Port-Feature Temporal GCN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60"/>
      <w:ind w:left="173" w:right="173"/>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