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792000" cy="792000"/>
            <wp:docPr id="1" name="Picture 1"/>
            <wp:cNvGraphicFramePr>
              <a:graphicFrameLocks noChangeAspect="1"/>
            </wp:cNvGraphicFramePr>
            <a:graphic>
              <a:graphicData uri="http://schemas.openxmlformats.org/drawingml/2006/picture">
                <pic:pic>
                  <pic:nvPicPr>
                    <pic:cNvPr id="0" name="iitgn_seal.png"/>
                    <pic:cNvPicPr/>
                  </pic:nvPicPr>
                  <pic:blipFill>
                    <a:blip r:embed="rId9"/>
                    <a:stretch>
                      <a:fillRect/>
                    </a:stretch>
                  </pic:blipFill>
                  <pic:spPr>
                    <a:xfrm>
                      <a:off x="0" y="0"/>
                      <a:ext cx="792000" cy="792000"/>
                    </a:xfrm>
                    <a:prstGeom prst="rect"/>
                  </pic:spPr>
                </pic:pic>
              </a:graphicData>
            </a:graphic>
          </wp:inline>
        </w:drawing>
      </w:r>
    </w:p>
    <w:p>
      <w:r>
        <w:rPr>
          <w:rFonts w:ascii="Arial" w:hAnsi="Arial"/>
          <w:b w:val="0"/>
          <w:i w:val="0"/>
          <w:color w:val="6B6690"/>
          <w:sz w:val="18"/>
        </w:rPr>
        <w:t>Indian Institute of Technology Gandhinagar · PG Diploma in AI-ML and Agentic AI Engineering · Cohort 2</w:t>
      </w:r>
    </w:p>
    <w:p>
      <w:r>
        <w:rPr>
          <w:rFonts w:ascii="Georgia" w:hAnsi="Georgia"/>
          <w:b/>
          <w:color w:val="1A0F5C"/>
          <w:sz w:val="44"/>
        </w:rPr>
        <w:t>Project document · Build 1 · Brief C · Money</w:t>
      </w:r>
    </w:p>
    <w:p>
      <w:r>
        <w:rPr>
          <w:rFonts w:ascii="Arial" w:hAnsi="Arial"/>
          <w:b w:val="0"/>
          <w:i/>
          <w:color w:val="6B6690"/>
          <w:sz w:val="20"/>
        </w:rPr>
        <w:t>A worked example. Every name below is fictional and the numbers are illustrative; the shape is what to copy.</w:t>
      </w:r>
    </w:p>
    <w:p>
      <w:pPr>
        <w:pStyle w:val="Heading1"/>
      </w:pPr>
      <w:r>
        <w:rPr>
          <w:rFonts w:ascii="Georgia" w:hAnsi="Georgia"/>
          <w:color w:val="1A0F5C"/>
        </w:rPr>
        <w:t>1. Charter</w:t>
      </w:r>
    </w:p>
    <w:tbl>
      <w:tblPr>
        <w:tblStyle w:val="TableGrid"/>
        <w:tblW w:type="auto" w:w="0"/>
        <w:tblLook w:firstColumn="1" w:firstRow="1" w:lastColumn="0" w:lastRow="0" w:noHBand="0" w:noVBand="1" w:val="04A0"/>
      </w:tblPr>
      <w:tblGrid>
        <w:gridCol w:w="4986"/>
        <w:gridCol w:w="4986"/>
      </w:tblGrid>
      <w:tr>
        <w:tc>
          <w:tcPr>
            <w:tcW w:type="dxa" w:w="2268"/>
            <w:shd w:val="clear" w:color="auto" w:fill="4E38AB"/>
          </w:tcPr>
          <w:p>
            <w:r/>
            <w:r>
              <w:rPr>
                <w:rFonts w:ascii="Arial" w:hAnsi="Arial"/>
                <w:b/>
                <w:color w:val="FFFFFF"/>
                <w:sz w:val="19"/>
              </w:rPr>
              <w:t>Field</w:t>
            </w:r>
          </w:p>
        </w:tc>
        <w:tc>
          <w:tcPr>
            <w:tcW w:type="dxa" w:w="7370"/>
            <w:shd w:val="clear" w:color="auto" w:fill="4E38AB"/>
          </w:tcPr>
          <w:p>
            <w:r/>
            <w:r>
              <w:rPr>
                <w:rFonts w:ascii="Arial" w:hAnsi="Arial"/>
                <w:b/>
                <w:color w:val="FFFFFF"/>
                <w:sz w:val="19"/>
              </w:rPr>
              <w:t>Entry</w:t>
            </w:r>
          </w:p>
        </w:tc>
      </w:tr>
      <w:tr>
        <w:tc>
          <w:tcPr>
            <w:tcW w:type="dxa" w:w="2268"/>
          </w:tcPr>
          <w:p>
            <w:r/>
            <w:r>
              <w:rPr>
                <w:rFonts w:ascii="Arial" w:hAnsi="Arial"/>
                <w:sz w:val="19"/>
              </w:rPr>
              <w:t>Project</w:t>
            </w:r>
          </w:p>
        </w:tc>
        <w:tc>
          <w:tcPr>
            <w:tcW w:type="dxa" w:w="7370"/>
          </w:tcPr>
          <w:p>
            <w:r/>
            <w:r>
              <w:rPr>
                <w:rFonts w:ascii="Arial" w:hAnsi="Arial"/>
                <w:sz w:val="19"/>
              </w:rPr>
              <w:t>Build 1 · Data to Insight in Kalpa Health · Brief C, Money</w:t>
            </w:r>
          </w:p>
        </w:tc>
      </w:tr>
      <w:tr>
        <w:tc>
          <w:tcPr>
            <w:tcW w:type="dxa" w:w="2268"/>
          </w:tcPr>
          <w:p>
            <w:r/>
            <w:r>
              <w:rPr>
                <w:rFonts w:ascii="Arial" w:hAnsi="Arial"/>
                <w:sz w:val="19"/>
              </w:rPr>
              <w:t>Sponsor</w:t>
            </w:r>
          </w:p>
        </w:tc>
        <w:tc>
          <w:tcPr>
            <w:tcW w:type="dxa" w:w="7370"/>
          </w:tcPr>
          <w:p>
            <w:r/>
            <w:r>
              <w:rPr>
                <w:rFonts w:ascii="Arial" w:hAnsi="Arial"/>
                <w:sz w:val="19"/>
              </w:rPr>
              <w:t>Dr Priya Menon, COO, Kalpa Health</w:t>
            </w:r>
          </w:p>
        </w:tc>
      </w:tr>
      <w:tr>
        <w:tc>
          <w:tcPr>
            <w:tcW w:type="dxa" w:w="2268"/>
          </w:tcPr>
          <w:p>
            <w:r/>
            <w:r>
              <w:rPr>
                <w:rFonts w:ascii="Arial" w:hAnsi="Arial"/>
                <w:sz w:val="19"/>
              </w:rPr>
              <w:t>Reviewers</w:t>
            </w:r>
          </w:p>
        </w:tc>
        <w:tc>
          <w:tcPr>
            <w:tcW w:type="dxa" w:w="7370"/>
          </w:tcPr>
          <w:p>
            <w:r/>
            <w:r>
              <w:rPr>
                <w:rFonts w:ascii="Arial" w:hAnsi="Arial"/>
                <w:sz w:val="19"/>
              </w:rPr>
              <w:t>The finance controller (auditability of every bar in the bridge)</w:t>
            </w:r>
          </w:p>
        </w:tc>
      </w:tr>
      <w:tr>
        <w:tc>
          <w:tcPr>
            <w:tcW w:type="dxa" w:w="2268"/>
          </w:tcPr>
          <w:p>
            <w:r/>
            <w:r>
              <w:rPr>
                <w:rFonts w:ascii="Arial" w:hAnsi="Arial"/>
                <w:sz w:val="19"/>
              </w:rPr>
              <w:t>Group 4</w:t>
            </w:r>
          </w:p>
        </w:tc>
        <w:tc>
          <w:tcPr>
            <w:tcW w:type="dxa" w:w="7370"/>
          </w:tcPr>
          <w:p>
            <w:r/>
            <w:r>
              <w:rPr>
                <w:rFonts w:ascii="Arial" w:hAnsi="Arial"/>
                <w:sz w:val="19"/>
              </w:rPr>
              <w:t>Aditi Rao (lead, bridge and payments), Karan Mehta (invoices and the mapping rule), Neha Pillai (profiling, decisions log, cold run), Varun Joshi (SQL, slides, video edit)</w:t>
            </w:r>
          </w:p>
        </w:tc>
      </w:tr>
      <w:tr>
        <w:tc>
          <w:tcPr>
            <w:tcW w:type="dxa" w:w="2268"/>
          </w:tcPr>
          <w:p>
            <w:r/>
            <w:r>
              <w:rPr>
                <w:rFonts w:ascii="Arial" w:hAnsi="Arial"/>
                <w:sz w:val="19"/>
              </w:rPr>
              <w:t>Repository</w:t>
            </w:r>
          </w:p>
        </w:tc>
        <w:tc>
          <w:tcPr>
            <w:tcW w:type="dxa" w:w="7370"/>
          </w:tcPr>
          <w:p>
            <w:r/>
            <w:r>
              <w:rPr>
                <w:rFonts w:ascii="Arial" w:hAnsi="Arial"/>
                <w:sz w:val="19"/>
              </w:rPr>
              <w:t>github.com/&lt;org&gt;/c2-build1-brief-c-group-4 (public)</w:t>
            </w:r>
          </w:p>
        </w:tc>
      </w:tr>
      <w:tr>
        <w:tc>
          <w:tcPr>
            <w:tcW w:type="dxa" w:w="2268"/>
          </w:tcPr>
          <w:p>
            <w:r/>
            <w:r>
              <w:rPr>
                <w:rFonts w:ascii="Arial" w:hAnsi="Arial"/>
                <w:sz w:val="19"/>
              </w:rPr>
              <w:t>Working days</w:t>
            </w:r>
          </w:p>
        </w:tc>
        <w:tc>
          <w:tcPr>
            <w:tcW w:type="dxa" w:w="7370"/>
          </w:tcPr>
          <w:p>
            <w:r/>
            <w:r>
              <w:rPr>
                <w:rFonts w:ascii="Arial" w:hAnsi="Arial"/>
                <w:sz w:val="19"/>
              </w:rPr>
              <w:t>Three, ending with the presentation</w:t>
            </w:r>
          </w:p>
        </w:tc>
      </w:tr>
      <w:tr>
        <w:tc>
          <w:tcPr>
            <w:tcW w:type="dxa" w:w="2268"/>
          </w:tcPr>
          <w:p>
            <w:r/>
            <w:r>
              <w:rPr>
                <w:rFonts w:ascii="Arial" w:hAnsi="Arial"/>
                <w:sz w:val="19"/>
              </w:rPr>
              <w:t>Charter committed</w:t>
            </w:r>
          </w:p>
        </w:tc>
        <w:tc>
          <w:tcPr>
            <w:tcW w:type="dxa" w:w="7370"/>
          </w:tcPr>
          <w:p>
            <w:r/>
            <w:r>
              <w:rPr>
                <w:rFonts w:ascii="Arial" w:hAnsi="Arial"/>
                <w:sz w:val="19"/>
              </w:rPr>
              <w:t>Day 1, commit 3f2a9c1</w:t>
            </w:r>
          </w:p>
        </w:tc>
      </w:tr>
    </w:tbl>
    <w:p/>
    <w:p>
      <w:pPr>
        <w:pStyle w:val="Heading1"/>
      </w:pPr>
      <w:r>
        <w:rPr>
          <w:rFonts w:ascii="Georgia" w:hAnsi="Georgia"/>
          <w:color w:val="1A0F5C"/>
        </w:rPr>
        <w:t>2. The question</w:t>
      </w:r>
    </w:p>
    <w:p>
      <w:r>
        <w:rPr>
          <w:rFonts w:ascii="Arial" w:hAnsi="Arial"/>
          <w:b w:val="0"/>
          <w:i/>
          <w:sz w:val="21"/>
        </w:rPr>
        <w:t>In the sponsor's words: “Billing says we invoiced one figure for the second quarter. The payment feed says we collected another. My finance team needs to know which invoices were never paid, which payments match no invoice, and how much of the gap is only timing.”</w:t>
      </w:r>
    </w:p>
    <w:p>
      <w:r>
        <w:rPr>
          <w:rFonts w:ascii="Arial" w:hAnsi="Arial"/>
          <w:b w:val="0"/>
          <w:i w:val="0"/>
          <w:sz w:val="21"/>
        </w:rPr>
        <w:t>In ours: the controller cannot report Q2 revenue upward without an asterisk because invoiced and collected disagree and nobody has sized the gap. The decision that hangs on the answer is whether to chase money (a leak), wait (timing) or fix the feed (a counting problem). Each has a different owner and a different cost.</w:t>
      </w:r>
    </w:p>
    <w:p>
      <w:r>
        <w:rPr>
          <w:rFonts w:ascii="Arial" w:hAnsi="Arial"/>
          <w:b w:val="0"/>
          <w:i w:val="0"/>
          <w:sz w:val="21"/>
        </w:rPr>
        <w:t>The question she did not ask: whether the same gap exists in Q1 and Q4, which would tell her if the problem started with the gateway switch.</w:t>
      </w:r>
    </w:p>
    <w:p>
      <w:pPr>
        <w:pStyle w:val="Heading1"/>
      </w:pPr>
      <w:r>
        <w:rPr>
          <w:rFonts w:ascii="Georgia" w:hAnsi="Georgia"/>
          <w:color w:val="1A0F5C"/>
        </w:rPr>
        <w:t>3. Deliverables and acceptance</w:t>
      </w:r>
    </w:p>
    <w:tbl>
      <w:tblPr>
        <w:tblStyle w:val="TableGrid"/>
        <w:tblW w:type="auto" w:w="0"/>
        <w:tblLook w:firstColumn="1" w:firstRow="1" w:lastColumn="0" w:lastRow="0" w:noHBand="0" w:noVBand="1" w:val="04A0"/>
      </w:tblPr>
      <w:tblGrid>
        <w:gridCol w:w="2493"/>
        <w:gridCol w:w="2493"/>
        <w:gridCol w:w="2493"/>
        <w:gridCol w:w="2493"/>
      </w:tblGrid>
      <w:tr>
        <w:tc>
          <w:tcPr>
            <w:tcW w:type="dxa" w:w="567"/>
            <w:shd w:val="clear" w:color="auto" w:fill="4E38AB"/>
          </w:tcPr>
          <w:p>
            <w:r/>
            <w:r>
              <w:rPr>
                <w:rFonts w:ascii="Arial" w:hAnsi="Arial"/>
                <w:b/>
                <w:color w:val="FFFFFF"/>
                <w:sz w:val="19"/>
              </w:rPr>
              <w:t>#</w:t>
            </w:r>
          </w:p>
        </w:tc>
        <w:tc>
          <w:tcPr>
            <w:tcW w:type="dxa" w:w="2835"/>
            <w:shd w:val="clear" w:color="auto" w:fill="4E38AB"/>
          </w:tcPr>
          <w:p>
            <w:r/>
            <w:r>
              <w:rPr>
                <w:rFonts w:ascii="Arial" w:hAnsi="Arial"/>
                <w:b/>
                <w:color w:val="FFFFFF"/>
                <w:sz w:val="19"/>
              </w:rPr>
              <w:t>Deliverable</w:t>
            </w:r>
          </w:p>
        </w:tc>
        <w:tc>
          <w:tcPr>
            <w:tcW w:type="dxa" w:w="4535"/>
            <w:shd w:val="clear" w:color="auto" w:fill="4E38AB"/>
          </w:tcPr>
          <w:p>
            <w:r/>
            <w:r>
              <w:rPr>
                <w:rFonts w:ascii="Arial" w:hAnsi="Arial"/>
                <w:b/>
                <w:color w:val="FFFFFF"/>
                <w:sz w:val="19"/>
              </w:rPr>
              <w:t>Acceptance test</w:t>
            </w:r>
          </w:p>
        </w:tc>
        <w:tc>
          <w:tcPr>
            <w:tcW w:type="dxa" w:w="1701"/>
            <w:shd w:val="clear" w:color="auto" w:fill="4E38AB"/>
          </w:tcPr>
          <w:p>
            <w:r/>
            <w:r>
              <w:rPr>
                <w:rFonts w:ascii="Arial" w:hAnsi="Arial"/>
                <w:b/>
                <w:color w:val="FFFFFF"/>
                <w:sz w:val="19"/>
              </w:rPr>
              <w:t>Owner</w:t>
            </w:r>
          </w:p>
        </w:tc>
      </w:tr>
      <w:tr>
        <w:tc>
          <w:tcPr>
            <w:tcW w:type="dxa" w:w="567"/>
          </w:tcPr>
          <w:p>
            <w:r/>
            <w:r>
              <w:rPr>
                <w:rFonts w:ascii="Arial" w:hAnsi="Arial"/>
                <w:sz w:val="19"/>
              </w:rPr>
              <w:t>D1</w:t>
            </w:r>
          </w:p>
        </w:tc>
        <w:tc>
          <w:tcPr>
            <w:tcW w:type="dxa" w:w="2835"/>
          </w:tcPr>
          <w:p>
            <w:r/>
            <w:r>
              <w:rPr>
                <w:rFonts w:ascii="Arial" w:hAnsi="Arial"/>
                <w:sz w:val="19"/>
              </w:rPr>
              <w:t>The claim on slide 3</w:t>
            </w:r>
          </w:p>
        </w:tc>
        <w:tc>
          <w:tcPr>
            <w:tcW w:type="dxa" w:w="4535"/>
          </w:tcPr>
          <w:p>
            <w:r/>
            <w:r>
              <w:rPr>
                <w:rFonts w:ascii="Arial" w:hAnsi="Arial"/>
                <w:sz w:val="19"/>
              </w:rPr>
              <w:t>The controller can repeat it without a follow-up she cannot answer</w:t>
            </w:r>
          </w:p>
        </w:tc>
        <w:tc>
          <w:tcPr>
            <w:tcW w:type="dxa" w:w="1701"/>
          </w:tcPr>
          <w:p>
            <w:r/>
            <w:r>
              <w:rPr>
                <w:rFonts w:ascii="Arial" w:hAnsi="Arial"/>
                <w:sz w:val="19"/>
              </w:rPr>
              <w:t>Aditi</w:t>
            </w:r>
          </w:p>
        </w:tc>
      </w:tr>
      <w:tr>
        <w:tc>
          <w:tcPr>
            <w:tcW w:type="dxa" w:w="567"/>
          </w:tcPr>
          <w:p>
            <w:r/>
            <w:r>
              <w:rPr>
                <w:rFonts w:ascii="Arial" w:hAnsi="Arial"/>
                <w:sz w:val="19"/>
              </w:rPr>
              <w:t>D2</w:t>
            </w:r>
          </w:p>
        </w:tc>
        <w:tc>
          <w:tcPr>
            <w:tcW w:type="dxa" w:w="2835"/>
          </w:tcPr>
          <w:p>
            <w:r/>
            <w:r>
              <w:rPr>
                <w:rFonts w:ascii="Arial" w:hAnsi="Arial"/>
                <w:sz w:val="19"/>
              </w:rPr>
              <w:t>Notebooks 01 to 06 and sql/06_bridge.sql</w:t>
            </w:r>
          </w:p>
        </w:tc>
        <w:tc>
          <w:tcPr>
            <w:tcW w:type="dxa" w:w="4535"/>
          </w:tcPr>
          <w:p>
            <w:r/>
            <w:r>
              <w:rPr>
                <w:rFonts w:ascii="Arial" w:hAnsi="Arial"/>
                <w:sz w:val="19"/>
              </w:rPr>
              <w:t>Neha's cold run on a fresh Codespace produces the slide-3 number</w:t>
            </w:r>
          </w:p>
        </w:tc>
        <w:tc>
          <w:tcPr>
            <w:tcW w:type="dxa" w:w="1701"/>
          </w:tcPr>
          <w:p>
            <w:r/>
            <w:r>
              <w:rPr>
                <w:rFonts w:ascii="Arial" w:hAnsi="Arial"/>
                <w:sz w:val="19"/>
              </w:rPr>
              <w:t>Karan, Varun</w:t>
            </w:r>
          </w:p>
        </w:tc>
      </w:tr>
      <w:tr>
        <w:tc>
          <w:tcPr>
            <w:tcW w:type="dxa" w:w="567"/>
          </w:tcPr>
          <w:p>
            <w:r/>
            <w:r>
              <w:rPr>
                <w:rFonts w:ascii="Arial" w:hAnsi="Arial"/>
                <w:sz w:val="19"/>
              </w:rPr>
              <w:t>D3</w:t>
            </w:r>
          </w:p>
        </w:tc>
        <w:tc>
          <w:tcPr>
            <w:tcW w:type="dxa" w:w="2835"/>
          </w:tcPr>
          <w:p>
            <w:r/>
            <w:r>
              <w:rPr>
                <w:rFonts w:ascii="Arial" w:hAnsi="Arial"/>
                <w:sz w:val="19"/>
              </w:rPr>
              <w:t>The three logs</w:t>
            </w:r>
          </w:p>
        </w:tc>
        <w:tc>
          <w:tcPr>
            <w:tcW w:type="dxa" w:w="4535"/>
          </w:tcPr>
          <w:p>
            <w:r/>
            <w:r>
              <w:rPr>
                <w:rFonts w:ascii="Arial" w:hAnsi="Arial"/>
                <w:sz w:val="19"/>
              </w:rPr>
              <w:t>Every bar in the bridge traces to rows; every rule has a reason and an effect</w:t>
            </w:r>
          </w:p>
        </w:tc>
        <w:tc>
          <w:tcPr>
            <w:tcW w:type="dxa" w:w="1701"/>
          </w:tcPr>
          <w:p>
            <w:r/>
            <w:r>
              <w:rPr>
                <w:rFonts w:ascii="Arial" w:hAnsi="Arial"/>
                <w:sz w:val="19"/>
              </w:rPr>
              <w:t>Neha</w:t>
            </w:r>
          </w:p>
        </w:tc>
      </w:tr>
      <w:tr>
        <w:tc>
          <w:tcPr>
            <w:tcW w:type="dxa" w:w="567"/>
          </w:tcPr>
          <w:p>
            <w:r/>
            <w:r>
              <w:rPr>
                <w:rFonts w:ascii="Arial" w:hAnsi="Arial"/>
                <w:sz w:val="19"/>
              </w:rPr>
              <w:t>D4</w:t>
            </w:r>
          </w:p>
        </w:tc>
        <w:tc>
          <w:tcPr>
            <w:tcW w:type="dxa" w:w="2835"/>
          </w:tcPr>
          <w:p>
            <w:r/>
            <w:r>
              <w:rPr>
                <w:rFonts w:ascii="Arial" w:hAnsi="Arial"/>
                <w:sz w:val="19"/>
              </w:rPr>
              <w:t>The action on slide 6</w:t>
            </w:r>
          </w:p>
        </w:tc>
        <w:tc>
          <w:tcPr>
            <w:tcW w:type="dxa" w:w="4535"/>
          </w:tcPr>
          <w:p>
            <w:r/>
            <w:r>
              <w:rPr>
                <w:rFonts w:ascii="Arial" w:hAnsi="Arial"/>
                <w:sz w:val="19"/>
              </w:rPr>
              <w:t>Says what to chase, what to wait for, what to fix, and what each costs</w:t>
            </w:r>
          </w:p>
        </w:tc>
        <w:tc>
          <w:tcPr>
            <w:tcW w:type="dxa" w:w="1701"/>
          </w:tcPr>
          <w:p>
            <w:r/>
            <w:r>
              <w:rPr>
                <w:rFonts w:ascii="Arial" w:hAnsi="Arial"/>
                <w:sz w:val="19"/>
              </w:rPr>
              <w:t>Aditi</w:t>
            </w:r>
          </w:p>
        </w:tc>
      </w:tr>
      <w:tr>
        <w:tc>
          <w:tcPr>
            <w:tcW w:type="dxa" w:w="567"/>
          </w:tcPr>
          <w:p>
            <w:r/>
            <w:r>
              <w:rPr>
                <w:rFonts w:ascii="Arial" w:hAnsi="Arial"/>
                <w:sz w:val="19"/>
              </w:rPr>
              <w:t>D5</w:t>
            </w:r>
          </w:p>
        </w:tc>
        <w:tc>
          <w:tcPr>
            <w:tcW w:type="dxa" w:w="2835"/>
          </w:tcPr>
          <w:p>
            <w:r/>
            <w:r>
              <w:rPr>
                <w:rFonts w:ascii="Arial" w:hAnsi="Arial"/>
                <w:sz w:val="19"/>
              </w:rPr>
              <w:t>Write-ups and video</w:t>
            </w:r>
          </w:p>
        </w:tc>
        <w:tc>
          <w:tcPr>
            <w:tcW w:type="dxa" w:w="4535"/>
          </w:tcPr>
          <w:p>
            <w:r/>
            <w:r>
              <w:rPr>
                <w:rFonts w:ascii="Arial" w:hAnsi="Arial"/>
                <w:sz w:val="19"/>
              </w:rPr>
              <w:t>Four sections, four segments, each in the author's own commits</w:t>
            </w:r>
          </w:p>
        </w:tc>
        <w:tc>
          <w:tcPr>
            <w:tcW w:type="dxa" w:w="1701"/>
          </w:tcPr>
          <w:p>
            <w:r/>
            <w:r>
              <w:rPr>
                <w:rFonts w:ascii="Arial" w:hAnsi="Arial"/>
                <w:sz w:val="19"/>
              </w:rPr>
              <w:t>all</w:t>
            </w:r>
          </w:p>
        </w:tc>
      </w:tr>
    </w:tbl>
    <w:p/>
    <w:p>
      <w:pPr>
        <w:pStyle w:val="Heading1"/>
      </w:pPr>
      <w:r>
        <w:rPr>
          <w:rFonts w:ascii="Georgia" w:hAnsi="Georgia"/>
          <w:color w:val="1A0F5C"/>
        </w:rPr>
        <w:t>4. Translation and requirements</w:t>
      </w:r>
    </w:p>
    <w:tbl>
      <w:tblPr>
        <w:tblStyle w:val="TableGrid"/>
        <w:tblW w:type="auto" w:w="0"/>
        <w:tblLook w:firstColumn="1" w:firstRow="1" w:lastColumn="0" w:lastRow="0" w:noHBand="0" w:noVBand="1" w:val="04A0"/>
      </w:tblPr>
      <w:tblGrid>
        <w:gridCol w:w="3324"/>
        <w:gridCol w:w="3324"/>
        <w:gridCol w:w="3324"/>
      </w:tblGrid>
      <w:tr>
        <w:tc>
          <w:tcPr>
            <w:tcW w:type="dxa" w:w="2835"/>
            <w:shd w:val="clear" w:color="auto" w:fill="4E38AB"/>
          </w:tcPr>
          <w:p>
            <w:r/>
            <w:r>
              <w:rPr>
                <w:rFonts w:ascii="Arial" w:hAnsi="Arial"/>
                <w:b/>
                <w:color w:val="FFFFFF"/>
                <w:sz w:val="19"/>
              </w:rPr>
              <w:t>Her words</w:t>
            </w:r>
          </w:p>
        </w:tc>
        <w:tc>
          <w:tcPr>
            <w:tcW w:type="dxa" w:w="3402"/>
            <w:shd w:val="clear" w:color="auto" w:fill="4E38AB"/>
          </w:tcPr>
          <w:p>
            <w:r/>
            <w:r>
              <w:rPr>
                <w:rFonts w:ascii="Arial" w:hAnsi="Arial"/>
                <w:b/>
                <w:color w:val="FFFFFF"/>
                <w:sz w:val="19"/>
              </w:rPr>
              <w:t>Our method</w:t>
            </w:r>
          </w:p>
        </w:tc>
        <w:tc>
          <w:tcPr>
            <w:tcW w:type="dxa" w:w="3402"/>
            <w:shd w:val="clear" w:color="auto" w:fill="4E38AB"/>
          </w:tcPr>
          <w:p>
            <w:r/>
            <w:r>
              <w:rPr>
                <w:rFonts w:ascii="Arial" w:hAnsi="Arial"/>
                <w:b/>
                <w:color w:val="FFFFFF"/>
                <w:sz w:val="19"/>
              </w:rPr>
              <w:t>Where the vocabulary changes</w:t>
            </w:r>
          </w:p>
        </w:tc>
      </w:tr>
      <w:tr>
        <w:tc>
          <w:tcPr>
            <w:tcW w:type="dxa" w:w="2835"/>
          </w:tcPr>
          <w:p>
            <w:r/>
            <w:r>
              <w:rPr>
                <w:rFonts w:ascii="Arial" w:hAnsi="Arial"/>
                <w:sz w:val="19"/>
              </w:rPr>
              <w:t>Invoiced against collected</w:t>
            </w:r>
          </w:p>
        </w:tc>
        <w:tc>
          <w:tcPr>
            <w:tcW w:type="dxa" w:w="3402"/>
          </w:tcPr>
          <w:p>
            <w:r/>
            <w:r>
              <w:rPr>
                <w:rFonts w:ascii="Arial" w:hAnsi="Arial"/>
                <w:sz w:val="19"/>
              </w:rPr>
              <w:t>The revenue bridge from Week 1 Wednesday, with the anti-join from Week 2 Tuesday</w:t>
            </w:r>
          </w:p>
        </w:tc>
        <w:tc>
          <w:tcPr>
            <w:tcW w:type="dxa" w:w="3402"/>
          </w:tcPr>
          <w:p>
            <w:r/>
            <w:r>
              <w:rPr>
                <w:rFonts w:ascii="Arial" w:hAnsi="Arial"/>
                <w:sz w:val="19"/>
              </w:rPr>
              <w:t>An invoice is per visit, a payment is per attempt, a settlement is per day. Three grains, one bridge.</w:t>
            </w:r>
          </w:p>
        </w:tc>
      </w:tr>
    </w:tbl>
    <w:p/>
    <w:tbl>
      <w:tblPr>
        <w:tblStyle w:val="TableGrid"/>
        <w:tblW w:type="auto" w:w="0"/>
        <w:tblLook w:firstColumn="1" w:firstRow="1" w:lastColumn="0" w:lastRow="0" w:noHBand="0" w:noVBand="1" w:val="04A0"/>
      </w:tblPr>
      <w:tblGrid>
        <w:gridCol w:w="3324"/>
        <w:gridCol w:w="3324"/>
        <w:gridCol w:w="3324"/>
      </w:tblGrid>
      <w:tr>
        <w:tc>
          <w:tcPr>
            <w:tcW w:type="dxa" w:w="680"/>
            <w:shd w:val="clear" w:color="auto" w:fill="4E38AB"/>
          </w:tcPr>
          <w:p>
            <w:r/>
            <w:r>
              <w:rPr>
                <w:rFonts w:ascii="Arial" w:hAnsi="Arial"/>
                <w:b/>
                <w:color w:val="FFFFFF"/>
                <w:sz w:val="19"/>
              </w:rPr>
              <w:t>#</w:t>
            </w:r>
          </w:p>
        </w:tc>
        <w:tc>
          <w:tcPr>
            <w:tcW w:type="dxa" w:w="4535"/>
            <w:shd w:val="clear" w:color="auto" w:fill="4E38AB"/>
          </w:tcPr>
          <w:p>
            <w:r/>
            <w:r>
              <w:rPr>
                <w:rFonts w:ascii="Arial" w:hAnsi="Arial"/>
                <w:b/>
                <w:color w:val="FFFFFF"/>
                <w:sz w:val="19"/>
              </w:rPr>
              <w:t>Requirement</w:t>
            </w:r>
          </w:p>
        </w:tc>
        <w:tc>
          <w:tcPr>
            <w:tcW w:type="dxa" w:w="4422"/>
            <w:shd w:val="clear" w:color="auto" w:fill="4E38AB"/>
          </w:tcPr>
          <w:p>
            <w:r/>
            <w:r>
              <w:rPr>
                <w:rFonts w:ascii="Arial" w:hAnsi="Arial"/>
                <w:b/>
                <w:color w:val="FFFFFF"/>
                <w:sz w:val="19"/>
              </w:rPr>
              <w:t>How we show it is met</w:t>
            </w:r>
          </w:p>
        </w:tc>
      </w:tr>
      <w:tr>
        <w:tc>
          <w:tcPr>
            <w:tcW w:type="dxa" w:w="680"/>
          </w:tcPr>
          <w:p>
            <w:r/>
            <w:r>
              <w:rPr>
                <w:rFonts w:ascii="Arial" w:hAnsi="Arial"/>
                <w:sz w:val="19"/>
              </w:rPr>
              <w:t>F1</w:t>
            </w:r>
          </w:p>
        </w:tc>
        <w:tc>
          <w:tcPr>
            <w:tcW w:type="dxa" w:w="4535"/>
          </w:tcPr>
          <w:p>
            <w:r/>
            <w:r>
              <w:rPr>
                <w:rFonts w:ascii="Arial" w:hAnsi="Arial"/>
                <w:sz w:val="19"/>
              </w:rPr>
              <w:t>Reproduce the controller's invoiced and collected figures for Q2 2026, or explain the difference</w:t>
            </w:r>
          </w:p>
        </w:tc>
        <w:tc>
          <w:tcPr>
            <w:tcW w:type="dxa" w:w="4422"/>
          </w:tcPr>
          <w:p>
            <w:r/>
            <w:r>
              <w:rPr>
                <w:rFonts w:ascii="Arial" w:hAnsi="Arial"/>
                <w:sz w:val="19"/>
              </w:rPr>
              <w:t>The two totals in notebook 05, with the period and the definition beside them</w:t>
            </w:r>
          </w:p>
        </w:tc>
      </w:tr>
      <w:tr>
        <w:tc>
          <w:tcPr>
            <w:tcW w:type="dxa" w:w="680"/>
          </w:tcPr>
          <w:p>
            <w:r/>
            <w:r>
              <w:rPr>
                <w:rFonts w:ascii="Arial" w:hAnsi="Arial"/>
                <w:sz w:val="19"/>
              </w:rPr>
              <w:t>F2</w:t>
            </w:r>
          </w:p>
        </w:tc>
        <w:tc>
          <w:tcPr>
            <w:tcW w:type="dxa" w:w="4535"/>
          </w:tcPr>
          <w:p>
            <w:r/>
            <w:r>
              <w:rPr>
                <w:rFonts w:ascii="Arial" w:hAnsi="Arial"/>
                <w:sz w:val="19"/>
              </w:rPr>
              <w:t>A bridge in which every bar is a count and an amount, and both sides reconcile</w:t>
            </w:r>
          </w:p>
        </w:tc>
        <w:tc>
          <w:tcPr>
            <w:tcW w:type="dxa" w:w="4422"/>
          </w:tcPr>
          <w:p>
            <w:r/>
            <w:r>
              <w:rPr>
                <w:rFonts w:ascii="Arial" w:hAnsi="Arial"/>
                <w:sz w:val="19"/>
              </w:rPr>
              <w:t>checks.bridge_balances passes; the SQL version agrees to the rupee</w:t>
            </w:r>
          </w:p>
        </w:tc>
      </w:tr>
      <w:tr>
        <w:tc>
          <w:tcPr>
            <w:tcW w:type="dxa" w:w="680"/>
          </w:tcPr>
          <w:p>
            <w:r/>
            <w:r>
              <w:rPr>
                <w:rFonts w:ascii="Arial" w:hAnsi="Arial"/>
                <w:sz w:val="19"/>
              </w:rPr>
              <w:t>F3</w:t>
            </w:r>
          </w:p>
        </w:tc>
        <w:tc>
          <w:tcPr>
            <w:tcW w:type="dxa" w:w="4535"/>
          </w:tcPr>
          <w:p>
            <w:r/>
            <w:r>
              <w:rPr>
                <w:rFonts w:ascii="Arial" w:hAnsi="Arial"/>
                <w:sz w:val="19"/>
              </w:rPr>
              <w:t>Three lists finance can act on: never paid, matched to no invoice, matched to the wrong invoice</w:t>
            </w:r>
          </w:p>
        </w:tc>
        <w:tc>
          <w:tcPr>
            <w:tcW w:type="dxa" w:w="4422"/>
          </w:tcPr>
          <w:p>
            <w:r/>
            <w:r>
              <w:rPr>
                <w:rFonts w:ascii="Arial" w:hAnsi="Arial"/>
                <w:sz w:val="19"/>
              </w:rPr>
              <w:t>CSV files in data/clean with the query that produced each</w:t>
            </w:r>
          </w:p>
        </w:tc>
      </w:tr>
      <w:tr>
        <w:tc>
          <w:tcPr>
            <w:tcW w:type="dxa" w:w="680"/>
          </w:tcPr>
          <w:p>
            <w:r/>
            <w:r>
              <w:rPr>
                <w:rFonts w:ascii="Arial" w:hAnsi="Arial"/>
                <w:sz w:val="19"/>
              </w:rPr>
              <w:t>N1</w:t>
            </w:r>
          </w:p>
        </w:tc>
        <w:tc>
          <w:tcPr>
            <w:tcW w:type="dxa" w:w="4535"/>
          </w:tcPr>
          <w:p>
            <w:r/>
            <w:r>
              <w:rPr>
                <w:rFonts w:ascii="Arial" w:hAnsi="Arial"/>
                <w:sz w:val="19"/>
              </w:rPr>
              <w:t>Cold run under ten minutes</w:t>
            </w:r>
          </w:p>
        </w:tc>
        <w:tc>
          <w:tcPr>
            <w:tcW w:type="dxa" w:w="4422"/>
          </w:tcPr>
          <w:p>
            <w:r/>
            <w:r>
              <w:rPr>
                <w:rFonts w:ascii="Arial" w:hAnsi="Arial"/>
                <w:sz w:val="19"/>
              </w:rPr>
              <w:t>Logged in the decisions log by someone who did not write the code</w:t>
            </w:r>
          </w:p>
        </w:tc>
      </w:tr>
      <w:tr>
        <w:tc>
          <w:tcPr>
            <w:tcW w:type="dxa" w:w="680"/>
          </w:tcPr>
          <w:p>
            <w:r/>
            <w:r>
              <w:rPr>
                <w:rFonts w:ascii="Arial" w:hAnsi="Arial"/>
                <w:sz w:val="19"/>
              </w:rPr>
              <w:t>N2</w:t>
            </w:r>
          </w:p>
        </w:tc>
        <w:tc>
          <w:tcPr>
            <w:tcW w:type="dxa" w:w="4535"/>
          </w:tcPr>
          <w:p>
            <w:r/>
            <w:r>
              <w:rPr>
                <w:rFonts w:ascii="Arial" w:hAnsi="Arial"/>
                <w:sz w:val="19"/>
              </w:rPr>
              <w:t>Every bar traces to rows</w:t>
            </w:r>
          </w:p>
        </w:tc>
        <w:tc>
          <w:tcPr>
            <w:tcW w:type="dxa" w:w="4422"/>
          </w:tcPr>
          <w:p>
            <w:r/>
            <w:r>
              <w:rPr>
                <w:rFonts w:ascii="Arial" w:hAnsi="Arial"/>
                <w:sz w:val="19"/>
              </w:rPr>
              <w:t>Each bar's rows are a filter on the clean tables, stated in the notebook</w:t>
            </w:r>
          </w:p>
        </w:tc>
      </w:tr>
      <w:tr>
        <w:tc>
          <w:tcPr>
            <w:tcW w:type="dxa" w:w="680"/>
          </w:tcPr>
          <w:p>
            <w:r/>
            <w:r>
              <w:rPr>
                <w:rFonts w:ascii="Arial" w:hAnsi="Arial"/>
                <w:sz w:val="19"/>
              </w:rPr>
              <w:t>C1</w:t>
            </w:r>
          </w:p>
        </w:tc>
        <w:tc>
          <w:tcPr>
            <w:tcW w:type="dxa" w:w="4535"/>
          </w:tcPr>
          <w:p>
            <w:r/>
            <w:r>
              <w:rPr>
                <w:rFonts w:ascii="Arial" w:hAnsi="Arial"/>
                <w:sz w:val="19"/>
              </w:rPr>
              <w:t>Free tools covered so far; no assistants on the work</w:t>
            </w:r>
          </w:p>
        </w:tc>
        <w:tc>
          <w:tcPr>
            <w:tcW w:type="dxa" w:w="4422"/>
          </w:tcPr>
          <w:p>
            <w:r/>
            <w:r>
              <w:rPr>
                <w:rFonts w:ascii="Arial" w:hAnsi="Arial"/>
                <w:sz w:val="19"/>
              </w:rPr>
              <w:t>ai-log.md</w:t>
            </w:r>
          </w:p>
        </w:tc>
      </w:tr>
    </w:tbl>
    <w:p/>
    <w:p>
      <w:pPr>
        <w:pStyle w:val="Heading1"/>
      </w:pPr>
      <w:r>
        <w:rPr>
          <w:rFonts w:ascii="Georgia" w:hAnsi="Georgia"/>
          <w:color w:val="1A0F5C"/>
        </w:rPr>
        <w:t>5. Roles, working rhythm and the board</w:t>
      </w:r>
    </w:p>
    <w:p>
      <w:r>
        <w:rPr>
          <w:rFonts w:ascii="Arial" w:hAnsi="Arial"/>
          <w:b w:val="0"/>
          <w:i w:val="0"/>
          <w:sz w:val="21"/>
        </w:rPr>
        <w:t>Roles rotate daily: driver, navigator, scribe, challenger. The day runs plan (15 minutes), build, review (15 minutes). The board is GitHub Issues with four labels. Neha owns the daily cold run; the headline is written in the decisions log after each one.</w:t>
      </w:r>
    </w:p>
    <w:tbl>
      <w:tblPr>
        <w:tblStyle w:val="TableGrid"/>
        <w:tblW w:type="auto" w:w="0"/>
        <w:tblLook w:firstColumn="1" w:firstRow="1" w:lastColumn="0" w:lastRow="0" w:noHBand="0" w:noVBand="1" w:val="04A0"/>
      </w:tblPr>
      <w:tblGrid>
        <w:gridCol w:w="3324"/>
        <w:gridCol w:w="3324"/>
        <w:gridCol w:w="3324"/>
      </w:tblGrid>
      <w:tr>
        <w:tc>
          <w:tcPr>
            <w:tcW w:type="dxa" w:w="680"/>
            <w:shd w:val="clear" w:color="auto" w:fill="4E38AB"/>
          </w:tcPr>
          <w:p>
            <w:r/>
            <w:r>
              <w:rPr>
                <w:rFonts w:ascii="Arial" w:hAnsi="Arial"/>
                <w:b/>
                <w:color w:val="FFFFFF"/>
                <w:sz w:val="19"/>
              </w:rPr>
              <w:t>Day</w:t>
            </w:r>
          </w:p>
        </w:tc>
        <w:tc>
          <w:tcPr>
            <w:tcW w:type="dxa" w:w="5102"/>
            <w:shd w:val="clear" w:color="auto" w:fill="4E38AB"/>
          </w:tcPr>
          <w:p>
            <w:r/>
            <w:r>
              <w:rPr>
                <w:rFonts w:ascii="Arial" w:hAnsi="Arial"/>
                <w:b/>
                <w:color w:val="FFFFFF"/>
                <w:sz w:val="19"/>
              </w:rPr>
              <w:t>Plan</w:t>
            </w:r>
          </w:p>
        </w:tc>
        <w:tc>
          <w:tcPr>
            <w:tcW w:type="dxa" w:w="3855"/>
            <w:shd w:val="clear" w:color="auto" w:fill="4E38AB"/>
          </w:tcPr>
          <w:p>
            <w:r/>
            <w:r>
              <w:rPr>
                <w:rFonts w:ascii="Arial" w:hAnsi="Arial"/>
                <w:b/>
                <w:color w:val="FFFFFF"/>
                <w:sz w:val="19"/>
              </w:rPr>
              <w:t>Out by close</w:t>
            </w:r>
          </w:p>
        </w:tc>
      </w:tr>
      <w:tr>
        <w:tc>
          <w:tcPr>
            <w:tcW w:type="dxa" w:w="680"/>
          </w:tcPr>
          <w:p>
            <w:r/>
            <w:r>
              <w:rPr>
                <w:rFonts w:ascii="Arial" w:hAnsi="Arial"/>
                <w:sz w:val="19"/>
              </w:rPr>
              <w:t>1</w:t>
            </w:r>
          </w:p>
        </w:tc>
        <w:tc>
          <w:tcPr>
            <w:tcW w:type="dxa" w:w="5102"/>
          </w:tcPr>
          <w:p>
            <w:r/>
            <w:r>
              <w:rPr>
                <w:rFonts w:ascii="Arial" w:hAnsi="Arial"/>
                <w:sz w:val="19"/>
              </w:rPr>
              <w:t>Scope the bridge; profile both exports; write the mapping rule and its alternatives</w:t>
            </w:r>
          </w:p>
        </w:tc>
        <w:tc>
          <w:tcPr>
            <w:tcW w:type="dxa" w:w="3855"/>
          </w:tcPr>
          <w:p>
            <w:r/>
            <w:r>
              <w:rPr>
                <w:rFonts w:ascii="Arial" w:hAnsi="Arial"/>
                <w:sz w:val="19"/>
              </w:rPr>
              <w:t>Charter, profile, approach-log rows 1 to 3, first reconciliation</w:t>
            </w:r>
          </w:p>
        </w:tc>
      </w:tr>
      <w:tr>
        <w:tc>
          <w:tcPr>
            <w:tcW w:type="dxa" w:w="680"/>
          </w:tcPr>
          <w:p>
            <w:r/>
            <w:r>
              <w:rPr>
                <w:rFonts w:ascii="Arial" w:hAnsi="Arial"/>
                <w:sz w:val="19"/>
              </w:rPr>
              <w:t>2</w:t>
            </w:r>
          </w:p>
        </w:tc>
        <w:tc>
          <w:tcPr>
            <w:tcW w:type="dxa" w:w="5102"/>
          </w:tcPr>
          <w:p>
            <w:r/>
            <w:r>
              <w:rPr>
                <w:rFonts w:ascii="Arial" w:hAnsi="Arial"/>
                <w:sz w:val="19"/>
              </w:rPr>
              <w:t>Join with row counts; classify every gap; state the claim</w:t>
            </w:r>
          </w:p>
        </w:tc>
        <w:tc>
          <w:tcPr>
            <w:tcW w:type="dxa" w:w="3855"/>
          </w:tcPr>
          <w:p>
            <w:r/>
            <w:r>
              <w:rPr>
                <w:rFonts w:ascii="Arial" w:hAnsi="Arial"/>
                <w:sz w:val="19"/>
              </w:rPr>
              <w:t>Bridge balancing; claim stated; sensitivity on the mapping rule</w:t>
            </w:r>
          </w:p>
        </w:tc>
      </w:tr>
      <w:tr>
        <w:tc>
          <w:tcPr>
            <w:tcW w:type="dxa" w:w="680"/>
          </w:tcPr>
          <w:p>
            <w:r/>
            <w:r>
              <w:rPr>
                <w:rFonts w:ascii="Arial" w:hAnsi="Arial"/>
                <w:sz w:val="19"/>
              </w:rPr>
              <w:t>3</w:t>
            </w:r>
          </w:p>
        </w:tc>
        <w:tc>
          <w:tcPr>
            <w:tcW w:type="dxa" w:w="5102"/>
          </w:tcPr>
          <w:p>
            <w:r/>
            <w:r>
              <w:rPr>
                <w:rFonts w:ascii="Arial" w:hAnsi="Arial"/>
                <w:sz w:val="19"/>
              </w:rPr>
              <w:t>SQL version; slides; cold run; rehearsal; write-ups; video</w:t>
            </w:r>
          </w:p>
        </w:tc>
        <w:tc>
          <w:tcPr>
            <w:tcW w:type="dxa" w:w="3855"/>
          </w:tcPr>
          <w:p>
            <w:r/>
            <w:r>
              <w:rPr>
                <w:rFonts w:ascii="Arial" w:hAnsi="Arial"/>
                <w:sz w:val="19"/>
              </w:rPr>
              <w:t>Freeze; video linked; every member can present any slide</w:t>
            </w:r>
          </w:p>
        </w:tc>
      </w:tr>
    </w:tbl>
    <w:p/>
    <w:p>
      <w:pPr>
        <w:pStyle w:val="Heading1"/>
      </w:pPr>
      <w:r>
        <w:rPr>
          <w:rFonts w:ascii="Georgia" w:hAnsi="Georgia"/>
          <w:color w:val="1A0F5C"/>
        </w:rPr>
        <w:t>6. Approach log, three illustrative rows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701"/>
            <w:shd w:val="clear" w:color="auto" w:fill="4E38AB"/>
          </w:tcPr>
          <w:p>
            <w:r/>
            <w:r>
              <w:rPr>
                <w:rFonts w:ascii="Arial" w:hAnsi="Arial"/>
                <w:b/>
                <w:color w:val="FFFFFF"/>
                <w:sz w:val="19"/>
              </w:rPr>
              <w:t>Part</w:t>
            </w:r>
          </w:p>
        </w:tc>
        <w:tc>
          <w:tcPr>
            <w:tcW w:type="dxa" w:w="2835"/>
            <w:shd w:val="clear" w:color="auto" w:fill="4E38AB"/>
          </w:tcPr>
          <w:p>
            <w:r/>
            <w:r>
              <w:rPr>
                <w:rFonts w:ascii="Arial" w:hAnsi="Arial"/>
                <w:b/>
                <w:color w:val="FFFFFF"/>
                <w:sz w:val="19"/>
              </w:rPr>
              <w:t>Considered</w:t>
            </w:r>
          </w:p>
        </w:tc>
        <w:tc>
          <w:tcPr>
            <w:tcW w:type="dxa" w:w="680"/>
            <w:shd w:val="clear" w:color="auto" w:fill="4E38AB"/>
          </w:tcPr>
          <w:p>
            <w:r/>
            <w:r>
              <w:rPr>
                <w:rFonts w:ascii="Arial" w:hAnsi="Arial"/>
                <w:b/>
                <w:color w:val="FFFFFF"/>
                <w:sz w:val="19"/>
              </w:rPr>
              <w:t>Chosen</w:t>
            </w:r>
          </w:p>
        </w:tc>
        <w:tc>
          <w:tcPr>
            <w:tcW w:type="dxa" w:w="3005"/>
            <w:shd w:val="clear" w:color="auto" w:fill="4E38AB"/>
          </w:tcPr>
          <w:p>
            <w:r/>
            <w:r>
              <w:rPr>
                <w:rFonts w:ascii="Arial" w:hAnsi="Arial"/>
                <w:b/>
                <w:color w:val="FFFFFF"/>
                <w:sz w:val="19"/>
              </w:rPr>
              <w:t>Why this and not the others</w:t>
            </w:r>
          </w:p>
        </w:tc>
        <w:tc>
          <w:tcPr>
            <w:tcW w:type="dxa" w:w="1417"/>
            <w:shd w:val="clear" w:color="auto" w:fill="4E38AB"/>
          </w:tcPr>
          <w:p>
            <w:r/>
            <w:r>
              <w:rPr>
                <w:rFonts w:ascii="Arial" w:hAnsi="Arial"/>
                <w:b/>
                <w:color w:val="FFFFFF"/>
                <w:sz w:val="19"/>
              </w:rPr>
              <w:t>Would change the choice</w:t>
            </w:r>
          </w:p>
        </w:tc>
      </w:tr>
      <w:tr>
        <w:tc>
          <w:tcPr>
            <w:tcW w:type="dxa" w:w="1701"/>
          </w:tcPr>
          <w:p>
            <w:r/>
            <w:r>
              <w:rPr>
                <w:rFonts w:ascii="Arial" w:hAnsi="Arial"/>
                <w:sz w:val="19"/>
              </w:rPr>
              <w:t>Invoice id to payment reference</w:t>
            </w:r>
          </w:p>
        </w:tc>
        <w:tc>
          <w:tcPr>
            <w:tcW w:type="dxa" w:w="2835"/>
          </w:tcPr>
          <w:p>
            <w:r/>
            <w:r>
              <w:rPr>
                <w:rFonts w:ascii="Arial" w:hAnsi="Arial"/>
                <w:sz w:val="19"/>
              </w:rPr>
              <w:t>(a) strip and match digits; (b) amount and date within two days; (c) both, flag disagreements</w:t>
            </w:r>
          </w:p>
        </w:tc>
        <w:tc>
          <w:tcPr>
            <w:tcW w:type="dxa" w:w="680"/>
          </w:tcPr>
          <w:p>
            <w:r/>
            <w:r>
              <w:rPr>
                <w:rFonts w:ascii="Arial" w:hAnsi="Arial"/>
                <w:sz w:val="19"/>
              </w:rPr>
              <w:t>(c)</w:t>
            </w:r>
          </w:p>
        </w:tc>
        <w:tc>
          <w:tcPr>
            <w:tcW w:type="dxa" w:w="3005"/>
          </w:tcPr>
          <w:p>
            <w:r/>
            <w:r>
              <w:rPr>
                <w:rFonts w:ascii="Arial" w:hAnsi="Arial"/>
                <w:sz w:val="19"/>
              </w:rPr>
              <w:t>(a) alone paired some invoices to the wrong neighbour; (b) alone could not separate same-day same-amount visits</w:t>
            </w:r>
          </w:p>
        </w:tc>
        <w:tc>
          <w:tcPr>
            <w:tcW w:type="dxa" w:w="1417"/>
          </w:tcPr>
          <w:p>
            <w:r/>
            <w:r>
              <w:rPr>
                <w:rFonts w:ascii="Arial" w:hAnsi="Arial"/>
                <w:sz w:val="19"/>
              </w:rPr>
              <w:t>A shared id in both feeds</w:t>
            </w:r>
          </w:p>
        </w:tc>
      </w:tr>
      <w:tr>
        <w:tc>
          <w:tcPr>
            <w:tcW w:type="dxa" w:w="1701"/>
          </w:tcPr>
          <w:p>
            <w:r/>
            <w:r>
              <w:rPr>
                <w:rFonts w:ascii="Arial" w:hAnsi="Arial"/>
                <w:sz w:val="19"/>
              </w:rPr>
              <w:t>Retries</w:t>
            </w:r>
          </w:p>
        </w:tc>
        <w:tc>
          <w:tcPr>
            <w:tcW w:type="dxa" w:w="2835"/>
          </w:tcPr>
          <w:p>
            <w:r/>
            <w:r>
              <w:rPr>
                <w:rFonts w:ascii="Arial" w:hAnsi="Arial"/>
                <w:sz w:val="19"/>
              </w:rPr>
              <w:t>(a) keep all rows; (b) keep captured only; (c) keep captured, list failed separately</w:t>
            </w:r>
          </w:p>
        </w:tc>
        <w:tc>
          <w:tcPr>
            <w:tcW w:type="dxa" w:w="680"/>
          </w:tcPr>
          <w:p>
            <w:r/>
            <w:r>
              <w:rPr>
                <w:rFonts w:ascii="Arial" w:hAnsi="Arial"/>
                <w:sz w:val="19"/>
              </w:rPr>
              <w:t>(c)</w:t>
            </w:r>
          </w:p>
        </w:tc>
        <w:tc>
          <w:tcPr>
            <w:tcW w:type="dxa" w:w="3005"/>
          </w:tcPr>
          <w:p>
            <w:r/>
            <w:r>
              <w:rPr>
                <w:rFonts w:ascii="Arial" w:hAnsi="Arial"/>
                <w:sz w:val="19"/>
              </w:rPr>
              <w:t>Failed rows are not money but are evidence of gateway trouble worth a line on slide 5</w:t>
            </w:r>
          </w:p>
        </w:tc>
        <w:tc>
          <w:tcPr>
            <w:tcW w:type="dxa" w:w="1417"/>
          </w:tcPr>
          <w:p>
            <w:r/>
            <w:r>
              <w:rPr>
                <w:rFonts w:ascii="Arial" w:hAnsi="Arial"/>
                <w:sz w:val="19"/>
              </w:rPr>
              <w:t>A gateway that never records failures</w:t>
            </w:r>
          </w:p>
        </w:tc>
      </w:tr>
      <w:tr>
        <w:tc>
          <w:tcPr>
            <w:tcW w:type="dxa" w:w="1701"/>
          </w:tcPr>
          <w:p>
            <w:r/>
            <w:r>
              <w:rPr>
                <w:rFonts w:ascii="Arial" w:hAnsi="Arial"/>
                <w:sz w:val="19"/>
              </w:rPr>
              <w:t>Timing bar</w:t>
            </w:r>
          </w:p>
        </w:tc>
        <w:tc>
          <w:tcPr>
            <w:tcW w:type="dxa" w:w="2835"/>
          </w:tcPr>
          <w:p>
            <w:r/>
            <w:r>
              <w:rPr>
                <w:rFonts w:ascii="Arial" w:hAnsi="Arial"/>
                <w:sz w:val="19"/>
              </w:rPr>
              <w:t>(a) treat all unpaid as never paid; (b) separate payments after the cutoff; (c) also flag unpaid invoices from the last week as probable timing</w:t>
            </w:r>
          </w:p>
        </w:tc>
        <w:tc>
          <w:tcPr>
            <w:tcW w:type="dxa" w:w="680"/>
          </w:tcPr>
          <w:p>
            <w:r/>
            <w:r>
              <w:rPr>
                <w:rFonts w:ascii="Arial" w:hAnsi="Arial"/>
                <w:sz w:val="19"/>
              </w:rPr>
              <w:t>(c)</w:t>
            </w:r>
          </w:p>
        </w:tc>
        <w:tc>
          <w:tcPr>
            <w:tcW w:type="dxa" w:w="3005"/>
          </w:tcPr>
          <w:p>
            <w:r/>
            <w:r>
              <w:rPr>
                <w:rFonts w:ascii="Arial" w:hAnsi="Arial"/>
                <w:sz w:val="19"/>
              </w:rPr>
              <w:t>Sixty percent of unpaid invoices sit in the last week; calling them a leak would mislead the controller</w:t>
            </w:r>
          </w:p>
        </w:tc>
        <w:tc>
          <w:tcPr>
            <w:tcW w:type="dxa" w:w="1417"/>
          </w:tcPr>
          <w:p>
            <w:r/>
            <w:r>
              <w:rPr>
                <w:rFonts w:ascii="Arial" w:hAnsi="Arial"/>
                <w:sz w:val="19"/>
              </w:rPr>
              <w:t>An export that includes July payments</w:t>
            </w:r>
          </w:p>
        </w:tc>
      </w:tr>
    </w:tbl>
    <w:p/>
    <w:p>
      <w:pPr>
        <w:pStyle w:val="Heading1"/>
      </w:pPr>
      <w:r>
        <w:rPr>
          <w:rFonts w:ascii="Georgia" w:hAnsi="Georgia"/>
          <w:color w:val="1A0F5C"/>
        </w:rPr>
        <w:t>7. Risks and assumptions</w:t>
      </w:r>
    </w:p>
    <w:tbl>
      <w:tblPr>
        <w:tblStyle w:val="TableGrid"/>
        <w:tblW w:type="auto" w:w="0"/>
        <w:tblLook w:firstColumn="1" w:firstRow="1" w:lastColumn="0" w:lastRow="0" w:noHBand="0" w:noVBand="1" w:val="04A0"/>
      </w:tblPr>
      <w:tblGrid>
        <w:gridCol w:w="4986"/>
        <w:gridCol w:w="4986"/>
      </w:tblGrid>
      <w:tr>
        <w:tc>
          <w:tcPr>
            <w:tcW w:type="dxa" w:w="4535"/>
            <w:shd w:val="clear" w:color="auto" w:fill="4E38AB"/>
          </w:tcPr>
          <w:p>
            <w:r/>
            <w:r>
              <w:rPr>
                <w:rFonts w:ascii="Arial" w:hAnsi="Arial"/>
                <w:b/>
                <w:color w:val="FFFFFF"/>
                <w:sz w:val="19"/>
              </w:rPr>
              <w:t>Risk or assumption</w:t>
            </w:r>
          </w:p>
        </w:tc>
        <w:tc>
          <w:tcPr>
            <w:tcW w:type="dxa" w:w="5102"/>
            <w:shd w:val="clear" w:color="auto" w:fill="4E38AB"/>
          </w:tcPr>
          <w:p>
            <w:r/>
            <w:r>
              <w:rPr>
                <w:rFonts w:ascii="Arial" w:hAnsi="Arial"/>
                <w:b/>
                <w:color w:val="FFFFFF"/>
                <w:sz w:val="19"/>
              </w:rPr>
              <w:t>What we do about it</w:t>
            </w:r>
          </w:p>
        </w:tc>
      </w:tr>
      <w:tr>
        <w:tc>
          <w:tcPr>
            <w:tcW w:type="dxa" w:w="4535"/>
          </w:tcPr>
          <w:p>
            <w:r/>
            <w:r>
              <w:rPr>
                <w:rFonts w:ascii="Arial" w:hAnsi="Arial"/>
                <w:sz w:val="19"/>
              </w:rPr>
              <w:t>A payment matched to the wrong invoice makes the bridge balance while two lines are wrong</w:t>
            </w:r>
          </w:p>
        </w:tc>
        <w:tc>
          <w:tcPr>
            <w:tcW w:type="dxa" w:w="5102"/>
          </w:tcPr>
          <w:p>
            <w:r/>
            <w:r>
              <w:rPr>
                <w:rFonts w:ascii="Arial" w:hAnsi="Arial"/>
                <w:sz w:val="19"/>
              </w:rPr>
              <w:t>List invoices with two captured payments beside invoices with none; present both counts</w:t>
            </w:r>
          </w:p>
        </w:tc>
      </w:tr>
      <w:tr>
        <w:tc>
          <w:tcPr>
            <w:tcW w:type="dxa" w:w="4535"/>
          </w:tcPr>
          <w:p>
            <w:r/>
            <w:r>
              <w:rPr>
                <w:rFonts w:ascii="Arial" w:hAnsi="Arial"/>
                <w:sz w:val="19"/>
              </w:rPr>
              <w:t>Amounts in paise are read as rupees somewhere</w:t>
            </w:r>
          </w:p>
        </w:tc>
        <w:tc>
          <w:tcPr>
            <w:tcW w:type="dxa" w:w="5102"/>
          </w:tcPr>
          <w:p>
            <w:r/>
            <w:r>
              <w:rPr>
                <w:rFonts w:ascii="Arial" w:hAnsi="Arial"/>
                <w:sz w:val="19"/>
              </w:rPr>
              <w:t>One conversion, in the loader, with a check that the median payment is in the range of a visit</w:t>
            </w:r>
          </w:p>
        </w:tc>
      </w:tr>
      <w:tr>
        <w:tc>
          <w:tcPr>
            <w:tcW w:type="dxa" w:w="4535"/>
          </w:tcPr>
          <w:p>
            <w:r/>
            <w:r>
              <w:rPr>
                <w:rFonts w:ascii="Arial" w:hAnsi="Arial"/>
                <w:sz w:val="19"/>
              </w:rPr>
              <w:t>The export cutoff is not the quarter end</w:t>
            </w:r>
          </w:p>
        </w:tc>
        <w:tc>
          <w:tcPr>
            <w:tcW w:type="dxa" w:w="5102"/>
          </w:tcPr>
          <w:p>
            <w:r/>
            <w:r>
              <w:rPr>
                <w:rFonts w:ascii="Arial" w:hAnsi="Arial"/>
                <w:sz w:val="19"/>
              </w:rPr>
              <w:t>State the cutoff on slide 5 and age the unpaid invoices by days since invoice</w:t>
            </w:r>
          </w:p>
        </w:tc>
      </w:tr>
    </w:tbl>
    <w:p/>
    <w:p>
      <w:pPr>
        <w:pStyle w:val="Heading1"/>
      </w:pPr>
      <w:r>
        <w:rPr>
          <w:rFonts w:ascii="Georgia" w:hAnsi="Georgia"/>
          <w:color w:val="1A0F5C"/>
        </w:rPr>
        <w:t>8. Decision rights and changes</w:t>
      </w:r>
    </w:p>
    <w:tbl>
      <w:tblPr>
        <w:tblStyle w:val="TableGrid"/>
        <w:tblW w:type="auto" w:w="0"/>
        <w:tblLook w:firstColumn="1" w:firstRow="1" w:lastColumn="0" w:lastRow="0" w:noHBand="0" w:noVBand="1" w:val="04A0"/>
      </w:tblPr>
      <w:tblGrid>
        <w:gridCol w:w="3324"/>
        <w:gridCol w:w="3324"/>
        <w:gridCol w:w="3324"/>
      </w:tblGrid>
      <w:tr>
        <w:tc>
          <w:tcPr>
            <w:tcW w:type="dxa" w:w="3402"/>
            <w:shd w:val="clear" w:color="auto" w:fill="4E38AB"/>
          </w:tcPr>
          <w:p>
            <w:r/>
            <w:r>
              <w:rPr>
                <w:rFonts w:ascii="Arial" w:hAnsi="Arial"/>
                <w:b/>
                <w:color w:val="FFFFFF"/>
                <w:sz w:val="19"/>
              </w:rPr>
              <w:t>Decision</w:t>
            </w:r>
          </w:p>
        </w:tc>
        <w:tc>
          <w:tcPr>
            <w:tcW w:type="dxa" w:w="3969"/>
            <w:shd w:val="clear" w:color="auto" w:fill="4E38AB"/>
          </w:tcPr>
          <w:p>
            <w:r/>
            <w:r>
              <w:rPr>
                <w:rFonts w:ascii="Arial" w:hAnsi="Arial"/>
                <w:b/>
                <w:color w:val="FFFFFF"/>
                <w:sz w:val="19"/>
              </w:rPr>
              <w:t>Who</w:t>
            </w:r>
          </w:p>
        </w:tc>
        <w:tc>
          <w:tcPr>
            <w:tcW w:type="dxa" w:w="2268"/>
            <w:shd w:val="clear" w:color="auto" w:fill="4E38AB"/>
          </w:tcPr>
          <w:p>
            <w:r/>
            <w:r>
              <w:rPr>
                <w:rFonts w:ascii="Arial" w:hAnsi="Arial"/>
                <w:b/>
                <w:color w:val="FFFFFF"/>
                <w:sz w:val="19"/>
              </w:rPr>
              <w:t>When</w:t>
            </w:r>
          </w:p>
        </w:tc>
      </w:tr>
      <w:tr>
        <w:tc>
          <w:tcPr>
            <w:tcW w:type="dxa" w:w="3402"/>
          </w:tcPr>
          <w:p>
            <w:r/>
            <w:r>
              <w:rPr>
                <w:rFonts w:ascii="Arial" w:hAnsi="Arial"/>
                <w:sz w:val="19"/>
              </w:rPr>
              <w:t>The mapping rule</w:t>
            </w:r>
          </w:p>
        </w:tc>
        <w:tc>
          <w:tcPr>
            <w:tcW w:type="dxa" w:w="3969"/>
          </w:tcPr>
          <w:p>
            <w:r/>
            <w:r>
              <w:rPr>
                <w:rFonts w:ascii="Arial" w:hAnsi="Arial"/>
                <w:sz w:val="19"/>
              </w:rPr>
              <w:t>Karan, after Aditi's review</w:t>
            </w:r>
          </w:p>
        </w:tc>
        <w:tc>
          <w:tcPr>
            <w:tcW w:type="dxa" w:w="2268"/>
          </w:tcPr>
          <w:p>
            <w:r/>
            <w:r>
              <w:rPr>
                <w:rFonts w:ascii="Arial" w:hAnsi="Arial"/>
                <w:sz w:val="19"/>
              </w:rPr>
              <w:t>Gate 1</w:t>
            </w:r>
          </w:p>
        </w:tc>
      </w:tr>
      <w:tr>
        <w:tc>
          <w:tcPr>
            <w:tcW w:type="dxa" w:w="3402"/>
          </w:tcPr>
          <w:p>
            <w:r/>
            <w:r>
              <w:rPr>
                <w:rFonts w:ascii="Arial" w:hAnsi="Arial"/>
                <w:sz w:val="19"/>
              </w:rPr>
              <w:t>The claim</w:t>
            </w:r>
          </w:p>
        </w:tc>
        <w:tc>
          <w:tcPr>
            <w:tcW w:type="dxa" w:w="3969"/>
          </w:tcPr>
          <w:p>
            <w:r/>
            <w:r>
              <w:rPr>
                <w:rFonts w:ascii="Arial" w:hAnsi="Arial"/>
                <w:sz w:val="19"/>
              </w:rPr>
              <w:t>The group, challenger has the last word</w:t>
            </w:r>
          </w:p>
        </w:tc>
        <w:tc>
          <w:tcPr>
            <w:tcW w:type="dxa" w:w="2268"/>
          </w:tcPr>
          <w:p>
            <w:r/>
            <w:r>
              <w:rPr>
                <w:rFonts w:ascii="Arial" w:hAnsi="Arial"/>
                <w:sz w:val="19"/>
              </w:rPr>
              <w:t>Gate 2</w:t>
            </w:r>
          </w:p>
        </w:tc>
      </w:tr>
      <w:tr>
        <w:tc>
          <w:tcPr>
            <w:tcW w:type="dxa" w:w="3402"/>
          </w:tcPr>
          <w:p>
            <w:r/>
            <w:r>
              <w:rPr>
                <w:rFonts w:ascii="Arial" w:hAnsi="Arial"/>
                <w:sz w:val="19"/>
              </w:rPr>
              <w:t>Freeze</w:t>
            </w:r>
          </w:p>
        </w:tc>
        <w:tc>
          <w:tcPr>
            <w:tcW w:type="dxa" w:w="3969"/>
          </w:tcPr>
          <w:p>
            <w:r/>
            <w:r>
              <w:rPr>
                <w:rFonts w:ascii="Arial" w:hAnsi="Arial"/>
                <w:sz w:val="19"/>
              </w:rPr>
              <w:t>Neha, after the cold run</w:t>
            </w:r>
          </w:p>
        </w:tc>
        <w:tc>
          <w:tcPr>
            <w:tcW w:type="dxa" w:w="2268"/>
          </w:tcPr>
          <w:p>
            <w:r/>
            <w:r>
              <w:rPr>
                <w:rFonts w:ascii="Arial" w:hAnsi="Arial"/>
                <w:sz w:val="19"/>
              </w:rPr>
              <w:t>Evening before presentations</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1134"/>
            <w:shd w:val="clear" w:color="auto" w:fill="4E38AB"/>
          </w:tcPr>
          <w:p>
            <w:r/>
            <w:r>
              <w:rPr>
                <w:rFonts w:ascii="Arial" w:hAnsi="Arial"/>
                <w:b/>
                <w:color w:val="FFFFFF"/>
                <w:sz w:val="19"/>
              </w:rPr>
              <w:t>Date</w:t>
            </w:r>
          </w:p>
        </w:tc>
        <w:tc>
          <w:tcPr>
            <w:tcW w:type="dxa" w:w="3402"/>
            <w:shd w:val="clear" w:color="auto" w:fill="4E38AB"/>
          </w:tcPr>
          <w:p>
            <w:r/>
            <w:r>
              <w:rPr>
                <w:rFonts w:ascii="Arial" w:hAnsi="Arial"/>
                <w:b/>
                <w:color w:val="FFFFFF"/>
                <w:sz w:val="19"/>
              </w:rPr>
              <w:t>Change</w:t>
            </w:r>
          </w:p>
        </w:tc>
        <w:tc>
          <w:tcPr>
            <w:tcW w:type="dxa" w:w="3969"/>
            <w:shd w:val="clear" w:color="auto" w:fill="4E38AB"/>
          </w:tcPr>
          <w:p>
            <w:r/>
            <w:r>
              <w:rPr>
                <w:rFonts w:ascii="Arial" w:hAnsi="Arial"/>
                <w:b/>
                <w:color w:val="FFFFFF"/>
                <w:sz w:val="19"/>
              </w:rPr>
              <w:t>Why</w:t>
            </w:r>
          </w:p>
        </w:tc>
        <w:tc>
          <w:tcPr>
            <w:tcW w:type="dxa" w:w="1134"/>
            <w:shd w:val="clear" w:color="auto" w:fill="4E38AB"/>
          </w:tcPr>
          <w:p>
            <w:r/>
            <w:r>
              <w:rPr>
                <w:rFonts w:ascii="Arial" w:hAnsi="Arial"/>
                <w:b/>
                <w:color w:val="FFFFFF"/>
                <w:sz w:val="19"/>
              </w:rPr>
              <w:t>Who</w:t>
            </w:r>
          </w:p>
        </w:tc>
      </w:tr>
      <w:tr>
        <w:tc>
          <w:tcPr>
            <w:tcW w:type="dxa" w:w="1134"/>
          </w:tcPr>
          <w:p>
            <w:r/>
            <w:r>
              <w:rPr>
                <w:rFonts w:ascii="Arial" w:hAnsi="Arial"/>
                <w:sz w:val="19"/>
              </w:rPr>
              <w:t>Day 2</w:t>
            </w:r>
          </w:p>
        </w:tc>
        <w:tc>
          <w:tcPr>
            <w:tcW w:type="dxa" w:w="3402"/>
          </w:tcPr>
          <w:p>
            <w:r/>
            <w:r>
              <w:rPr>
                <w:rFonts w:ascii="Arial" w:hAnsi="Arial"/>
                <w:sz w:val="19"/>
              </w:rPr>
              <w:t>Added the mis-keyed list as deliverable D3c</w:t>
            </w:r>
          </w:p>
        </w:tc>
        <w:tc>
          <w:tcPr>
            <w:tcW w:type="dxa" w:w="3969"/>
          </w:tcPr>
          <w:p>
            <w:r/>
            <w:r>
              <w:rPr>
                <w:rFonts w:ascii="Arial" w:hAnsi="Arial"/>
                <w:sz w:val="19"/>
              </w:rPr>
              <w:t>The controller cares about wrong matches as much as missing ones</w:t>
            </w:r>
          </w:p>
        </w:tc>
        <w:tc>
          <w:tcPr>
            <w:tcW w:type="dxa" w:w="1134"/>
          </w:tcPr>
          <w:p>
            <w:r/>
            <w:r>
              <w:rPr>
                <w:rFonts w:ascii="Arial" w:hAnsi="Arial"/>
                <w:sz w:val="19"/>
              </w:rPr>
              <w:t>Aditi</w:t>
            </w:r>
          </w:p>
        </w:tc>
      </w:tr>
    </w:tbl>
    <w:p/>
    <w:p>
      <w:pPr>
        <w:pStyle w:val="Heading1"/>
      </w:pPr>
      <w:r>
        <w:rPr>
          <w:rFonts w:ascii="Georgia" w:hAnsi="Georgia"/>
          <w:color w:val="1A0F5C"/>
        </w:rPr>
        <w:t>9. The claim, as it stood at freeze</w:t>
      </w:r>
    </w:p>
    <w:p>
      <w:r>
        <w:rPr>
          <w:rFonts w:ascii="Arial" w:hAnsi="Arial"/>
          <w:b w:val="0"/>
          <w:i/>
          <w:sz w:val="21"/>
        </w:rPr>
        <w:t>“Of Rs 12.8 crore invoiced in Q2 2026, Rs 11.6 crore was collected by the quarter's end, Rs 0.28 crore arrived in the first two weeks of July, and Rs 1.07 crore has no payment against it; about half of that sits in the last week of June and is probably timing, and the rest is 3,200 invoices finance can chase from the list in the repository.”</w:t>
      </w:r>
    </w:p>
    <w:p>
      <w:r>
        <w:rPr>
          <w:rFonts w:ascii="Arial" w:hAnsi="Arial"/>
          <w:b w:val="0"/>
          <w:i w:val="0"/>
          <w:color w:val="6B6690"/>
          <w:sz w:val="19"/>
        </w:rPr>
        <w:t>Illustrative numbers; the shape of the sentence is what to copy: a total, its parts, the part that is a leak, and where the list is.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