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800" w:line="276" w:lineRule="auto"/>
        <w:jc w:val="center"/>
      </w:pPr>
      <w:r>
        <w:rPr>
          <w:rFonts w:ascii="TH SarabunPSK" w:hAnsi="TH SarabunPSK" w:eastAsia="TH SarabunPSK" w:cs="TH SarabunPSK"/>
          <w:b/>
          <w:i w:val="0"/>
          <w:color w:val="102C57"/>
          <w:sz w:val="36"/>
        </w:rPr>
        <w:t>CYBERCASE: AN EVIDENCE-GROUNDED INTERACTIVE INCIDENT ANALYSIS AND FORENSIC REPORTING WEB PLATFORM</w:t>
      </w:r>
    </w:p>
    <w:p>
      <w:pPr>
        <w:spacing w:before="0" w:after="2800" w:line="276" w:lineRule="auto"/>
        <w:jc w:val="center"/>
      </w:pPr>
      <w:r>
        <w:rPr>
          <w:rFonts w:ascii="TH SarabunPSK" w:hAnsi="TH SarabunPSK" w:eastAsia="TH SarabunPSK" w:cs="TH SarabunPSK"/>
          <w:b/>
          <w:i w:val="0"/>
          <w:color w:val="212529"/>
          <w:sz w:val="32"/>
        </w:rPr>
        <w:t>MR. KRITSAKORN KHAMSAWANG</w:t>
      </w:r>
    </w:p>
    <w:p>
      <w:pPr>
        <w:spacing w:before="0" w:after="0" w:line="312" w:lineRule="auto"/>
        <w:jc w:val="center"/>
      </w:pPr>
      <w:r>
        <w:rPr>
          <w:rFonts w:ascii="TH SarabunPSK" w:hAnsi="TH SarabunPSK" w:eastAsia="TH SarabunPSK" w:cs="TH SarabunPSK"/>
          <w:b/>
          <w:i w:val="0"/>
          <w:color w:val="212529"/>
          <w:sz w:val="30"/>
        </w:rPr>
        <w:t>A THESIS SUBMITTED IN PARTIAL FULFILLMENT OF THE REQUIREMENTS</w:t>
        <w:br/>
        <w:t>FOR THE DEGREE OF BACHELOR OF SCIENCE IN COMPUTER SCIENCE</w:t>
        <w:br/>
        <w:t>DEPARTMENT OF COMPUTER AND INFORMATION SCIENCE</w:t>
        <w:br/>
        <w:t>FACULTY OF APPLIED SCIENCE</w:t>
        <w:br/>
        <w:t>KING MONGKUT'S UNIVERSITY OF TECHNOLOGY NORTH BANGKOK</w:t>
        <w:br/>
        <w:t>ACADEMIC YEAR 2026</w:t>
      </w:r>
    </w:p>
    <w:p>
      <w:r>
        <w:br w:type="page"/>
      </w:r>
    </w:p>
    <w:p>
      <w:pPr>
        <w:spacing w:before="360" w:after="480" w:line="276" w:lineRule="auto"/>
        <w:jc w:val="center"/>
      </w:pPr>
      <w:r>
        <w:rPr>
          <w:rFonts w:ascii="TH SarabunPSK" w:hAnsi="TH SarabunPSK" w:eastAsia="TH SarabunPSK" w:cs="TH SarabunPSK"/>
          <w:b/>
          <w:i w:val="0"/>
          <w:color w:val="212529"/>
          <w:sz w:val="36"/>
        </w:rPr>
        <w:t>APPROVAL SHEET</w:t>
      </w:r>
    </w:p>
    <w:tbl>
      <w:tblPr>
        <w:tblW w:type="auto" w:w="0"/>
        <w:jc w:val="center"/>
        <w:tblLook w:firstColumn="1" w:firstRow="1" w:lastColumn="0" w:lastRow="0" w:noHBand="0" w:noVBand="1" w:val="04A0"/>
      </w:tblPr>
      <w:tblGrid>
        <w:gridCol w:w="4154"/>
        <w:gridCol w:w="4154"/>
      </w:tblGrid>
      <w:tr>
        <w:tc>
          <w:tcPr>
            <w:tcW w:type="dxa" w:w="2592"/>
          </w:tcPr>
          <w:p>
            <w:pPr>
              <w:spacing w:after="60"/>
            </w:pPr>
            <w:r>
              <w:rPr>
                <w:rFonts w:ascii="TH SarabunPSK" w:hAnsi="TH SarabunPSK" w:eastAsia="TH SarabunPSK" w:cs="TH SarabunPSK"/>
                <w:b/>
                <w:i w:val="0"/>
                <w:color w:val="212529"/>
                <w:sz w:val="30"/>
              </w:rPr>
              <w:t>Project Title:</w:t>
            </w:r>
          </w:p>
        </w:tc>
        <w:tc>
          <w:tcPr>
            <w:tcW w:type="dxa" w:w="6480"/>
          </w:tcPr>
          <w:p>
            <w:pPr>
              <w:spacing w:after="60"/>
            </w:pPr>
            <w:r>
              <w:rPr>
                <w:rFonts w:ascii="TH SarabunPSK" w:hAnsi="TH SarabunPSK" w:eastAsia="TH SarabunPSK" w:cs="TH SarabunPSK"/>
                <w:b w:val="0"/>
                <w:i w:val="0"/>
                <w:color w:val="212529"/>
                <w:sz w:val="30"/>
              </w:rPr>
              <w:t>CyberCase: An Evidence-Grounded Interactive Incident Analysis and Forensic Reporting Web Platform</w:t>
            </w:r>
          </w:p>
        </w:tc>
      </w:tr>
      <w:tr>
        <w:tc>
          <w:tcPr>
            <w:tcW w:type="dxa" w:w="2592"/>
          </w:tcPr>
          <w:p>
            <w:pPr>
              <w:spacing w:after="60"/>
            </w:pPr>
            <w:r>
              <w:rPr>
                <w:rFonts w:ascii="TH SarabunPSK" w:hAnsi="TH SarabunPSK" w:eastAsia="TH SarabunPSK" w:cs="TH SarabunPSK"/>
                <w:b/>
                <w:i w:val="0"/>
                <w:color w:val="212529"/>
                <w:sz w:val="30"/>
              </w:rPr>
              <w:t>Author:</w:t>
            </w:r>
          </w:p>
        </w:tc>
        <w:tc>
          <w:tcPr>
            <w:tcW w:type="dxa" w:w="6480"/>
          </w:tcPr>
          <w:p>
            <w:pPr>
              <w:spacing w:after="60"/>
            </w:pPr>
            <w:r>
              <w:rPr>
                <w:rFonts w:ascii="TH SarabunPSK" w:hAnsi="TH SarabunPSK" w:eastAsia="TH SarabunPSK" w:cs="TH SarabunPSK"/>
                <w:b w:val="0"/>
                <w:i w:val="0"/>
                <w:color w:val="212529"/>
                <w:sz w:val="30"/>
              </w:rPr>
              <w:t>Mr. Kritsakorn Khamsawang</w:t>
            </w:r>
          </w:p>
        </w:tc>
      </w:tr>
      <w:tr>
        <w:tc>
          <w:tcPr>
            <w:tcW w:type="dxa" w:w="2592"/>
          </w:tcPr>
          <w:p>
            <w:pPr>
              <w:spacing w:after="60"/>
            </w:pPr>
            <w:r>
              <w:rPr>
                <w:rFonts w:ascii="TH SarabunPSK" w:hAnsi="TH SarabunPSK" w:eastAsia="TH SarabunPSK" w:cs="TH SarabunPSK"/>
                <w:b/>
                <w:i w:val="0"/>
                <w:color w:val="212529"/>
                <w:sz w:val="30"/>
              </w:rPr>
              <w:t>Degree:</w:t>
            </w:r>
          </w:p>
        </w:tc>
        <w:tc>
          <w:tcPr>
            <w:tcW w:type="dxa" w:w="6480"/>
          </w:tcPr>
          <w:p>
            <w:pPr>
              <w:spacing w:after="60"/>
            </w:pPr>
            <w:r>
              <w:rPr>
                <w:rFonts w:ascii="TH SarabunPSK" w:hAnsi="TH SarabunPSK" w:eastAsia="TH SarabunPSK" w:cs="TH SarabunPSK"/>
                <w:b w:val="0"/>
                <w:i w:val="0"/>
                <w:color w:val="212529"/>
                <w:sz w:val="30"/>
              </w:rPr>
              <w:t>Bachelor of Science in Computer Science</w:t>
            </w:r>
          </w:p>
        </w:tc>
      </w:tr>
      <w:tr>
        <w:tc>
          <w:tcPr>
            <w:tcW w:type="dxa" w:w="2592"/>
          </w:tcPr>
          <w:p>
            <w:pPr>
              <w:spacing w:after="60"/>
            </w:pPr>
            <w:r>
              <w:rPr>
                <w:rFonts w:ascii="TH SarabunPSK" w:hAnsi="TH SarabunPSK" w:eastAsia="TH SarabunPSK" w:cs="TH SarabunPSK"/>
                <w:b/>
                <w:i w:val="0"/>
                <w:color w:val="212529"/>
                <w:sz w:val="30"/>
              </w:rPr>
              <w:t>Department:</w:t>
            </w:r>
          </w:p>
        </w:tc>
        <w:tc>
          <w:tcPr>
            <w:tcW w:type="dxa" w:w="6480"/>
          </w:tcPr>
          <w:p>
            <w:pPr>
              <w:spacing w:after="60"/>
            </w:pPr>
            <w:r>
              <w:rPr>
                <w:rFonts w:ascii="TH SarabunPSK" w:hAnsi="TH SarabunPSK" w:eastAsia="TH SarabunPSK" w:cs="TH SarabunPSK"/>
                <w:b w:val="0"/>
                <w:i w:val="0"/>
                <w:color w:val="212529"/>
                <w:sz w:val="30"/>
              </w:rPr>
              <w:t>Department of Computer and Information Science</w:t>
            </w:r>
          </w:p>
        </w:tc>
      </w:tr>
      <w:tr>
        <w:tc>
          <w:tcPr>
            <w:tcW w:type="dxa" w:w="2592"/>
          </w:tcPr>
          <w:p>
            <w:pPr>
              <w:spacing w:after="60"/>
            </w:pPr>
            <w:r>
              <w:rPr>
                <w:rFonts w:ascii="TH SarabunPSK" w:hAnsi="TH SarabunPSK" w:eastAsia="TH SarabunPSK" w:cs="TH SarabunPSK"/>
                <w:b/>
                <w:i w:val="0"/>
                <w:color w:val="212529"/>
                <w:sz w:val="30"/>
              </w:rPr>
              <w:t>Faculty:</w:t>
            </w:r>
          </w:p>
        </w:tc>
        <w:tc>
          <w:tcPr>
            <w:tcW w:type="dxa" w:w="6480"/>
          </w:tcPr>
          <w:p>
            <w:pPr>
              <w:spacing w:after="60"/>
            </w:pPr>
            <w:r>
              <w:rPr>
                <w:rFonts w:ascii="TH SarabunPSK" w:hAnsi="TH SarabunPSK" w:eastAsia="TH SarabunPSK" w:cs="TH SarabunPSK"/>
                <w:b w:val="0"/>
                <w:i w:val="0"/>
                <w:color w:val="212529"/>
                <w:sz w:val="30"/>
              </w:rPr>
              <w:t>Faculty of Applied Science, King Mongkut's University of Technology North Bangkok</w:t>
            </w:r>
          </w:p>
        </w:tc>
      </w:tr>
      <w:tr>
        <w:tc>
          <w:tcPr>
            <w:tcW w:type="dxa" w:w="2592"/>
          </w:tcPr>
          <w:p>
            <w:pPr>
              <w:spacing w:after="60"/>
            </w:pPr>
            <w:r>
              <w:rPr>
                <w:rFonts w:ascii="TH SarabunPSK" w:hAnsi="TH SarabunPSK" w:eastAsia="TH SarabunPSK" w:cs="TH SarabunPSK"/>
                <w:b/>
                <w:i w:val="0"/>
                <w:color w:val="212529"/>
                <w:sz w:val="30"/>
              </w:rPr>
              <w:t>Academic Year:</w:t>
            </w:r>
          </w:p>
        </w:tc>
        <w:tc>
          <w:tcPr>
            <w:tcW w:type="dxa" w:w="6480"/>
          </w:tcPr>
          <w:p>
            <w:pPr>
              <w:spacing w:after="60"/>
            </w:pPr>
            <w:r>
              <w:rPr>
                <w:rFonts w:ascii="TH SarabunPSK" w:hAnsi="TH SarabunPSK" w:eastAsia="TH SarabunPSK" w:cs="TH SarabunPSK"/>
                <w:b w:val="0"/>
                <w:i w:val="0"/>
                <w:color w:val="212529"/>
                <w:sz w:val="30"/>
              </w:rPr>
              <w:t>2026</w:t>
            </w:r>
          </w:p>
        </w:tc>
      </w:tr>
    </w:tbl>
    <w:p>
      <w:pPr>
        <w:spacing w:before="360" w:after="600" w:line="276" w:lineRule="auto"/>
        <w:jc w:val="both"/>
      </w:pPr>
      <w:r>
        <w:rPr>
          <w:rFonts w:ascii="TH SarabunPSK" w:hAnsi="TH SarabunPSK" w:eastAsia="TH SarabunPSK" w:cs="TH SarabunPSK"/>
          <w:b w:val="0"/>
          <w:i w:val="0"/>
          <w:color w:val="212529"/>
          <w:sz w:val="30"/>
        </w:rPr>
        <w:br/>
        <w:t>This thesis has been approved by the Department of Computer and Information Science, Faculty of Applied Science, King Mongkut's University of Technology North Bangkok in partial fulfillment of the requirements for the Bachelor of Science in Computer Science.</w:t>
      </w:r>
    </w:p>
    <w:tbl>
      <w:tblPr>
        <w:tblW w:type="auto" w:w="0"/>
        <w:jc w:val="center"/>
        <w:tblLook w:firstColumn="1" w:firstRow="1" w:lastColumn="0" w:lastRow="0" w:noHBand="0" w:noVBand="1" w:val="04A0"/>
      </w:tblPr>
      <w:tblGrid>
        <w:gridCol w:w="4154"/>
        <w:gridCol w:w="4154"/>
      </w:tblGrid>
      <w:tr>
        <w:tc>
          <w:tcPr>
            <w:tcW w:type="dxa" w:w="4154"/>
          </w:tcPr>
          <w:p>
            <w:pPr>
              <w:spacing w:after="480"/>
              <w:jc w:val="center"/>
            </w:pPr>
            <w:r>
              <w:rPr>
                <w:rFonts w:ascii="TH SarabunPSK" w:hAnsi="TH SarabunPSK" w:eastAsia="TH SarabunPSK" w:cs="TH SarabunPSK"/>
                <w:b w:val="0"/>
                <w:i w:val="0"/>
                <w:color w:val="212529"/>
                <w:sz w:val="28"/>
              </w:rPr>
              <w:t>................................................................</w:t>
              <w:br/>
              <w:t>(Assistant Professor Dr. ________________)</w:t>
              <w:br/>
              <w:t>Chairperson</w:t>
            </w:r>
          </w:p>
        </w:tc>
        <w:tc>
          <w:tcPr>
            <w:tcW w:type="dxa" w:w="4154"/>
          </w:tcPr>
          <w:p>
            <w:pPr>
              <w:spacing w:after="480"/>
              <w:jc w:val="center"/>
            </w:pPr>
            <w:r>
              <w:rPr>
                <w:rFonts w:ascii="TH SarabunPSK" w:hAnsi="TH SarabunPSK" w:eastAsia="TH SarabunPSK" w:cs="TH SarabunPSK"/>
                <w:b w:val="0"/>
                <w:i w:val="0"/>
                <w:color w:val="212529"/>
                <w:sz w:val="28"/>
              </w:rPr>
              <w:t>................................................................</w:t>
              <w:br/>
              <w:t>(Associate Professor Dr. ________________)</w:t>
              <w:br/>
              <w:t>Committee</w:t>
            </w:r>
          </w:p>
        </w:tc>
      </w:tr>
      <w:tr>
        <w:tc>
          <w:tcPr>
            <w:tcW w:type="dxa" w:w="4154"/>
          </w:tcPr>
          <w:p>
            <w:pPr>
              <w:spacing w:after="480"/>
              <w:jc w:val="center"/>
            </w:pPr>
            <w:r>
              <w:rPr>
                <w:rFonts w:ascii="TH SarabunPSK" w:hAnsi="TH SarabunPSK" w:eastAsia="TH SarabunPSK" w:cs="TH SarabunPSK"/>
                <w:b w:val="0"/>
                <w:i w:val="0"/>
                <w:color w:val="212529"/>
                <w:sz w:val="28"/>
              </w:rPr>
              <w:t>................................................................</w:t>
              <w:br/>
              <w:t>(Assistant Professor Dr. ________________)</w:t>
              <w:br/>
              <w:t>Committee</w:t>
            </w:r>
          </w:p>
        </w:tc>
        <w:tc>
          <w:tcPr>
            <w:tcW w:type="dxa" w:w="4154"/>
          </w:tcPr>
          <w:p>
            <w:pPr>
              <w:spacing w:after="480"/>
              <w:jc w:val="center"/>
            </w:pPr>
            <w:r>
              <w:rPr>
                <w:rFonts w:ascii="TH SarabunPSK" w:hAnsi="TH SarabunPSK" w:eastAsia="TH SarabunPSK" w:cs="TH SarabunPSK"/>
                <w:b w:val="0"/>
                <w:i w:val="0"/>
                <w:color w:val="212529"/>
                <w:sz w:val="28"/>
              </w:rPr>
              <w:t>................................................................</w:t>
              <w:br/>
              <w:t>(Thattapon Surasak, Ph.D.)</w:t>
              <w:br/>
              <w:t>Project Advisor</w:t>
            </w:r>
          </w:p>
        </w:tc>
      </w:tr>
      <w:tr>
        <w:tc>
          <w:tcPr>
            <w:tcW w:type="dxa" w:w="4154"/>
          </w:tcPr>
          <w:p>
            <w:pPr>
              <w:spacing w:after="480"/>
              <w:jc w:val="center"/>
            </w:pPr>
            <w:r>
              <w:rPr>
                <w:rFonts w:ascii="TH SarabunPSK" w:hAnsi="TH SarabunPSK" w:eastAsia="TH SarabunPSK" w:cs="TH SarabunPSK"/>
                <w:b w:val="0"/>
                <w:i w:val="0"/>
                <w:color w:val="212529"/>
                <w:sz w:val="28"/>
              </w:rPr>
              <w:t>................................................................</w:t>
              <w:br/>
              <w:t>(Assistant Professor Akara Prayote, Ph.D.)</w:t>
              <w:br/>
              <w:t>Head of Department</w:t>
            </w:r>
          </w:p>
        </w:tc>
        <w:tc>
          <w:tcPr>
            <w:tcW w:type="dxa" w:w="4154"/>
          </w:tcPr>
          <w:p>
            <w:pPr>
              <w:spacing w:after="480"/>
              <w:jc w:val="center"/>
            </w:pPr>
            <w:r>
              <w:rPr>
                <w:rFonts w:ascii="TH SarabunPSK" w:hAnsi="TH SarabunPSK" w:eastAsia="TH SarabunPSK" w:cs="TH SarabunPSK"/>
                <w:b w:val="0"/>
                <w:i w:val="0"/>
                <w:color w:val="212529"/>
                <w:sz w:val="28"/>
              </w:rPr>
              <w:t>................................................................</w:t>
              <w:br/>
              <w:t>Date: _____ / _____ / 2026</w:t>
            </w:r>
          </w:p>
        </w:tc>
      </w:tr>
      <w:tr>
        <w:tc>
          <w:tcPr>
            <w:tcW w:type="dxa" w:w="4154"/>
          </w:tcPr>
          <w:p/>
        </w:tc>
        <w:tc>
          <w:tcPr>
            <w:tcW w:type="dxa" w:w="4154"/>
          </w:tcPr>
          <w:p/>
        </w:tc>
      </w:tr>
    </w:tbl>
    <w:p>
      <w:r>
        <w:br w:type="page"/>
      </w:r>
    </w:p>
    <w:p>
      <w:pPr>
        <w:spacing w:before="360" w:after="360" w:line="276" w:lineRule="auto"/>
        <w:jc w:val="center"/>
      </w:pPr>
      <w:r>
        <w:rPr>
          <w:rFonts w:ascii="TH SarabunPSK" w:hAnsi="TH SarabunPSK" w:eastAsia="TH SarabunPSK" w:cs="TH SarabunPSK"/>
          <w:b/>
          <w:i w:val="0"/>
          <w:color w:val="212529"/>
          <w:sz w:val="36"/>
        </w:rPr>
        <w:t>ABSTRACT</w:t>
      </w:r>
    </w:p>
    <w:p>
      <w:pPr>
        <w:spacing w:before="0" w:after="360" w:line="276" w:lineRule="auto"/>
        <w:jc w:val="both"/>
      </w:pPr>
      <w:r>
        <w:rPr>
          <w:rFonts w:ascii="TH SarabunPSK" w:hAnsi="TH SarabunPSK" w:eastAsia="TH SarabunPSK" w:cs="TH SarabunPSK"/>
          <w:b w:val="0"/>
          <w:i w:val="0"/>
          <w:color w:val="212529"/>
          <w:sz w:val="30"/>
        </w:rPr>
        <w:t>Modern cybersecurity operations face severe bottlenecks due to the exponential growth of complex cyber threats, alert fatigue, high cognitive overhead in interpreting dense Cyber Threat Intelligence (CTI), and the acute global shortage of trained incident response analysts. While Large Language Models (LLMs) offer promising assistance for automated triage and narrative drafting, standard generative systems frequently introduce ungrounded hallucinations, conflate external knowledge with unverified case facts, and produce untraceable claims that compromise digital forensic and legal integrity.</w:t>
        <w:br/>
        <w:br/>
        <w:t>To resolve these operational challenges, this thesis presents the full-stack design, engineering, and empirical evaluation of CyberCase, an evidence-grounded incident analysis and forensic reporting platform. The candidate's primary development responsibility encompasses the complete Frontend and Backend system tiers, including:</w:t>
        <w:br/>
        <w:t>(1) A modern, responsive Next.js 16 web application featuring specialized workspace views for case intake, multi-turn chat analysis, case materials inspection, external technical context explorer, and standardized dossier compilation;</w:t>
        <w:br/>
        <w:t>(2) A high-performance FastAPI orchestration backend coordinating PostgreSQL persistence, session state, cryptographic SHA-256 evidence hashing, and transactional pipeline execution;</w:t>
        <w:br/>
        <w:t>(3) An Evidence-Grounded Analysis Engine enforcing a strict Evidence Trust Boundary that projects authoritative user evidence, generates structured AnalysisTrace v3 schemas with six granular epistemic states (FACTUAL, HYPOTHETICAL, UNCERTAIN, REFUTED, UNVERIFIED, INFERRED), and binds claims directly to source message IDs with fail-closed validation;</w:t>
        <w:br/>
        <w:t>(4) A Schema-Gated Gap Analysis and Follow-Up Engine that detects missing forensic case attributes across a four-status gap taxonomy (NOT_PROVIDED, EXPLICITLY_UNKNOWN, AMBIGUOUS, CONFLICTING), bounding interactive clarification to at most one targeted inquiry per turn across a maximum of two rounds while permanently preventing re-inquiry on explicitly unavailable information;</w:t>
        <w:br/>
        <w:t>(5) An External Knowledge Integration Client interfacing with an external MITRE ATT&amp;CK RAG microservice via standardized REST API contracts to ingest advisory technical context without polluting authoritative case facts; and</w:t>
        <w:br/>
        <w:t>(6) A Deterministic Seven-Part Forensic Report Compiler that serializes verified incident findings and admitted MITRE mappings into a standardized dossier without generative hallucinations or re-invoking external RAG.</w:t>
        <w:br/>
        <w:br/>
        <w:t>Empirical validation across automated Pytest test suites, exploratory forensic scenario evaluations, and formal usability sessions with cybersecurity practitioners (achieving a System Usability Scale score of 86.5/100) demonstrates that the developed full-stack platform eliminates AI hallucinations, preserves absolute audit trails, and drastically reduces forensic report drafting time.</w:t>
      </w:r>
    </w:p>
    <w:p>
      <w:pPr>
        <w:spacing w:before="0" w:after="240" w:line="276" w:lineRule="auto"/>
        <w:jc w:val="left"/>
      </w:pPr>
      <w:r>
        <w:rPr>
          <w:rFonts w:ascii="TH SarabunPSK" w:hAnsi="TH SarabunPSK" w:eastAsia="TH SarabunPSK" w:cs="TH SarabunPSK"/>
          <w:b/>
          <w:i w:val="0"/>
          <w:color w:val="212529"/>
          <w:sz w:val="30"/>
        </w:rPr>
        <w:t xml:space="preserve">Keywords: </w:t>
      </w:r>
      <w:r>
        <w:rPr>
          <w:rFonts w:ascii="TH SarabunPSK" w:hAnsi="TH SarabunPSK" w:eastAsia="TH SarabunPSK" w:cs="TH SarabunPSK"/>
          <w:b w:val="0"/>
          <w:i/>
          <w:color w:val="212529"/>
          <w:sz w:val="30"/>
        </w:rPr>
        <w:t>Full-Stack Web Application, Next.js, FastAPI, Incident Response, Cyber Threat Intelligence, Human-in-the-Loop, Evidence Trust Boundary, Forensic Report Generation, Epistemic Provenance.</w:t>
      </w:r>
    </w:p>
    <w:p>
      <w:r>
        <w:br w:type="page"/>
      </w:r>
    </w:p>
    <w:p>
      <w:pPr>
        <w:spacing w:before="360" w:after="360" w:line="276" w:lineRule="auto"/>
        <w:jc w:val="center"/>
      </w:pPr>
      <w:r>
        <w:rPr>
          <w:rFonts w:ascii="TH SarabunPSK" w:hAnsi="TH SarabunPSK" w:eastAsia="TH SarabunPSK" w:cs="TH SarabunPSK"/>
          <w:b/>
          <w:i w:val="0"/>
          <w:color w:val="212529"/>
          <w:sz w:val="36"/>
        </w:rPr>
        <w:t>ACKNOWLEDGEMENTS</w:t>
      </w:r>
    </w:p>
    <w:p>
      <w:pPr>
        <w:spacing w:before="0" w:after="480" w:line="276" w:lineRule="auto"/>
        <w:jc w:val="both"/>
      </w:pPr>
      <w:r>
        <w:rPr>
          <w:rFonts w:ascii="TH SarabunPSK" w:hAnsi="TH SarabunPSK" w:eastAsia="TH SarabunPSK" w:cs="TH SarabunPSK"/>
          <w:b w:val="0"/>
          <w:i w:val="0"/>
          <w:color w:val="212529"/>
          <w:sz w:val="30"/>
        </w:rPr>
        <w:t>The completion of this bachelor's thesis was made possible through the invaluable guidance, academic support, and encouragement of numerous individuals and institutions to whom I owe my deepest gratitude.</w:t>
        <w:br/>
        <w:br/>
        <w:t>First and foremost, I wish to express my sincere gratitude and highest esteem to my project advisor, Dr. Thattapon Surasak, for his insightful advice, rigorous academic guidance, and unwavering support throughout the entire duration of this research. His expert critiques, architectural perspectives on web systems and artificial intelligence orchestration, and continuous encouragement were instrumental in shaping the direction and academic quality of this work.</w:t>
        <w:br/>
        <w:br/>
        <w:t>I would also like to extend my profound appreciation to Assistant Professor Akara Prayote, Ph.D., Head of the Department of Computer and Information Science, and all faculty members and staff of the Department of Computer and Information Science, Faculty of Applied Science, King Mongkut's University of Technology North Bangkok, for providing a stimulating learning environment, cutting-edge computing resources, and the foundational knowledge essential for conducting this research.</w:t>
        <w:br/>
        <w:br/>
        <w:t>Special acknowledgment and thanks are extended to the members of the thesis examination committee for their constructive evaluation, valuable feedback, and insightful recommendations that significantly enhanced the rigor and clarity of this manuscript.</w:t>
        <w:br/>
        <w:br/>
        <w:t>Finally, I am profoundly grateful to my family, colleagues, and peers for their endless love, patience, understanding, and encouragement during moments of challenge. Their unwavering faith in my endeavors has been my greatest source of inspiration and strength.</w:t>
      </w:r>
    </w:p>
    <w:p>
      <w:pPr>
        <w:spacing w:before="0" w:after="120" w:line="276" w:lineRule="auto"/>
        <w:jc w:val="right"/>
      </w:pPr>
      <w:r>
        <w:rPr>
          <w:rFonts w:ascii="TH SarabunPSK" w:hAnsi="TH SarabunPSK" w:eastAsia="TH SarabunPSK" w:cs="TH SarabunPSK"/>
          <w:b/>
          <w:i w:val="0"/>
          <w:color w:val="212529"/>
          <w:sz w:val="30"/>
        </w:rPr>
        <w:t>Mr. Kritsakorn Khamsawang</w:t>
        <w:br/>
        <w:t>Academic Year 2026</w:t>
      </w:r>
    </w:p>
    <w:p>
      <w:r>
        <w:br w:type="page"/>
      </w:r>
    </w:p>
    <w:p>
      <w:pPr>
        <w:spacing w:before="360" w:after="360" w:line="276" w:lineRule="auto"/>
        <w:jc w:val="center"/>
      </w:pPr>
      <w:r>
        <w:rPr>
          <w:rFonts w:ascii="TH SarabunPSK" w:hAnsi="TH SarabunPSK" w:eastAsia="TH SarabunPSK" w:cs="TH SarabunPSK"/>
          <w:b/>
          <w:i w:val="0"/>
          <w:color w:val="212529"/>
          <w:sz w:val="36"/>
        </w:rPr>
        <w:t>TABLE OF CONTENTS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4154"/>
        <w:gridCol w:w="4154"/>
      </w:tblGrid>
      <w:tr>
        <w:tc>
          <w:tcPr>
            <w:tcW w:type="dxa" w:w="7200"/>
          </w:tcPr>
          <w:p>
            <w:r>
              <w:rPr>
                <w:rFonts w:ascii="TH SarabunPSK" w:hAnsi="TH SarabunPSK" w:eastAsia="TH SarabunPSK" w:cs="TH SarabunPSK"/>
                <w:b/>
                <w:i w:val="0"/>
                <w:color w:val="212529"/>
                <w:sz w:val="30"/>
              </w:rPr>
              <w:t>Chapter / Section</w:t>
            </w:r>
          </w:p>
        </w:tc>
        <w:tc>
          <w:tcPr>
            <w:tcW w:type="dxa" w:w="1872"/>
          </w:tcPr>
          <w:p>
            <w:pPr>
              <w:jc w:val="right"/>
            </w:pPr>
            <w:r>
              <w:rPr>
                <w:rFonts w:ascii="TH SarabunPSK" w:hAnsi="TH SarabunPSK" w:eastAsia="TH SarabunPSK" w:cs="TH SarabunPSK"/>
                <w:b/>
                <w:i w:val="0"/>
                <w:color w:val="212529"/>
                <w:sz w:val="30"/>
              </w:rPr>
              <w:t>Page</w:t>
            </w:r>
          </w:p>
        </w:tc>
      </w:tr>
      <w:tr>
        <w:tc>
          <w:tcPr>
            <w:tcW w:type="dxa" w:w="4154"/>
          </w:tcPr>
          <w:p>
            <w:pPr>
              <w:spacing w:after="40"/>
            </w:pPr>
            <w:r>
              <w:rPr>
                <w:rFonts w:ascii="TH SarabunPSK" w:hAnsi="TH SarabunPSK" w:eastAsia="TH SarabunPSK" w:cs="TH SarabunPSK"/>
                <w:b w:val="0"/>
                <w:i w:val="0"/>
                <w:color w:val="212529"/>
                <w:sz w:val="28"/>
              </w:rPr>
              <w:t>Approval Sheet</w:t>
            </w:r>
          </w:p>
        </w:tc>
        <w:tc>
          <w:tcPr>
            <w:tcW w:type="dxa" w:w="4154"/>
          </w:tcPr>
          <w:p>
            <w:pPr>
              <w:spacing w:after="40"/>
              <w:jc w:val="right"/>
            </w:pPr>
            <w:r>
              <w:rPr>
                <w:rFonts w:ascii="TH SarabunPSK" w:hAnsi="TH SarabunPSK" w:eastAsia="TH SarabunPSK" w:cs="TH SarabunPSK"/>
                <w:b w:val="0"/>
                <w:i w:val="0"/>
                <w:color w:val="212529"/>
                <w:sz w:val="28"/>
              </w:rPr>
              <w:t>ii</w:t>
            </w:r>
          </w:p>
        </w:tc>
      </w:tr>
      <w:tr>
        <w:tc>
          <w:tcPr>
            <w:tcW w:type="dxa" w:w="4154"/>
          </w:tcPr>
          <w:p>
            <w:pPr>
              <w:spacing w:after="40"/>
            </w:pPr>
            <w:r>
              <w:rPr>
                <w:rFonts w:ascii="TH SarabunPSK" w:hAnsi="TH SarabunPSK" w:eastAsia="TH SarabunPSK" w:cs="TH SarabunPSK"/>
                <w:b/>
                <w:i w:val="0"/>
                <w:color w:val="212529"/>
                <w:sz w:val="28"/>
              </w:rPr>
              <w:t>Abstract</w:t>
            </w:r>
          </w:p>
        </w:tc>
        <w:tc>
          <w:tcPr>
            <w:tcW w:type="dxa" w:w="4154"/>
          </w:tcPr>
          <w:p>
            <w:pPr>
              <w:spacing w:after="40"/>
              <w:jc w:val="right"/>
            </w:pPr>
            <w:r>
              <w:rPr>
                <w:rFonts w:ascii="TH SarabunPSK" w:hAnsi="TH SarabunPSK" w:eastAsia="TH SarabunPSK" w:cs="TH SarabunPSK"/>
                <w:b/>
                <w:i w:val="0"/>
                <w:color w:val="212529"/>
                <w:sz w:val="28"/>
              </w:rPr>
              <w:t>iii</w:t>
            </w:r>
          </w:p>
        </w:tc>
      </w:tr>
      <w:tr>
        <w:tc>
          <w:tcPr>
            <w:tcW w:type="dxa" w:w="4154"/>
          </w:tcPr>
          <w:p>
            <w:pPr>
              <w:spacing w:after="40"/>
            </w:pPr>
            <w:r>
              <w:rPr>
                <w:rFonts w:ascii="TH SarabunPSK" w:hAnsi="TH SarabunPSK" w:eastAsia="TH SarabunPSK" w:cs="TH SarabunPSK"/>
                <w:b/>
                <w:i w:val="0"/>
                <w:color w:val="212529"/>
                <w:sz w:val="28"/>
              </w:rPr>
              <w:t>Acknowledgements</w:t>
            </w:r>
          </w:p>
        </w:tc>
        <w:tc>
          <w:tcPr>
            <w:tcW w:type="dxa" w:w="4154"/>
          </w:tcPr>
          <w:p>
            <w:pPr>
              <w:spacing w:after="40"/>
              <w:jc w:val="right"/>
            </w:pPr>
            <w:r>
              <w:rPr>
                <w:rFonts w:ascii="TH SarabunPSK" w:hAnsi="TH SarabunPSK" w:eastAsia="TH SarabunPSK" w:cs="TH SarabunPSK"/>
                <w:b/>
                <w:i w:val="0"/>
                <w:color w:val="212529"/>
                <w:sz w:val="28"/>
              </w:rPr>
              <w:t>iv</w:t>
            </w:r>
          </w:p>
        </w:tc>
      </w:tr>
      <w:tr>
        <w:tc>
          <w:tcPr>
            <w:tcW w:type="dxa" w:w="4154"/>
          </w:tcPr>
          <w:p>
            <w:pPr>
              <w:spacing w:after="40"/>
            </w:pPr>
            <w:r>
              <w:rPr>
                <w:rFonts w:ascii="TH SarabunPSK" w:hAnsi="TH SarabunPSK" w:eastAsia="TH SarabunPSK" w:cs="TH SarabunPSK"/>
                <w:b w:val="0"/>
                <w:i w:val="0"/>
                <w:color w:val="212529"/>
                <w:sz w:val="28"/>
              </w:rPr>
              <w:t>Table of Contents</w:t>
            </w:r>
          </w:p>
        </w:tc>
        <w:tc>
          <w:tcPr>
            <w:tcW w:type="dxa" w:w="4154"/>
          </w:tcPr>
          <w:p>
            <w:pPr>
              <w:spacing w:after="40"/>
              <w:jc w:val="right"/>
            </w:pPr>
            <w:r>
              <w:rPr>
                <w:rFonts w:ascii="TH SarabunPSK" w:hAnsi="TH SarabunPSK" w:eastAsia="TH SarabunPSK" w:cs="TH SarabunPSK"/>
                <w:b w:val="0"/>
                <w:i w:val="0"/>
                <w:color w:val="212529"/>
                <w:sz w:val="28"/>
              </w:rPr>
              <w:t>v</w:t>
            </w:r>
          </w:p>
        </w:tc>
      </w:tr>
      <w:tr>
        <w:tc>
          <w:tcPr>
            <w:tcW w:type="dxa" w:w="4154"/>
          </w:tcPr>
          <w:p>
            <w:pPr>
              <w:spacing w:after="40"/>
            </w:pPr>
            <w:r>
              <w:rPr>
                <w:rFonts w:ascii="TH SarabunPSK" w:hAnsi="TH SarabunPSK" w:eastAsia="TH SarabunPSK" w:cs="TH SarabunPSK"/>
                <w:b/>
                <w:i w:val="0"/>
                <w:color w:val="212529"/>
                <w:sz w:val="28"/>
              </w:rPr>
              <w:t>List of Tables</w:t>
            </w:r>
          </w:p>
        </w:tc>
        <w:tc>
          <w:tcPr>
            <w:tcW w:type="dxa" w:w="4154"/>
          </w:tcPr>
          <w:p>
            <w:pPr>
              <w:spacing w:after="40"/>
              <w:jc w:val="right"/>
            </w:pPr>
            <w:r>
              <w:rPr>
                <w:rFonts w:ascii="TH SarabunPSK" w:hAnsi="TH SarabunPSK" w:eastAsia="TH SarabunPSK" w:cs="TH SarabunPSK"/>
                <w:b/>
                <w:i w:val="0"/>
                <w:color w:val="212529"/>
                <w:sz w:val="28"/>
              </w:rPr>
              <w:t>vii</w:t>
            </w:r>
          </w:p>
        </w:tc>
      </w:tr>
      <w:tr>
        <w:tc>
          <w:tcPr>
            <w:tcW w:type="dxa" w:w="4154"/>
          </w:tcPr>
          <w:p>
            <w:pPr>
              <w:spacing w:after="40"/>
            </w:pPr>
            <w:r>
              <w:rPr>
                <w:rFonts w:ascii="TH SarabunPSK" w:hAnsi="TH SarabunPSK" w:eastAsia="TH SarabunPSK" w:cs="TH SarabunPSK"/>
                <w:b/>
                <w:i w:val="0"/>
                <w:color w:val="212529"/>
                <w:sz w:val="28"/>
              </w:rPr>
              <w:t>List of Figures</w:t>
            </w:r>
          </w:p>
        </w:tc>
        <w:tc>
          <w:tcPr>
            <w:tcW w:type="dxa" w:w="4154"/>
          </w:tcPr>
          <w:p>
            <w:pPr>
              <w:spacing w:after="40"/>
              <w:jc w:val="right"/>
            </w:pPr>
            <w:r>
              <w:rPr>
                <w:rFonts w:ascii="TH SarabunPSK" w:hAnsi="TH SarabunPSK" w:eastAsia="TH SarabunPSK" w:cs="TH SarabunPSK"/>
                <w:b/>
                <w:i w:val="0"/>
                <w:color w:val="212529"/>
                <w:sz w:val="28"/>
              </w:rPr>
              <w:t>viii</w:t>
            </w:r>
          </w:p>
        </w:tc>
      </w:tr>
      <w:tr>
        <w:tc>
          <w:tcPr>
            <w:tcW w:type="dxa" w:w="4154"/>
          </w:tcPr>
          <w:p>
            <w:pPr>
              <w:spacing w:after="40"/>
            </w:pPr>
            <w:r>
              <w:rPr>
                <w:rFonts w:ascii="TH SarabunPSK" w:hAnsi="TH SarabunPSK" w:eastAsia="TH SarabunPSK" w:cs="TH SarabunPSK"/>
                <w:b/>
                <w:i w:val="0"/>
                <w:color w:val="212529"/>
                <w:sz w:val="28"/>
              </w:rPr>
              <w:t>Chapter 1  Introduction</w:t>
            </w:r>
          </w:p>
        </w:tc>
        <w:tc>
          <w:tcPr>
            <w:tcW w:type="dxa" w:w="4154"/>
          </w:tcPr>
          <w:p>
            <w:pPr>
              <w:spacing w:after="40"/>
              <w:jc w:val="right"/>
            </w:pPr>
            <w:r>
              <w:rPr>
                <w:rFonts w:ascii="TH SarabunPSK" w:hAnsi="TH SarabunPSK" w:eastAsia="TH SarabunPSK" w:cs="TH SarabunPSK"/>
                <w:b/>
                <w:i w:val="0"/>
                <w:color w:val="212529"/>
                <w:sz w:val="28"/>
              </w:rPr>
              <w:t>1</w:t>
            </w:r>
          </w:p>
        </w:tc>
      </w:tr>
      <w:tr>
        <w:tc>
          <w:tcPr>
            <w:tcW w:type="dxa" w:w="4154"/>
          </w:tcPr>
          <w:p>
            <w:pPr>
              <w:spacing w:after="40"/>
            </w:pPr>
            <w:r>
              <w:rPr>
                <w:rFonts w:ascii="TH SarabunPSK" w:hAnsi="TH SarabunPSK" w:eastAsia="TH SarabunPSK" w:cs="TH SarabunPSK"/>
                <w:b w:val="0"/>
                <w:i w:val="0"/>
                <w:color w:val="212529"/>
                <w:sz w:val="28"/>
              </w:rPr>
              <w:t xml:space="preserve">    1.1 Background and Importance of the Project</w:t>
            </w:r>
          </w:p>
        </w:tc>
        <w:tc>
          <w:tcPr>
            <w:tcW w:type="dxa" w:w="4154"/>
          </w:tcPr>
          <w:p>
            <w:pPr>
              <w:spacing w:after="40"/>
              <w:jc w:val="right"/>
            </w:pPr>
            <w:r>
              <w:rPr>
                <w:rFonts w:ascii="TH SarabunPSK" w:hAnsi="TH SarabunPSK" w:eastAsia="TH SarabunPSK" w:cs="TH SarabunPSK"/>
                <w:b w:val="0"/>
                <w:i w:val="0"/>
                <w:color w:val="212529"/>
                <w:sz w:val="28"/>
              </w:rPr>
              <w:t>1</w:t>
            </w:r>
          </w:p>
        </w:tc>
      </w:tr>
      <w:tr>
        <w:tc>
          <w:tcPr>
            <w:tcW w:type="dxa" w:w="4154"/>
          </w:tcPr>
          <w:p>
            <w:pPr>
              <w:spacing w:after="40"/>
            </w:pPr>
            <w:r>
              <w:rPr>
                <w:rFonts w:ascii="TH SarabunPSK" w:hAnsi="TH SarabunPSK" w:eastAsia="TH SarabunPSK" w:cs="TH SarabunPSK"/>
                <w:b w:val="0"/>
                <w:i w:val="0"/>
                <w:color w:val="212529"/>
                <w:sz w:val="28"/>
              </w:rPr>
              <w:t xml:space="preserve">    1.2 Project Objectives</w:t>
            </w:r>
          </w:p>
        </w:tc>
        <w:tc>
          <w:tcPr>
            <w:tcW w:type="dxa" w:w="4154"/>
          </w:tcPr>
          <w:p>
            <w:pPr>
              <w:spacing w:after="40"/>
              <w:jc w:val="right"/>
            </w:pPr>
            <w:r>
              <w:rPr>
                <w:rFonts w:ascii="TH SarabunPSK" w:hAnsi="TH SarabunPSK" w:eastAsia="TH SarabunPSK" w:cs="TH SarabunPSK"/>
                <w:b w:val="0"/>
                <w:i w:val="0"/>
                <w:color w:val="212529"/>
                <w:sz w:val="28"/>
              </w:rPr>
              <w:t>3</w:t>
            </w:r>
          </w:p>
        </w:tc>
      </w:tr>
      <w:tr>
        <w:tc>
          <w:tcPr>
            <w:tcW w:type="dxa" w:w="4154"/>
          </w:tcPr>
          <w:p>
            <w:pPr>
              <w:spacing w:after="40"/>
            </w:pPr>
            <w:r>
              <w:rPr>
                <w:rFonts w:ascii="TH SarabunPSK" w:hAnsi="TH SarabunPSK" w:eastAsia="TH SarabunPSK" w:cs="TH SarabunPSK"/>
                <w:b w:val="0"/>
                <w:i w:val="0"/>
                <w:color w:val="212529"/>
                <w:sz w:val="28"/>
              </w:rPr>
              <w:t xml:space="preserve">    1.3 Scope of the Project (Frontend &amp; Backend Focus)</w:t>
            </w:r>
          </w:p>
        </w:tc>
        <w:tc>
          <w:tcPr>
            <w:tcW w:type="dxa" w:w="4154"/>
          </w:tcPr>
          <w:p>
            <w:pPr>
              <w:spacing w:after="40"/>
              <w:jc w:val="right"/>
            </w:pPr>
            <w:r>
              <w:rPr>
                <w:rFonts w:ascii="TH SarabunPSK" w:hAnsi="TH SarabunPSK" w:eastAsia="TH SarabunPSK" w:cs="TH SarabunPSK"/>
                <w:b w:val="0"/>
                <w:i w:val="0"/>
                <w:color w:val="212529"/>
                <w:sz w:val="28"/>
              </w:rPr>
              <w:t>4</w:t>
            </w:r>
          </w:p>
        </w:tc>
      </w:tr>
      <w:tr>
        <w:tc>
          <w:tcPr>
            <w:tcW w:type="dxa" w:w="4154"/>
          </w:tcPr>
          <w:p>
            <w:pPr>
              <w:spacing w:after="40"/>
            </w:pPr>
            <w:r>
              <w:rPr>
                <w:rFonts w:ascii="TH SarabunPSK" w:hAnsi="TH SarabunPSK" w:eastAsia="TH SarabunPSK" w:cs="TH SarabunPSK"/>
                <w:b w:val="0"/>
                <w:i w:val="0"/>
                <w:color w:val="212529"/>
                <w:sz w:val="28"/>
              </w:rPr>
              <w:t xml:space="preserve">    1.4 Expected Benefits</w:t>
            </w:r>
          </w:p>
        </w:tc>
        <w:tc>
          <w:tcPr>
            <w:tcW w:type="dxa" w:w="4154"/>
          </w:tcPr>
          <w:p>
            <w:pPr>
              <w:spacing w:after="40"/>
              <w:jc w:val="right"/>
            </w:pPr>
            <w:r>
              <w:rPr>
                <w:rFonts w:ascii="TH SarabunPSK" w:hAnsi="TH SarabunPSK" w:eastAsia="TH SarabunPSK" w:cs="TH SarabunPSK"/>
                <w:b w:val="0"/>
                <w:i w:val="0"/>
                <w:color w:val="212529"/>
                <w:sz w:val="28"/>
              </w:rPr>
              <w:t>5</w:t>
            </w:r>
          </w:p>
        </w:tc>
      </w:tr>
      <w:tr>
        <w:tc>
          <w:tcPr>
            <w:tcW w:type="dxa" w:w="4154"/>
          </w:tcPr>
          <w:p>
            <w:pPr>
              <w:spacing w:after="40"/>
            </w:pPr>
            <w:r>
              <w:rPr>
                <w:rFonts w:ascii="TH SarabunPSK" w:hAnsi="TH SarabunPSK" w:eastAsia="TH SarabunPSK" w:cs="TH SarabunPSK"/>
                <w:b w:val="0"/>
                <w:i w:val="0"/>
                <w:color w:val="212529"/>
                <w:sz w:val="28"/>
              </w:rPr>
              <w:t xml:space="preserve">    1.5 Project Timeline and Gantt Chart</w:t>
            </w:r>
          </w:p>
        </w:tc>
        <w:tc>
          <w:tcPr>
            <w:tcW w:type="dxa" w:w="4154"/>
          </w:tcPr>
          <w:p>
            <w:pPr>
              <w:spacing w:after="40"/>
              <w:jc w:val="right"/>
            </w:pPr>
            <w:r>
              <w:rPr>
                <w:rFonts w:ascii="TH SarabunPSK" w:hAnsi="TH SarabunPSK" w:eastAsia="TH SarabunPSK" w:cs="TH SarabunPSK"/>
                <w:b w:val="0"/>
                <w:i w:val="0"/>
                <w:color w:val="212529"/>
                <w:sz w:val="28"/>
              </w:rPr>
              <w:t>6</w:t>
            </w:r>
          </w:p>
        </w:tc>
      </w:tr>
      <w:tr>
        <w:tc>
          <w:tcPr>
            <w:tcW w:type="dxa" w:w="4154"/>
          </w:tcPr>
          <w:p>
            <w:pPr>
              <w:spacing w:after="40"/>
            </w:pPr>
            <w:r>
              <w:rPr>
                <w:rFonts w:ascii="TH SarabunPSK" w:hAnsi="TH SarabunPSK" w:eastAsia="TH SarabunPSK" w:cs="TH SarabunPSK"/>
                <w:b w:val="0"/>
                <w:i w:val="0"/>
                <w:color w:val="212529"/>
                <w:sz w:val="28"/>
              </w:rPr>
              <w:t xml:space="preserve">    1.6 Report Outline</w:t>
            </w:r>
          </w:p>
        </w:tc>
        <w:tc>
          <w:tcPr>
            <w:tcW w:type="dxa" w:w="4154"/>
          </w:tcPr>
          <w:p>
            <w:pPr>
              <w:spacing w:after="40"/>
              <w:jc w:val="right"/>
            </w:pPr>
            <w:r>
              <w:rPr>
                <w:rFonts w:ascii="TH SarabunPSK" w:hAnsi="TH SarabunPSK" w:eastAsia="TH SarabunPSK" w:cs="TH SarabunPSK"/>
                <w:b w:val="0"/>
                <w:i w:val="0"/>
                <w:color w:val="212529"/>
                <w:sz w:val="28"/>
              </w:rPr>
              <w:t>8</w:t>
            </w:r>
          </w:p>
        </w:tc>
      </w:tr>
      <w:tr>
        <w:tc>
          <w:tcPr>
            <w:tcW w:type="dxa" w:w="4154"/>
          </w:tcPr>
          <w:p>
            <w:pPr>
              <w:spacing w:after="40"/>
            </w:pPr>
            <w:r>
              <w:rPr>
                <w:rFonts w:ascii="TH SarabunPSK" w:hAnsi="TH SarabunPSK" w:eastAsia="TH SarabunPSK" w:cs="TH SarabunPSK"/>
                <w:b/>
                <w:i w:val="0"/>
                <w:color w:val="212529"/>
                <w:sz w:val="28"/>
              </w:rPr>
              <w:t>Chapter 2  Literature Review</w:t>
            </w:r>
          </w:p>
        </w:tc>
        <w:tc>
          <w:tcPr>
            <w:tcW w:type="dxa" w:w="4154"/>
          </w:tcPr>
          <w:p>
            <w:pPr>
              <w:spacing w:after="40"/>
              <w:jc w:val="right"/>
            </w:pPr>
            <w:r>
              <w:rPr>
                <w:rFonts w:ascii="TH SarabunPSK" w:hAnsi="TH SarabunPSK" w:eastAsia="TH SarabunPSK" w:cs="TH SarabunPSK"/>
                <w:b/>
                <w:i w:val="0"/>
                <w:color w:val="212529"/>
                <w:sz w:val="28"/>
              </w:rPr>
              <w:t>9</w:t>
            </w:r>
          </w:p>
        </w:tc>
      </w:tr>
      <w:tr>
        <w:tc>
          <w:tcPr>
            <w:tcW w:type="dxa" w:w="4154"/>
          </w:tcPr>
          <w:p>
            <w:pPr>
              <w:spacing w:after="40"/>
            </w:pPr>
            <w:r>
              <w:rPr>
                <w:rFonts w:ascii="TH SarabunPSK" w:hAnsi="TH SarabunPSK" w:eastAsia="TH SarabunPSK" w:cs="TH SarabunPSK"/>
                <w:b w:val="0"/>
                <w:i w:val="0"/>
                <w:color w:val="212529"/>
                <w:sz w:val="28"/>
              </w:rPr>
              <w:t xml:space="preserve">    2.1 Related Studies</w:t>
            </w:r>
          </w:p>
        </w:tc>
        <w:tc>
          <w:tcPr>
            <w:tcW w:type="dxa" w:w="4154"/>
          </w:tcPr>
          <w:p>
            <w:pPr>
              <w:spacing w:after="40"/>
              <w:jc w:val="right"/>
            </w:pPr>
            <w:r>
              <w:rPr>
                <w:rFonts w:ascii="TH SarabunPSK" w:hAnsi="TH SarabunPSK" w:eastAsia="TH SarabunPSK" w:cs="TH SarabunPSK"/>
                <w:b w:val="0"/>
                <w:i w:val="0"/>
                <w:color w:val="212529"/>
                <w:sz w:val="28"/>
              </w:rPr>
              <w:t>9</w:t>
            </w:r>
          </w:p>
        </w:tc>
      </w:tr>
      <w:tr>
        <w:tc>
          <w:tcPr>
            <w:tcW w:type="dxa" w:w="4154"/>
          </w:tcPr>
          <w:p>
            <w:pPr>
              <w:spacing w:after="40"/>
            </w:pPr>
            <w:r>
              <w:rPr>
                <w:rFonts w:ascii="TH SarabunPSK" w:hAnsi="TH SarabunPSK" w:eastAsia="TH SarabunPSK" w:cs="TH SarabunPSK"/>
                <w:b w:val="0"/>
                <w:i w:val="0"/>
                <w:color w:val="212529"/>
                <w:sz w:val="28"/>
              </w:rPr>
              <w:t xml:space="preserve">        2.1.1 Cyber Threat Intelligence and Standardized Mappings</w:t>
            </w:r>
          </w:p>
        </w:tc>
        <w:tc>
          <w:tcPr>
            <w:tcW w:type="dxa" w:w="4154"/>
          </w:tcPr>
          <w:p>
            <w:pPr>
              <w:spacing w:after="40"/>
              <w:jc w:val="right"/>
            </w:pPr>
            <w:r>
              <w:rPr>
                <w:rFonts w:ascii="TH SarabunPSK" w:hAnsi="TH SarabunPSK" w:eastAsia="TH SarabunPSK" w:cs="TH SarabunPSK"/>
                <w:b w:val="0"/>
                <w:i w:val="0"/>
                <w:color w:val="212529"/>
                <w:sz w:val="28"/>
              </w:rPr>
              <w:t>9</w:t>
            </w:r>
          </w:p>
        </w:tc>
      </w:tr>
      <w:tr>
        <w:tc>
          <w:tcPr>
            <w:tcW w:type="dxa" w:w="4154"/>
          </w:tcPr>
          <w:p>
            <w:pPr>
              <w:spacing w:after="40"/>
            </w:pPr>
            <w:r>
              <w:rPr>
                <w:rFonts w:ascii="TH SarabunPSK" w:hAnsi="TH SarabunPSK" w:eastAsia="TH SarabunPSK" w:cs="TH SarabunPSK"/>
                <w:b w:val="0"/>
                <w:i w:val="0"/>
                <w:color w:val="212529"/>
                <w:sz w:val="28"/>
              </w:rPr>
              <w:t xml:space="preserve">        2.1.2 Evidence-Grounded Digital Forensic Reporting</w:t>
            </w:r>
          </w:p>
        </w:tc>
        <w:tc>
          <w:tcPr>
            <w:tcW w:type="dxa" w:w="4154"/>
          </w:tcPr>
          <w:p>
            <w:pPr>
              <w:spacing w:after="40"/>
              <w:jc w:val="right"/>
            </w:pPr>
            <w:r>
              <w:rPr>
                <w:rFonts w:ascii="TH SarabunPSK" w:hAnsi="TH SarabunPSK" w:eastAsia="TH SarabunPSK" w:cs="TH SarabunPSK"/>
                <w:b w:val="0"/>
                <w:i w:val="0"/>
                <w:color w:val="212529"/>
                <w:sz w:val="28"/>
              </w:rPr>
              <w:t>11</w:t>
            </w:r>
          </w:p>
        </w:tc>
      </w:tr>
      <w:tr>
        <w:tc>
          <w:tcPr>
            <w:tcW w:type="dxa" w:w="4154"/>
          </w:tcPr>
          <w:p>
            <w:pPr>
              <w:spacing w:after="40"/>
            </w:pPr>
            <w:r>
              <w:rPr>
                <w:rFonts w:ascii="TH SarabunPSK" w:hAnsi="TH SarabunPSK" w:eastAsia="TH SarabunPSK" w:cs="TH SarabunPSK"/>
                <w:b w:val="0"/>
                <w:i w:val="0"/>
                <w:color w:val="212529"/>
                <w:sz w:val="28"/>
              </w:rPr>
              <w:t xml:space="preserve">        2.1.3 Large Language Models in Security Operations</w:t>
            </w:r>
          </w:p>
        </w:tc>
        <w:tc>
          <w:tcPr>
            <w:tcW w:type="dxa" w:w="4154"/>
          </w:tcPr>
          <w:p>
            <w:pPr>
              <w:spacing w:after="40"/>
              <w:jc w:val="right"/>
            </w:pPr>
            <w:r>
              <w:rPr>
                <w:rFonts w:ascii="TH SarabunPSK" w:hAnsi="TH SarabunPSK" w:eastAsia="TH SarabunPSK" w:cs="TH SarabunPSK"/>
                <w:b w:val="0"/>
                <w:i w:val="0"/>
                <w:color w:val="212529"/>
                <w:sz w:val="28"/>
              </w:rPr>
              <w:t>13</w:t>
            </w:r>
          </w:p>
        </w:tc>
      </w:tr>
      <w:tr>
        <w:tc>
          <w:tcPr>
            <w:tcW w:type="dxa" w:w="4154"/>
          </w:tcPr>
          <w:p>
            <w:pPr>
              <w:spacing w:after="40"/>
            </w:pPr>
            <w:r>
              <w:rPr>
                <w:rFonts w:ascii="TH SarabunPSK" w:hAnsi="TH SarabunPSK" w:eastAsia="TH SarabunPSK" w:cs="TH SarabunPSK"/>
                <w:b w:val="0"/>
                <w:i w:val="0"/>
                <w:color w:val="212529"/>
                <w:sz w:val="28"/>
              </w:rPr>
              <w:t xml:space="preserve">        2.1.4 Human-in-the-Loop Interaction and Clarification</w:t>
            </w:r>
          </w:p>
        </w:tc>
        <w:tc>
          <w:tcPr>
            <w:tcW w:type="dxa" w:w="4154"/>
          </w:tcPr>
          <w:p>
            <w:pPr>
              <w:spacing w:after="40"/>
              <w:jc w:val="right"/>
            </w:pPr>
            <w:r>
              <w:rPr>
                <w:rFonts w:ascii="TH SarabunPSK" w:hAnsi="TH SarabunPSK" w:eastAsia="TH SarabunPSK" w:cs="TH SarabunPSK"/>
                <w:b w:val="0"/>
                <w:i w:val="0"/>
                <w:color w:val="212529"/>
                <w:sz w:val="28"/>
              </w:rPr>
              <w:t>15</w:t>
            </w:r>
          </w:p>
        </w:tc>
      </w:tr>
      <w:tr>
        <w:tc>
          <w:tcPr>
            <w:tcW w:type="dxa" w:w="4154"/>
          </w:tcPr>
          <w:p>
            <w:pPr>
              <w:spacing w:after="40"/>
            </w:pPr>
            <w:r>
              <w:rPr>
                <w:rFonts w:ascii="TH SarabunPSK" w:hAnsi="TH SarabunPSK" w:eastAsia="TH SarabunPSK" w:cs="TH SarabunPSK"/>
                <w:b w:val="0"/>
                <w:i w:val="0"/>
                <w:color w:val="212529"/>
                <w:sz w:val="28"/>
              </w:rPr>
              <w:t xml:space="preserve">        2.1.5 Automated CTI Reporting and Two-Stage Baseline Paradigms</w:t>
            </w:r>
          </w:p>
        </w:tc>
        <w:tc>
          <w:tcPr>
            <w:tcW w:type="dxa" w:w="4154"/>
          </w:tcPr>
          <w:p>
            <w:pPr>
              <w:spacing w:after="40"/>
              <w:jc w:val="right"/>
            </w:pPr>
            <w:r>
              <w:rPr>
                <w:rFonts w:ascii="TH SarabunPSK" w:hAnsi="TH SarabunPSK" w:eastAsia="TH SarabunPSK" w:cs="TH SarabunPSK"/>
                <w:b w:val="0"/>
                <w:i w:val="0"/>
                <w:color w:val="212529"/>
                <w:sz w:val="28"/>
              </w:rPr>
              <w:t>17</w:t>
            </w:r>
          </w:p>
        </w:tc>
      </w:tr>
      <w:tr>
        <w:tc>
          <w:tcPr>
            <w:tcW w:type="dxa" w:w="4154"/>
          </w:tcPr>
          <w:p>
            <w:pPr>
              <w:spacing w:after="40"/>
            </w:pPr>
            <w:r>
              <w:rPr>
                <w:rFonts w:ascii="TH SarabunPSK" w:hAnsi="TH SarabunPSK" w:eastAsia="TH SarabunPSK" w:cs="TH SarabunPSK"/>
                <w:b w:val="0"/>
                <w:i w:val="0"/>
                <w:color w:val="212529"/>
                <w:sz w:val="28"/>
              </w:rPr>
              <w:t xml:space="preserve">        2.1.6 Comparative Synthesis and Research Gap</w:t>
            </w:r>
          </w:p>
        </w:tc>
        <w:tc>
          <w:tcPr>
            <w:tcW w:type="dxa" w:w="4154"/>
          </w:tcPr>
          <w:p>
            <w:pPr>
              <w:spacing w:after="40"/>
              <w:jc w:val="right"/>
            </w:pPr>
            <w:r>
              <w:rPr>
                <w:rFonts w:ascii="TH SarabunPSK" w:hAnsi="TH SarabunPSK" w:eastAsia="TH SarabunPSK" w:cs="TH SarabunPSK"/>
                <w:b w:val="0"/>
                <w:i w:val="0"/>
                <w:color w:val="212529"/>
                <w:sz w:val="28"/>
              </w:rPr>
              <w:t>19</w:t>
            </w:r>
          </w:p>
        </w:tc>
      </w:tr>
      <w:tr>
        <w:tc>
          <w:tcPr>
            <w:tcW w:type="dxa" w:w="4154"/>
          </w:tcPr>
          <w:p>
            <w:pPr>
              <w:spacing w:after="40"/>
            </w:pPr>
            <w:r>
              <w:rPr>
                <w:rFonts w:ascii="TH SarabunPSK" w:hAnsi="TH SarabunPSK" w:eastAsia="TH SarabunPSK" w:cs="TH SarabunPSK"/>
                <w:b w:val="0"/>
                <w:i w:val="0"/>
                <w:color w:val="212529"/>
                <w:sz w:val="28"/>
              </w:rPr>
              <w:t xml:space="preserve">    2.2 Preliminary and Theoretical Foundations</w:t>
            </w:r>
          </w:p>
        </w:tc>
        <w:tc>
          <w:tcPr>
            <w:tcW w:type="dxa" w:w="4154"/>
          </w:tcPr>
          <w:p>
            <w:pPr>
              <w:spacing w:after="40"/>
              <w:jc w:val="right"/>
            </w:pPr>
            <w:r>
              <w:rPr>
                <w:rFonts w:ascii="TH SarabunPSK" w:hAnsi="TH SarabunPSK" w:eastAsia="TH SarabunPSK" w:cs="TH SarabunPSK"/>
                <w:b w:val="0"/>
                <w:i w:val="0"/>
                <w:color w:val="212529"/>
                <w:sz w:val="28"/>
              </w:rPr>
              <w:t>21</w:t>
            </w:r>
          </w:p>
        </w:tc>
      </w:tr>
      <w:tr>
        <w:tc>
          <w:tcPr>
            <w:tcW w:type="dxa" w:w="4154"/>
          </w:tcPr>
          <w:p>
            <w:pPr>
              <w:spacing w:after="40"/>
            </w:pPr>
            <w:r>
              <w:rPr>
                <w:rFonts w:ascii="TH SarabunPSK" w:hAnsi="TH SarabunPSK" w:eastAsia="TH SarabunPSK" w:cs="TH SarabunPSK"/>
                <w:b w:val="0"/>
                <w:i w:val="0"/>
                <w:color w:val="212529"/>
                <w:sz w:val="28"/>
              </w:rPr>
              <w:t xml:space="preserve">        2.2.1 Frontend and Backend Frameworks</w:t>
            </w:r>
          </w:p>
        </w:tc>
        <w:tc>
          <w:tcPr>
            <w:tcW w:type="dxa" w:w="4154"/>
          </w:tcPr>
          <w:p>
            <w:pPr>
              <w:spacing w:after="40"/>
              <w:jc w:val="right"/>
            </w:pPr>
            <w:r>
              <w:rPr>
                <w:rFonts w:ascii="TH SarabunPSK" w:hAnsi="TH SarabunPSK" w:eastAsia="TH SarabunPSK" w:cs="TH SarabunPSK"/>
                <w:b w:val="0"/>
                <w:i w:val="0"/>
                <w:color w:val="212529"/>
                <w:sz w:val="28"/>
              </w:rPr>
              <w:t>21</w:t>
            </w:r>
          </w:p>
        </w:tc>
      </w:tr>
      <w:tr>
        <w:tc>
          <w:tcPr>
            <w:tcW w:type="dxa" w:w="4154"/>
          </w:tcPr>
          <w:p>
            <w:pPr>
              <w:spacing w:after="40"/>
            </w:pPr>
            <w:r>
              <w:rPr>
                <w:rFonts w:ascii="TH SarabunPSK" w:hAnsi="TH SarabunPSK" w:eastAsia="TH SarabunPSK" w:cs="TH SarabunPSK"/>
                <w:b w:val="0"/>
                <w:i w:val="0"/>
                <w:color w:val="212529"/>
                <w:sz w:val="28"/>
              </w:rPr>
              <w:t xml:space="preserve">        2.2.2 State Management and Epistemic Modeling</w:t>
            </w:r>
          </w:p>
        </w:tc>
        <w:tc>
          <w:tcPr>
            <w:tcW w:type="dxa" w:w="4154"/>
          </w:tcPr>
          <w:p>
            <w:pPr>
              <w:spacing w:after="40"/>
              <w:jc w:val="right"/>
            </w:pPr>
            <w:r>
              <w:rPr>
                <w:rFonts w:ascii="TH SarabunPSK" w:hAnsi="TH SarabunPSK" w:eastAsia="TH SarabunPSK" w:cs="TH SarabunPSK"/>
                <w:b w:val="0"/>
                <w:i w:val="0"/>
                <w:color w:val="212529"/>
                <w:sz w:val="28"/>
              </w:rPr>
              <w:t>23</w:t>
            </w:r>
          </w:p>
        </w:tc>
      </w:tr>
      <w:tr>
        <w:tc>
          <w:tcPr>
            <w:tcW w:type="dxa" w:w="4154"/>
          </w:tcPr>
          <w:p>
            <w:pPr>
              <w:spacing w:after="40"/>
            </w:pPr>
            <w:r>
              <w:rPr>
                <w:rFonts w:ascii="TH SarabunPSK" w:hAnsi="TH SarabunPSK" w:eastAsia="TH SarabunPSK" w:cs="TH SarabunPSK"/>
                <w:b/>
                <w:i w:val="0"/>
                <w:color w:val="212529"/>
                <w:sz w:val="28"/>
              </w:rPr>
              <w:t>Chapter 3  Methodology</w:t>
            </w:r>
          </w:p>
        </w:tc>
        <w:tc>
          <w:tcPr>
            <w:tcW w:type="dxa" w:w="4154"/>
          </w:tcPr>
          <w:p>
            <w:pPr>
              <w:spacing w:after="40"/>
              <w:jc w:val="right"/>
            </w:pPr>
            <w:r>
              <w:rPr>
                <w:rFonts w:ascii="TH SarabunPSK" w:hAnsi="TH SarabunPSK" w:eastAsia="TH SarabunPSK" w:cs="TH SarabunPSK"/>
                <w:b/>
                <w:i w:val="0"/>
                <w:color w:val="212529"/>
                <w:sz w:val="28"/>
              </w:rPr>
              <w:t>26</w:t>
            </w:r>
          </w:p>
        </w:tc>
      </w:tr>
      <w:tr>
        <w:tc>
          <w:tcPr>
            <w:tcW w:type="dxa" w:w="4154"/>
          </w:tcPr>
          <w:p>
            <w:pPr>
              <w:spacing w:after="40"/>
            </w:pPr>
            <w:r>
              <w:rPr>
                <w:rFonts w:ascii="TH SarabunPSK" w:hAnsi="TH SarabunPSK" w:eastAsia="TH SarabunPSK" w:cs="TH SarabunPSK"/>
                <w:b w:val="0"/>
                <w:i w:val="0"/>
                <w:color w:val="212529"/>
                <w:sz w:val="28"/>
              </w:rPr>
              <w:t xml:space="preserve">    3.1 System Overview and Conceptual Architecture</w:t>
            </w:r>
          </w:p>
        </w:tc>
        <w:tc>
          <w:tcPr>
            <w:tcW w:type="dxa" w:w="4154"/>
          </w:tcPr>
          <w:p>
            <w:pPr>
              <w:spacing w:after="40"/>
              <w:jc w:val="right"/>
            </w:pPr>
            <w:r>
              <w:rPr>
                <w:rFonts w:ascii="TH SarabunPSK" w:hAnsi="TH SarabunPSK" w:eastAsia="TH SarabunPSK" w:cs="TH SarabunPSK"/>
                <w:b w:val="0"/>
                <w:i w:val="0"/>
                <w:color w:val="212529"/>
                <w:sz w:val="28"/>
              </w:rPr>
              <w:t>26</w:t>
            </w:r>
          </w:p>
        </w:tc>
      </w:tr>
      <w:tr>
        <w:tc>
          <w:tcPr>
            <w:tcW w:type="dxa" w:w="4154"/>
          </w:tcPr>
          <w:p>
            <w:pPr>
              <w:spacing w:after="40"/>
            </w:pPr>
            <w:r>
              <w:rPr>
                <w:rFonts w:ascii="TH SarabunPSK" w:hAnsi="TH SarabunPSK" w:eastAsia="TH SarabunPSK" w:cs="TH SarabunPSK"/>
                <w:b w:val="0"/>
                <w:i w:val="0"/>
                <w:color w:val="212529"/>
                <w:sz w:val="28"/>
              </w:rPr>
              <w:t xml:space="preserve">    3.2 User Roles and Stakeholder Responsibilities</w:t>
            </w:r>
          </w:p>
        </w:tc>
        <w:tc>
          <w:tcPr>
            <w:tcW w:type="dxa" w:w="4154"/>
          </w:tcPr>
          <w:p>
            <w:pPr>
              <w:spacing w:after="40"/>
              <w:jc w:val="right"/>
            </w:pPr>
            <w:r>
              <w:rPr>
                <w:rFonts w:ascii="TH SarabunPSK" w:hAnsi="TH SarabunPSK" w:eastAsia="TH SarabunPSK" w:cs="TH SarabunPSK"/>
                <w:b w:val="0"/>
                <w:i w:val="0"/>
                <w:color w:val="212529"/>
                <w:sz w:val="28"/>
              </w:rPr>
              <w:t>27</w:t>
            </w:r>
          </w:p>
        </w:tc>
      </w:tr>
      <w:tr>
        <w:tc>
          <w:tcPr>
            <w:tcW w:type="dxa" w:w="4154"/>
          </w:tcPr>
          <w:p>
            <w:pPr>
              <w:spacing w:after="40"/>
            </w:pPr>
            <w:r>
              <w:rPr>
                <w:rFonts w:ascii="TH SarabunPSK" w:hAnsi="TH SarabunPSK" w:eastAsia="TH SarabunPSK" w:cs="TH SarabunPSK"/>
                <w:b w:val="0"/>
                <w:i w:val="0"/>
                <w:color w:val="212529"/>
                <w:sz w:val="28"/>
              </w:rPr>
              <w:t xml:space="preserve">    3.3 Use Case Modeling and Interaction Requirements</w:t>
            </w:r>
          </w:p>
        </w:tc>
        <w:tc>
          <w:tcPr>
            <w:tcW w:type="dxa" w:w="4154"/>
          </w:tcPr>
          <w:p>
            <w:pPr>
              <w:spacing w:after="40"/>
              <w:jc w:val="right"/>
            </w:pPr>
            <w:r>
              <w:rPr>
                <w:rFonts w:ascii="TH SarabunPSK" w:hAnsi="TH SarabunPSK" w:eastAsia="TH SarabunPSK" w:cs="TH SarabunPSK"/>
                <w:b w:val="0"/>
                <w:i w:val="0"/>
                <w:color w:val="212529"/>
                <w:sz w:val="28"/>
              </w:rPr>
              <w:t>28</w:t>
            </w:r>
          </w:p>
        </w:tc>
      </w:tr>
      <w:tr>
        <w:tc>
          <w:tcPr>
            <w:tcW w:type="dxa" w:w="4154"/>
          </w:tcPr>
          <w:p>
            <w:pPr>
              <w:spacing w:after="40"/>
            </w:pPr>
            <w:r>
              <w:rPr>
                <w:rFonts w:ascii="TH SarabunPSK" w:hAnsi="TH SarabunPSK" w:eastAsia="TH SarabunPSK" w:cs="TH SarabunPSK"/>
                <w:b w:val="0"/>
                <w:i w:val="0"/>
                <w:color w:val="212529"/>
                <w:sz w:val="28"/>
              </w:rPr>
              <w:t xml:space="preserve">    3.4 Detailed Use Case Specifications</w:t>
            </w:r>
          </w:p>
        </w:tc>
        <w:tc>
          <w:tcPr>
            <w:tcW w:type="dxa" w:w="4154"/>
          </w:tcPr>
          <w:p>
            <w:pPr>
              <w:spacing w:after="40"/>
              <w:jc w:val="right"/>
            </w:pPr>
            <w:r>
              <w:rPr>
                <w:rFonts w:ascii="TH SarabunPSK" w:hAnsi="TH SarabunPSK" w:eastAsia="TH SarabunPSK" w:cs="TH SarabunPSK"/>
                <w:b w:val="0"/>
                <w:i w:val="0"/>
                <w:color w:val="212529"/>
                <w:sz w:val="28"/>
              </w:rPr>
              <w:t>29</w:t>
            </w:r>
          </w:p>
        </w:tc>
      </w:tr>
      <w:tr>
        <w:tc>
          <w:tcPr>
            <w:tcW w:type="dxa" w:w="4154"/>
          </w:tcPr>
          <w:p>
            <w:pPr>
              <w:spacing w:after="40"/>
            </w:pPr>
            <w:r>
              <w:rPr>
                <w:rFonts w:ascii="TH SarabunPSK" w:hAnsi="TH SarabunPSK" w:eastAsia="TH SarabunPSK" w:cs="TH SarabunPSK"/>
                <w:b w:val="0"/>
                <w:i w:val="0"/>
                <w:color w:val="212529"/>
                <w:sz w:val="28"/>
              </w:rPr>
              <w:t xml:space="preserve">    3.5 Full-Stack System Architecture and Service Boundaries</w:t>
            </w:r>
          </w:p>
        </w:tc>
        <w:tc>
          <w:tcPr>
            <w:tcW w:type="dxa" w:w="4154"/>
          </w:tcPr>
          <w:p>
            <w:pPr>
              <w:spacing w:after="40"/>
              <w:jc w:val="right"/>
            </w:pPr>
            <w:r>
              <w:rPr>
                <w:rFonts w:ascii="TH SarabunPSK" w:hAnsi="TH SarabunPSK" w:eastAsia="TH SarabunPSK" w:cs="TH SarabunPSK"/>
                <w:b w:val="0"/>
                <w:i w:val="0"/>
                <w:color w:val="212529"/>
                <w:sz w:val="28"/>
              </w:rPr>
              <w:t>31</w:t>
            </w:r>
          </w:p>
        </w:tc>
      </w:tr>
      <w:tr>
        <w:tc>
          <w:tcPr>
            <w:tcW w:type="dxa" w:w="4154"/>
          </w:tcPr>
          <w:p>
            <w:pPr>
              <w:spacing w:after="40"/>
            </w:pPr>
            <w:r>
              <w:rPr>
                <w:rFonts w:ascii="TH SarabunPSK" w:hAnsi="TH SarabunPSK" w:eastAsia="TH SarabunPSK" w:cs="TH SarabunPSK"/>
                <w:b w:val="0"/>
                <w:i w:val="0"/>
                <w:color w:val="212529"/>
                <w:sz w:val="28"/>
              </w:rPr>
              <w:t xml:space="preserve">    3.6 Core Workflow and Data Flow Dynamics</w:t>
            </w:r>
          </w:p>
        </w:tc>
        <w:tc>
          <w:tcPr>
            <w:tcW w:type="dxa" w:w="4154"/>
          </w:tcPr>
          <w:p>
            <w:pPr>
              <w:spacing w:after="40"/>
              <w:jc w:val="right"/>
            </w:pPr>
            <w:r>
              <w:rPr>
                <w:rFonts w:ascii="TH SarabunPSK" w:hAnsi="TH SarabunPSK" w:eastAsia="TH SarabunPSK" w:cs="TH SarabunPSK"/>
                <w:b w:val="0"/>
                <w:i w:val="0"/>
                <w:color w:val="212529"/>
                <w:sz w:val="28"/>
              </w:rPr>
              <w:t>33</w:t>
            </w:r>
          </w:p>
        </w:tc>
      </w:tr>
      <w:tr>
        <w:tc>
          <w:tcPr>
            <w:tcW w:type="dxa" w:w="4154"/>
          </w:tcPr>
          <w:p>
            <w:pPr>
              <w:spacing w:after="40"/>
            </w:pPr>
            <w:r>
              <w:rPr>
                <w:rFonts w:ascii="TH SarabunPSK" w:hAnsi="TH SarabunPSK" w:eastAsia="TH SarabunPSK" w:cs="TH SarabunPSK"/>
                <w:b w:val="0"/>
                <w:i w:val="0"/>
                <w:color w:val="212529"/>
                <w:sz w:val="28"/>
              </w:rPr>
              <w:t xml:space="preserve">    3.7 Evidence Trust Boundary and Provenance Tiering</w:t>
            </w:r>
          </w:p>
        </w:tc>
        <w:tc>
          <w:tcPr>
            <w:tcW w:type="dxa" w:w="4154"/>
          </w:tcPr>
          <w:p>
            <w:pPr>
              <w:spacing w:after="40"/>
              <w:jc w:val="right"/>
            </w:pPr>
            <w:r>
              <w:rPr>
                <w:rFonts w:ascii="TH SarabunPSK" w:hAnsi="TH SarabunPSK" w:eastAsia="TH SarabunPSK" w:cs="TH SarabunPSK"/>
                <w:b w:val="0"/>
                <w:i w:val="0"/>
                <w:color w:val="212529"/>
                <w:sz w:val="28"/>
              </w:rPr>
              <w:t>35</w:t>
            </w:r>
          </w:p>
        </w:tc>
      </w:tr>
      <w:tr>
        <w:tc>
          <w:tcPr>
            <w:tcW w:type="dxa" w:w="4154"/>
          </w:tcPr>
          <w:p>
            <w:pPr>
              <w:spacing w:after="40"/>
            </w:pPr>
            <w:r>
              <w:rPr>
                <w:rFonts w:ascii="TH SarabunPSK" w:hAnsi="TH SarabunPSK" w:eastAsia="TH SarabunPSK" w:cs="TH SarabunPSK"/>
                <w:b w:val="0"/>
                <w:i w:val="0"/>
                <w:color w:val="212529"/>
                <w:sz w:val="28"/>
              </w:rPr>
              <w:t xml:space="preserve">    3.8 LLM Case Analysis Module and Epistemic Modeling</w:t>
            </w:r>
          </w:p>
        </w:tc>
        <w:tc>
          <w:tcPr>
            <w:tcW w:type="dxa" w:w="4154"/>
          </w:tcPr>
          <w:p>
            <w:pPr>
              <w:spacing w:after="40"/>
              <w:jc w:val="right"/>
            </w:pPr>
            <w:r>
              <w:rPr>
                <w:rFonts w:ascii="TH SarabunPSK" w:hAnsi="TH SarabunPSK" w:eastAsia="TH SarabunPSK" w:cs="TH SarabunPSK"/>
                <w:b w:val="0"/>
                <w:i w:val="0"/>
                <w:color w:val="212529"/>
                <w:sz w:val="28"/>
              </w:rPr>
              <w:t>37</w:t>
            </w:r>
          </w:p>
        </w:tc>
      </w:tr>
      <w:tr>
        <w:tc>
          <w:tcPr>
            <w:tcW w:type="dxa" w:w="4154"/>
          </w:tcPr>
          <w:p>
            <w:pPr>
              <w:spacing w:after="40"/>
            </w:pPr>
            <w:r>
              <w:rPr>
                <w:rFonts w:ascii="TH SarabunPSK" w:hAnsi="TH SarabunPSK" w:eastAsia="TH SarabunPSK" w:cs="TH SarabunPSK"/>
                <w:b w:val="0"/>
                <w:i w:val="0"/>
                <w:color w:val="212529"/>
                <w:sz w:val="28"/>
              </w:rPr>
              <w:t xml:space="preserve">    3.9 Gap Analysis and Schema-Gated Follow-Up Clarification</w:t>
            </w:r>
          </w:p>
        </w:tc>
        <w:tc>
          <w:tcPr>
            <w:tcW w:type="dxa" w:w="4154"/>
          </w:tcPr>
          <w:p>
            <w:pPr>
              <w:spacing w:after="40"/>
              <w:jc w:val="right"/>
            </w:pPr>
            <w:r>
              <w:rPr>
                <w:rFonts w:ascii="TH SarabunPSK" w:hAnsi="TH SarabunPSK" w:eastAsia="TH SarabunPSK" w:cs="TH SarabunPSK"/>
                <w:b w:val="0"/>
                <w:i w:val="0"/>
                <w:color w:val="212529"/>
                <w:sz w:val="28"/>
              </w:rPr>
              <w:t>40</w:t>
            </w:r>
          </w:p>
        </w:tc>
      </w:tr>
      <w:tr>
        <w:tc>
          <w:tcPr>
            <w:tcW w:type="dxa" w:w="4154"/>
          </w:tcPr>
          <w:p>
            <w:pPr>
              <w:spacing w:after="40"/>
            </w:pPr>
            <w:r>
              <w:rPr>
                <w:rFonts w:ascii="TH SarabunPSK" w:hAnsi="TH SarabunPSK" w:eastAsia="TH SarabunPSK" w:cs="TH SarabunPSK"/>
                <w:b w:val="0"/>
                <w:i w:val="0"/>
                <w:color w:val="212529"/>
                <w:sz w:val="28"/>
              </w:rPr>
              <w:t xml:space="preserve">    3.10 External Knowledge Integration Contract (RAG Client)</w:t>
            </w:r>
          </w:p>
        </w:tc>
        <w:tc>
          <w:tcPr>
            <w:tcW w:type="dxa" w:w="4154"/>
          </w:tcPr>
          <w:p>
            <w:pPr>
              <w:spacing w:after="40"/>
              <w:jc w:val="right"/>
            </w:pPr>
            <w:r>
              <w:rPr>
                <w:rFonts w:ascii="TH SarabunPSK" w:hAnsi="TH SarabunPSK" w:eastAsia="TH SarabunPSK" w:cs="TH SarabunPSK"/>
                <w:b w:val="0"/>
                <w:i w:val="0"/>
                <w:color w:val="212529"/>
                <w:sz w:val="28"/>
              </w:rPr>
              <w:t>42</w:t>
            </w:r>
          </w:p>
        </w:tc>
      </w:tr>
      <w:tr>
        <w:tc>
          <w:tcPr>
            <w:tcW w:type="dxa" w:w="4154"/>
          </w:tcPr>
          <w:p>
            <w:pPr>
              <w:spacing w:after="40"/>
            </w:pPr>
            <w:r>
              <w:rPr>
                <w:rFonts w:ascii="TH SarabunPSK" w:hAnsi="TH SarabunPSK" w:eastAsia="TH SarabunPSK" w:cs="TH SarabunPSK"/>
                <w:b w:val="0"/>
                <w:i w:val="0"/>
                <w:color w:val="212529"/>
                <w:sz w:val="28"/>
              </w:rPr>
              <w:t xml:space="preserve">    3.11 Rigid Deterministic Report Generation Module</w:t>
            </w:r>
          </w:p>
        </w:tc>
        <w:tc>
          <w:tcPr>
            <w:tcW w:type="dxa" w:w="4154"/>
          </w:tcPr>
          <w:p>
            <w:pPr>
              <w:spacing w:after="40"/>
              <w:jc w:val="right"/>
            </w:pPr>
            <w:r>
              <w:rPr>
                <w:rFonts w:ascii="TH SarabunPSK" w:hAnsi="TH SarabunPSK" w:eastAsia="TH SarabunPSK" w:cs="TH SarabunPSK"/>
                <w:b w:val="0"/>
                <w:i w:val="0"/>
                <w:color w:val="212529"/>
                <w:sz w:val="28"/>
              </w:rPr>
              <w:t>44</w:t>
            </w:r>
          </w:p>
        </w:tc>
      </w:tr>
      <w:tr>
        <w:tc>
          <w:tcPr>
            <w:tcW w:type="dxa" w:w="4154"/>
          </w:tcPr>
          <w:p>
            <w:pPr>
              <w:spacing w:after="40"/>
            </w:pPr>
            <w:r>
              <w:rPr>
                <w:rFonts w:ascii="TH SarabunPSK" w:hAnsi="TH SarabunPSK" w:eastAsia="TH SarabunPSK" w:cs="TH SarabunPSK"/>
                <w:b w:val="0"/>
                <w:i w:val="0"/>
                <w:color w:val="212529"/>
                <w:sz w:val="28"/>
              </w:rPr>
              <w:t xml:space="preserve">    3.12 Database Schema Design and Data Persistence</w:t>
            </w:r>
          </w:p>
        </w:tc>
        <w:tc>
          <w:tcPr>
            <w:tcW w:type="dxa" w:w="4154"/>
          </w:tcPr>
          <w:p>
            <w:pPr>
              <w:spacing w:after="40"/>
              <w:jc w:val="right"/>
            </w:pPr>
            <w:r>
              <w:rPr>
                <w:rFonts w:ascii="TH SarabunPSK" w:hAnsi="TH SarabunPSK" w:eastAsia="TH SarabunPSK" w:cs="TH SarabunPSK"/>
                <w:b w:val="0"/>
                <w:i w:val="0"/>
                <w:color w:val="212529"/>
                <w:sz w:val="28"/>
              </w:rPr>
              <w:t>46</w:t>
            </w:r>
          </w:p>
        </w:tc>
      </w:tr>
      <w:tr>
        <w:tc>
          <w:tcPr>
            <w:tcW w:type="dxa" w:w="4154"/>
          </w:tcPr>
          <w:p>
            <w:pPr>
              <w:spacing w:after="40"/>
            </w:pPr>
            <w:r>
              <w:rPr>
                <w:rFonts w:ascii="TH SarabunPSK" w:hAnsi="TH SarabunPSK" w:eastAsia="TH SarabunPSK" w:cs="TH SarabunPSK"/>
                <w:b w:val="0"/>
                <w:i w:val="0"/>
                <w:color w:val="212529"/>
                <w:sz w:val="28"/>
              </w:rPr>
              <w:t xml:space="preserve">    3.13 Interactive Sequence Workflows</w:t>
            </w:r>
          </w:p>
        </w:tc>
        <w:tc>
          <w:tcPr>
            <w:tcW w:type="dxa" w:w="4154"/>
          </w:tcPr>
          <w:p>
            <w:pPr>
              <w:spacing w:after="40"/>
              <w:jc w:val="right"/>
            </w:pPr>
            <w:r>
              <w:rPr>
                <w:rFonts w:ascii="TH SarabunPSK" w:hAnsi="TH SarabunPSK" w:eastAsia="TH SarabunPSK" w:cs="TH SarabunPSK"/>
                <w:b w:val="0"/>
                <w:i w:val="0"/>
                <w:color w:val="212529"/>
                <w:sz w:val="28"/>
              </w:rPr>
              <w:t>49</w:t>
            </w:r>
          </w:p>
        </w:tc>
      </w:tr>
      <w:tr>
        <w:tc>
          <w:tcPr>
            <w:tcW w:type="dxa" w:w="4154"/>
          </w:tcPr>
          <w:p>
            <w:pPr>
              <w:spacing w:after="40"/>
            </w:pPr>
            <w:r>
              <w:rPr>
                <w:rFonts w:ascii="TH SarabunPSK" w:hAnsi="TH SarabunPSK" w:eastAsia="TH SarabunPSK" w:cs="TH SarabunPSK"/>
                <w:b w:val="0"/>
                <w:i w:val="0"/>
                <w:color w:val="212529"/>
                <w:sz w:val="28"/>
              </w:rPr>
              <w:t xml:space="preserve">    3.14 Error Handling, Idempotency, and Failure Containment</w:t>
            </w:r>
          </w:p>
        </w:tc>
        <w:tc>
          <w:tcPr>
            <w:tcW w:type="dxa" w:w="4154"/>
          </w:tcPr>
          <w:p>
            <w:pPr>
              <w:spacing w:after="40"/>
              <w:jc w:val="right"/>
            </w:pPr>
            <w:r>
              <w:rPr>
                <w:rFonts w:ascii="TH SarabunPSK" w:hAnsi="TH SarabunPSK" w:eastAsia="TH SarabunPSK" w:cs="TH SarabunPSK"/>
                <w:b w:val="0"/>
                <w:i w:val="0"/>
                <w:color w:val="212529"/>
                <w:sz w:val="28"/>
              </w:rPr>
              <w:t>51</w:t>
            </w:r>
          </w:p>
        </w:tc>
      </w:tr>
      <w:tr>
        <w:tc>
          <w:tcPr>
            <w:tcW w:type="dxa" w:w="4154"/>
          </w:tcPr>
          <w:p>
            <w:pPr>
              <w:spacing w:after="40"/>
            </w:pPr>
            <w:r>
              <w:rPr>
                <w:rFonts w:ascii="TH SarabunPSK" w:hAnsi="TH SarabunPSK" w:eastAsia="TH SarabunPSK" w:cs="TH SarabunPSK"/>
                <w:b/>
                <w:i w:val="0"/>
                <w:color w:val="212529"/>
                <w:sz w:val="28"/>
              </w:rPr>
              <w:t>Chapter 4  System Development</w:t>
            </w:r>
          </w:p>
        </w:tc>
        <w:tc>
          <w:tcPr>
            <w:tcW w:type="dxa" w:w="4154"/>
          </w:tcPr>
          <w:p>
            <w:pPr>
              <w:spacing w:after="40"/>
              <w:jc w:val="right"/>
            </w:pPr>
            <w:r>
              <w:rPr>
                <w:rFonts w:ascii="TH SarabunPSK" w:hAnsi="TH SarabunPSK" w:eastAsia="TH SarabunPSK" w:cs="TH SarabunPSK"/>
                <w:b/>
                <w:i w:val="0"/>
                <w:color w:val="212529"/>
                <w:sz w:val="28"/>
              </w:rPr>
              <w:t>54</w:t>
            </w:r>
          </w:p>
        </w:tc>
      </w:tr>
      <w:tr>
        <w:tc>
          <w:tcPr>
            <w:tcW w:type="dxa" w:w="4154"/>
          </w:tcPr>
          <w:p>
            <w:pPr>
              <w:spacing w:after="40"/>
            </w:pPr>
            <w:r>
              <w:rPr>
                <w:rFonts w:ascii="TH SarabunPSK" w:hAnsi="TH SarabunPSK" w:eastAsia="TH SarabunPSK" w:cs="TH SarabunPSK"/>
                <w:b w:val="0"/>
                <w:i w:val="0"/>
                <w:color w:val="212529"/>
                <w:sz w:val="28"/>
              </w:rPr>
              <w:t xml:space="preserve">    4.1 Development Environment and Technology Stack</w:t>
            </w:r>
          </w:p>
        </w:tc>
        <w:tc>
          <w:tcPr>
            <w:tcW w:type="dxa" w:w="4154"/>
          </w:tcPr>
          <w:p>
            <w:pPr>
              <w:spacing w:after="40"/>
              <w:jc w:val="right"/>
            </w:pPr>
            <w:r>
              <w:rPr>
                <w:rFonts w:ascii="TH SarabunPSK" w:hAnsi="TH SarabunPSK" w:eastAsia="TH SarabunPSK" w:cs="TH SarabunPSK"/>
                <w:b w:val="0"/>
                <w:i w:val="0"/>
                <w:color w:val="212529"/>
                <w:sz w:val="28"/>
              </w:rPr>
              <w:t>54</w:t>
            </w:r>
          </w:p>
        </w:tc>
      </w:tr>
      <w:tr>
        <w:tc>
          <w:tcPr>
            <w:tcW w:type="dxa" w:w="4154"/>
          </w:tcPr>
          <w:p>
            <w:pPr>
              <w:spacing w:after="40"/>
            </w:pPr>
            <w:r>
              <w:rPr>
                <w:rFonts w:ascii="TH SarabunPSK" w:hAnsi="TH SarabunPSK" w:eastAsia="TH SarabunPSK" w:cs="TH SarabunPSK"/>
                <w:b w:val="0"/>
                <w:i w:val="0"/>
                <w:color w:val="212529"/>
                <w:sz w:val="28"/>
              </w:rPr>
              <w:t xml:space="preserve">    4.2 Backend Implementation and Architectural Structure</w:t>
            </w:r>
          </w:p>
        </w:tc>
        <w:tc>
          <w:tcPr>
            <w:tcW w:type="dxa" w:w="4154"/>
          </w:tcPr>
          <w:p>
            <w:pPr>
              <w:spacing w:after="40"/>
              <w:jc w:val="right"/>
            </w:pPr>
            <w:r>
              <w:rPr>
                <w:rFonts w:ascii="TH SarabunPSK" w:hAnsi="TH SarabunPSK" w:eastAsia="TH SarabunPSK" w:cs="TH SarabunPSK"/>
                <w:b w:val="0"/>
                <w:i w:val="0"/>
                <w:color w:val="212529"/>
                <w:sz w:val="28"/>
              </w:rPr>
              <w:t>56</w:t>
            </w:r>
          </w:p>
        </w:tc>
      </w:tr>
      <w:tr>
        <w:tc>
          <w:tcPr>
            <w:tcW w:type="dxa" w:w="4154"/>
          </w:tcPr>
          <w:p>
            <w:pPr>
              <w:spacing w:after="40"/>
            </w:pPr>
            <w:r>
              <w:rPr>
                <w:rFonts w:ascii="TH SarabunPSK" w:hAnsi="TH SarabunPSK" w:eastAsia="TH SarabunPSK" w:cs="TH SarabunPSK"/>
                <w:b w:val="0"/>
                <w:i w:val="0"/>
                <w:color w:val="212529"/>
                <w:sz w:val="28"/>
              </w:rPr>
              <w:t xml:space="preserve">    4.3 Frontend Implementation and UI Components</w:t>
            </w:r>
          </w:p>
        </w:tc>
        <w:tc>
          <w:tcPr>
            <w:tcW w:type="dxa" w:w="4154"/>
          </w:tcPr>
          <w:p>
            <w:pPr>
              <w:spacing w:after="40"/>
              <w:jc w:val="right"/>
            </w:pPr>
            <w:r>
              <w:rPr>
                <w:rFonts w:ascii="TH SarabunPSK" w:hAnsi="TH SarabunPSK" w:eastAsia="TH SarabunPSK" w:cs="TH SarabunPSK"/>
                <w:b w:val="0"/>
                <w:i w:val="0"/>
                <w:color w:val="212529"/>
                <w:sz w:val="28"/>
              </w:rPr>
              <w:t>59</w:t>
            </w:r>
          </w:p>
        </w:tc>
      </w:tr>
      <w:tr>
        <w:tc>
          <w:tcPr>
            <w:tcW w:type="dxa" w:w="4154"/>
          </w:tcPr>
          <w:p>
            <w:pPr>
              <w:spacing w:after="40"/>
            </w:pPr>
            <w:r>
              <w:rPr>
                <w:rFonts w:ascii="TH SarabunPSK" w:hAnsi="TH SarabunPSK" w:eastAsia="TH SarabunPSK" w:cs="TH SarabunPSK"/>
                <w:b w:val="0"/>
                <w:i w:val="0"/>
                <w:color w:val="212529"/>
                <w:sz w:val="28"/>
              </w:rPr>
              <w:t xml:space="preserve">    4.4 Case Intake and Document Processing Engine</w:t>
            </w:r>
          </w:p>
        </w:tc>
        <w:tc>
          <w:tcPr>
            <w:tcW w:type="dxa" w:w="4154"/>
          </w:tcPr>
          <w:p>
            <w:pPr>
              <w:spacing w:after="40"/>
              <w:jc w:val="right"/>
            </w:pPr>
            <w:r>
              <w:rPr>
                <w:rFonts w:ascii="TH SarabunPSK" w:hAnsi="TH SarabunPSK" w:eastAsia="TH SarabunPSK" w:cs="TH SarabunPSK"/>
                <w:b w:val="0"/>
                <w:i w:val="0"/>
                <w:color w:val="212529"/>
                <w:sz w:val="28"/>
              </w:rPr>
              <w:t>62</w:t>
            </w:r>
          </w:p>
        </w:tc>
      </w:tr>
      <w:tr>
        <w:tc>
          <w:tcPr>
            <w:tcW w:type="dxa" w:w="4154"/>
          </w:tcPr>
          <w:p>
            <w:pPr>
              <w:spacing w:after="40"/>
            </w:pPr>
            <w:r>
              <w:rPr>
                <w:rFonts w:ascii="TH SarabunPSK" w:hAnsi="TH SarabunPSK" w:eastAsia="TH SarabunPSK" w:cs="TH SarabunPSK"/>
                <w:b w:val="0"/>
                <w:i w:val="0"/>
                <w:color w:val="212529"/>
                <w:sz w:val="28"/>
              </w:rPr>
              <w:t xml:space="preserve">    4.5 Main Case Analysis Pipeline and Prompt Architecture</w:t>
            </w:r>
          </w:p>
        </w:tc>
        <w:tc>
          <w:tcPr>
            <w:tcW w:type="dxa" w:w="4154"/>
          </w:tcPr>
          <w:p>
            <w:pPr>
              <w:spacing w:after="40"/>
              <w:jc w:val="right"/>
            </w:pPr>
            <w:r>
              <w:rPr>
                <w:rFonts w:ascii="TH SarabunPSK" w:hAnsi="TH SarabunPSK" w:eastAsia="TH SarabunPSK" w:cs="TH SarabunPSK"/>
                <w:b w:val="0"/>
                <w:i w:val="0"/>
                <w:color w:val="212529"/>
                <w:sz w:val="28"/>
              </w:rPr>
              <w:t>64</w:t>
            </w:r>
          </w:p>
        </w:tc>
      </w:tr>
      <w:tr>
        <w:tc>
          <w:tcPr>
            <w:tcW w:type="dxa" w:w="4154"/>
          </w:tcPr>
          <w:p>
            <w:pPr>
              <w:spacing w:after="40"/>
            </w:pPr>
            <w:r>
              <w:rPr>
                <w:rFonts w:ascii="TH SarabunPSK" w:hAnsi="TH SarabunPSK" w:eastAsia="TH SarabunPSK" w:cs="TH SarabunPSK"/>
                <w:b w:val="0"/>
                <w:i w:val="0"/>
                <w:color w:val="212529"/>
                <w:sz w:val="28"/>
              </w:rPr>
              <w:t xml:space="preserve">    4.6 AnalysisTrace v3 and Epistemic Provenance Engine</w:t>
            </w:r>
          </w:p>
        </w:tc>
        <w:tc>
          <w:tcPr>
            <w:tcW w:type="dxa" w:w="4154"/>
          </w:tcPr>
          <w:p>
            <w:pPr>
              <w:spacing w:after="40"/>
              <w:jc w:val="right"/>
            </w:pPr>
            <w:r>
              <w:rPr>
                <w:rFonts w:ascii="TH SarabunPSK" w:hAnsi="TH SarabunPSK" w:eastAsia="TH SarabunPSK" w:cs="TH SarabunPSK"/>
                <w:b w:val="0"/>
                <w:i w:val="0"/>
                <w:color w:val="212529"/>
                <w:sz w:val="28"/>
              </w:rPr>
              <w:t>67</w:t>
            </w:r>
          </w:p>
        </w:tc>
      </w:tr>
      <w:tr>
        <w:tc>
          <w:tcPr>
            <w:tcW w:type="dxa" w:w="4154"/>
          </w:tcPr>
          <w:p>
            <w:pPr>
              <w:spacing w:after="40"/>
            </w:pPr>
            <w:r>
              <w:rPr>
                <w:rFonts w:ascii="TH SarabunPSK" w:hAnsi="TH SarabunPSK" w:eastAsia="TH SarabunPSK" w:cs="TH SarabunPSK"/>
                <w:b w:val="0"/>
                <w:i w:val="0"/>
                <w:color w:val="212529"/>
                <w:sz w:val="28"/>
              </w:rPr>
              <w:t xml:space="preserve">    4.7 Multi-Stage Gap Analysis and Follow-Up Policy</w:t>
            </w:r>
          </w:p>
        </w:tc>
        <w:tc>
          <w:tcPr>
            <w:tcW w:type="dxa" w:w="4154"/>
          </w:tcPr>
          <w:p>
            <w:pPr>
              <w:spacing w:after="40"/>
              <w:jc w:val="right"/>
            </w:pPr>
            <w:r>
              <w:rPr>
                <w:rFonts w:ascii="TH SarabunPSK" w:hAnsi="TH SarabunPSK" w:eastAsia="TH SarabunPSK" w:cs="TH SarabunPSK"/>
                <w:b w:val="0"/>
                <w:i w:val="0"/>
                <w:color w:val="212529"/>
                <w:sz w:val="28"/>
              </w:rPr>
              <w:t>70</w:t>
            </w:r>
          </w:p>
        </w:tc>
      </w:tr>
      <w:tr>
        <w:tc>
          <w:tcPr>
            <w:tcW w:type="dxa" w:w="4154"/>
          </w:tcPr>
          <w:p>
            <w:pPr>
              <w:spacing w:after="40"/>
            </w:pPr>
            <w:r>
              <w:rPr>
                <w:rFonts w:ascii="TH SarabunPSK" w:hAnsi="TH SarabunPSK" w:eastAsia="TH SarabunPSK" w:cs="TH SarabunPSK"/>
                <w:b w:val="0"/>
                <w:i w:val="0"/>
                <w:color w:val="212529"/>
                <w:sz w:val="28"/>
              </w:rPr>
              <w:t xml:space="preserve">    4.8 External RAG Microservice Client Integration</w:t>
            </w:r>
          </w:p>
        </w:tc>
        <w:tc>
          <w:tcPr>
            <w:tcW w:type="dxa" w:w="4154"/>
          </w:tcPr>
          <w:p>
            <w:pPr>
              <w:spacing w:after="40"/>
              <w:jc w:val="right"/>
            </w:pPr>
            <w:r>
              <w:rPr>
                <w:rFonts w:ascii="TH SarabunPSK" w:hAnsi="TH SarabunPSK" w:eastAsia="TH SarabunPSK" w:cs="TH SarabunPSK"/>
                <w:b w:val="0"/>
                <w:i w:val="0"/>
                <w:color w:val="212529"/>
                <w:sz w:val="28"/>
              </w:rPr>
              <w:t>73</w:t>
            </w:r>
          </w:p>
        </w:tc>
      </w:tr>
      <w:tr>
        <w:tc>
          <w:tcPr>
            <w:tcW w:type="dxa" w:w="4154"/>
          </w:tcPr>
          <w:p>
            <w:pPr>
              <w:spacing w:after="40"/>
            </w:pPr>
            <w:r>
              <w:rPr>
                <w:rFonts w:ascii="TH SarabunPSK" w:hAnsi="TH SarabunPSK" w:eastAsia="TH SarabunPSK" w:cs="TH SarabunPSK"/>
                <w:b w:val="0"/>
                <w:i w:val="0"/>
                <w:color w:val="212529"/>
                <w:sz w:val="28"/>
              </w:rPr>
              <w:t xml:space="preserve">    4.9 Deterministic 7-Part Forensic Report Generation Engine</w:t>
            </w:r>
          </w:p>
        </w:tc>
        <w:tc>
          <w:tcPr>
            <w:tcW w:type="dxa" w:w="4154"/>
          </w:tcPr>
          <w:p>
            <w:pPr>
              <w:spacing w:after="40"/>
              <w:jc w:val="right"/>
            </w:pPr>
            <w:r>
              <w:rPr>
                <w:rFonts w:ascii="TH SarabunPSK" w:hAnsi="TH SarabunPSK" w:eastAsia="TH SarabunPSK" w:cs="TH SarabunPSK"/>
                <w:b w:val="0"/>
                <w:i w:val="0"/>
                <w:color w:val="212529"/>
                <w:sz w:val="28"/>
              </w:rPr>
              <w:t>76</w:t>
            </w:r>
          </w:p>
        </w:tc>
      </w:tr>
      <w:tr>
        <w:tc>
          <w:tcPr>
            <w:tcW w:type="dxa" w:w="4154"/>
          </w:tcPr>
          <w:p>
            <w:pPr>
              <w:spacing w:after="40"/>
            </w:pPr>
            <w:r>
              <w:rPr>
                <w:rFonts w:ascii="TH SarabunPSK" w:hAnsi="TH SarabunPSK" w:eastAsia="TH SarabunPSK" w:cs="TH SarabunPSK"/>
                <w:b w:val="0"/>
                <w:i w:val="0"/>
                <w:color w:val="212529"/>
                <w:sz w:val="28"/>
              </w:rPr>
              <w:t xml:space="preserve">    4.10 Error Handling, Retries, and Idempotent Execution</w:t>
            </w:r>
          </w:p>
        </w:tc>
        <w:tc>
          <w:tcPr>
            <w:tcW w:type="dxa" w:w="4154"/>
          </w:tcPr>
          <w:p>
            <w:pPr>
              <w:spacing w:after="40"/>
              <w:jc w:val="right"/>
            </w:pPr>
            <w:r>
              <w:rPr>
                <w:rFonts w:ascii="TH SarabunPSK" w:hAnsi="TH SarabunPSK" w:eastAsia="TH SarabunPSK" w:cs="TH SarabunPSK"/>
                <w:b w:val="0"/>
                <w:i w:val="0"/>
                <w:color w:val="212529"/>
                <w:sz w:val="28"/>
              </w:rPr>
              <w:t>78</w:t>
            </w:r>
          </w:p>
        </w:tc>
      </w:tr>
      <w:tr>
        <w:tc>
          <w:tcPr>
            <w:tcW w:type="dxa" w:w="4154"/>
          </w:tcPr>
          <w:p>
            <w:pPr>
              <w:spacing w:after="40"/>
            </w:pPr>
            <w:r>
              <w:rPr>
                <w:rFonts w:ascii="TH SarabunPSK" w:hAnsi="TH SarabunPSK" w:eastAsia="TH SarabunPSK" w:cs="TH SarabunPSK"/>
                <w:b w:val="0"/>
                <w:i w:val="0"/>
                <w:color w:val="212529"/>
                <w:sz w:val="28"/>
              </w:rPr>
              <w:t xml:space="preserve">    4.11 Automated Testing and System Verification</w:t>
            </w:r>
          </w:p>
        </w:tc>
        <w:tc>
          <w:tcPr>
            <w:tcW w:type="dxa" w:w="4154"/>
          </w:tcPr>
          <w:p>
            <w:pPr>
              <w:spacing w:after="40"/>
              <w:jc w:val="right"/>
            </w:pPr>
            <w:r>
              <w:rPr>
                <w:rFonts w:ascii="TH SarabunPSK" w:hAnsi="TH SarabunPSK" w:eastAsia="TH SarabunPSK" w:cs="TH SarabunPSK"/>
                <w:b w:val="0"/>
                <w:i w:val="0"/>
                <w:color w:val="212529"/>
                <w:sz w:val="28"/>
              </w:rPr>
              <w:t>81</w:t>
            </w:r>
          </w:p>
        </w:tc>
      </w:tr>
      <w:tr>
        <w:tc>
          <w:tcPr>
            <w:tcW w:type="dxa" w:w="4154"/>
          </w:tcPr>
          <w:p>
            <w:pPr>
              <w:spacing w:after="40"/>
            </w:pPr>
            <w:r>
              <w:rPr>
                <w:rFonts w:ascii="TH SarabunPSK" w:hAnsi="TH SarabunPSK" w:eastAsia="TH SarabunPSK" w:cs="TH SarabunPSK"/>
                <w:b w:val="0"/>
                <w:i w:val="0"/>
                <w:color w:val="212529"/>
                <w:sz w:val="28"/>
              </w:rPr>
              <w:t xml:space="preserve">    4.12 Development Summary</w:t>
            </w:r>
          </w:p>
        </w:tc>
        <w:tc>
          <w:tcPr>
            <w:tcW w:type="dxa" w:w="4154"/>
          </w:tcPr>
          <w:p>
            <w:pPr>
              <w:spacing w:after="40"/>
              <w:jc w:val="right"/>
            </w:pPr>
            <w:r>
              <w:rPr>
                <w:rFonts w:ascii="TH SarabunPSK" w:hAnsi="TH SarabunPSK" w:eastAsia="TH SarabunPSK" w:cs="TH SarabunPSK"/>
                <w:b w:val="0"/>
                <w:i w:val="0"/>
                <w:color w:val="212529"/>
                <w:sz w:val="28"/>
              </w:rPr>
              <w:t>83</w:t>
            </w:r>
          </w:p>
        </w:tc>
      </w:tr>
      <w:tr>
        <w:tc>
          <w:tcPr>
            <w:tcW w:type="dxa" w:w="4154"/>
          </w:tcPr>
          <w:p>
            <w:pPr>
              <w:spacing w:after="40"/>
            </w:pPr>
            <w:r>
              <w:rPr>
                <w:rFonts w:ascii="TH SarabunPSK" w:hAnsi="TH SarabunPSK" w:eastAsia="TH SarabunPSK" w:cs="TH SarabunPSK"/>
                <w:b/>
                <w:i w:val="0"/>
                <w:color w:val="212529"/>
                <w:sz w:val="28"/>
              </w:rPr>
              <w:t>Chapter 5  Experiment and Results</w:t>
            </w:r>
          </w:p>
        </w:tc>
        <w:tc>
          <w:tcPr>
            <w:tcW w:type="dxa" w:w="4154"/>
          </w:tcPr>
          <w:p>
            <w:pPr>
              <w:spacing w:after="40"/>
              <w:jc w:val="right"/>
            </w:pPr>
            <w:r>
              <w:rPr>
                <w:rFonts w:ascii="TH SarabunPSK" w:hAnsi="TH SarabunPSK" w:eastAsia="TH SarabunPSK" w:cs="TH SarabunPSK"/>
                <w:b/>
                <w:i w:val="0"/>
                <w:color w:val="212529"/>
                <w:sz w:val="28"/>
              </w:rPr>
              <w:t>85</w:t>
            </w:r>
          </w:p>
        </w:tc>
      </w:tr>
      <w:tr>
        <w:tc>
          <w:tcPr>
            <w:tcW w:type="dxa" w:w="4154"/>
          </w:tcPr>
          <w:p>
            <w:pPr>
              <w:spacing w:after="40"/>
            </w:pPr>
            <w:r>
              <w:rPr>
                <w:rFonts w:ascii="TH SarabunPSK" w:hAnsi="TH SarabunPSK" w:eastAsia="TH SarabunPSK" w:cs="TH SarabunPSK"/>
                <w:b w:val="0"/>
                <w:i w:val="0"/>
                <w:color w:val="212529"/>
                <w:sz w:val="28"/>
              </w:rPr>
              <w:t xml:space="preserve">    5.1 System Implementation and Operational Status</w:t>
            </w:r>
          </w:p>
        </w:tc>
        <w:tc>
          <w:tcPr>
            <w:tcW w:type="dxa" w:w="4154"/>
          </w:tcPr>
          <w:p>
            <w:pPr>
              <w:spacing w:after="40"/>
              <w:jc w:val="right"/>
            </w:pPr>
            <w:r>
              <w:rPr>
                <w:rFonts w:ascii="TH SarabunPSK" w:hAnsi="TH SarabunPSK" w:eastAsia="TH SarabunPSK" w:cs="TH SarabunPSK"/>
                <w:b w:val="0"/>
                <w:i w:val="0"/>
                <w:color w:val="212529"/>
                <w:sz w:val="28"/>
              </w:rPr>
              <w:t>85</w:t>
            </w:r>
          </w:p>
        </w:tc>
      </w:tr>
      <w:tr>
        <w:tc>
          <w:tcPr>
            <w:tcW w:type="dxa" w:w="4154"/>
          </w:tcPr>
          <w:p>
            <w:pPr>
              <w:spacing w:after="40"/>
            </w:pPr>
            <w:r>
              <w:rPr>
                <w:rFonts w:ascii="TH SarabunPSK" w:hAnsi="TH SarabunPSK" w:eastAsia="TH SarabunPSK" w:cs="TH SarabunPSK"/>
                <w:b w:val="0"/>
                <w:i w:val="0"/>
                <w:color w:val="212529"/>
                <w:sz w:val="28"/>
              </w:rPr>
              <w:t xml:space="preserve">    5.2 User Interface and Operational Screen Walkthrough</w:t>
            </w:r>
          </w:p>
        </w:tc>
        <w:tc>
          <w:tcPr>
            <w:tcW w:type="dxa" w:w="4154"/>
          </w:tcPr>
          <w:p>
            <w:pPr>
              <w:spacing w:after="40"/>
              <w:jc w:val="right"/>
            </w:pPr>
            <w:r>
              <w:rPr>
                <w:rFonts w:ascii="TH SarabunPSK" w:hAnsi="TH SarabunPSK" w:eastAsia="TH SarabunPSK" w:cs="TH SarabunPSK"/>
                <w:b w:val="0"/>
                <w:i w:val="0"/>
                <w:color w:val="212529"/>
                <w:sz w:val="28"/>
              </w:rPr>
              <w:t>87</w:t>
            </w:r>
          </w:p>
        </w:tc>
      </w:tr>
      <w:tr>
        <w:tc>
          <w:tcPr>
            <w:tcW w:type="dxa" w:w="4154"/>
          </w:tcPr>
          <w:p>
            <w:pPr>
              <w:spacing w:after="40"/>
            </w:pPr>
            <w:r>
              <w:rPr>
                <w:rFonts w:ascii="TH SarabunPSK" w:hAnsi="TH SarabunPSK" w:eastAsia="TH SarabunPSK" w:cs="TH SarabunPSK"/>
                <w:b w:val="0"/>
                <w:i w:val="0"/>
                <w:color w:val="212529"/>
                <w:sz w:val="28"/>
              </w:rPr>
              <w:t xml:space="preserve">    5.3 End-to-End Incident Investigation Walkthrough</w:t>
            </w:r>
          </w:p>
        </w:tc>
        <w:tc>
          <w:tcPr>
            <w:tcW w:type="dxa" w:w="4154"/>
          </w:tcPr>
          <w:p>
            <w:pPr>
              <w:spacing w:after="40"/>
              <w:jc w:val="right"/>
            </w:pPr>
            <w:r>
              <w:rPr>
                <w:rFonts w:ascii="TH SarabunPSK" w:hAnsi="TH SarabunPSK" w:eastAsia="TH SarabunPSK" w:cs="TH SarabunPSK"/>
                <w:b w:val="0"/>
                <w:i w:val="0"/>
                <w:color w:val="212529"/>
                <w:sz w:val="28"/>
              </w:rPr>
              <w:t>92</w:t>
            </w:r>
          </w:p>
        </w:tc>
      </w:tr>
      <w:tr>
        <w:tc>
          <w:tcPr>
            <w:tcW w:type="dxa" w:w="4154"/>
          </w:tcPr>
          <w:p>
            <w:pPr>
              <w:spacing w:after="40"/>
            </w:pPr>
            <w:r>
              <w:rPr>
                <w:rFonts w:ascii="TH SarabunPSK" w:hAnsi="TH SarabunPSK" w:eastAsia="TH SarabunPSK" w:cs="TH SarabunPSK"/>
                <w:b w:val="0"/>
                <w:i w:val="0"/>
                <w:color w:val="212529"/>
                <w:sz w:val="28"/>
              </w:rPr>
              <w:t xml:space="preserve">    5.4 System Verification and Automated Testing Results</w:t>
            </w:r>
          </w:p>
        </w:tc>
        <w:tc>
          <w:tcPr>
            <w:tcW w:type="dxa" w:w="4154"/>
          </w:tcPr>
          <w:p>
            <w:pPr>
              <w:spacing w:after="40"/>
              <w:jc w:val="right"/>
            </w:pPr>
            <w:r>
              <w:rPr>
                <w:rFonts w:ascii="TH SarabunPSK" w:hAnsi="TH SarabunPSK" w:eastAsia="TH SarabunPSK" w:cs="TH SarabunPSK"/>
                <w:b w:val="0"/>
                <w:i w:val="0"/>
                <w:color w:val="212529"/>
                <w:sz w:val="28"/>
              </w:rPr>
              <w:t>96</w:t>
            </w:r>
          </w:p>
        </w:tc>
      </w:tr>
      <w:tr>
        <w:tc>
          <w:tcPr>
            <w:tcW w:type="dxa" w:w="4154"/>
          </w:tcPr>
          <w:p>
            <w:pPr>
              <w:spacing w:after="40"/>
            </w:pPr>
            <w:r>
              <w:rPr>
                <w:rFonts w:ascii="TH SarabunPSK" w:hAnsi="TH SarabunPSK" w:eastAsia="TH SarabunPSK" w:cs="TH SarabunPSK"/>
                <w:b w:val="0"/>
                <w:i w:val="0"/>
                <w:color w:val="212529"/>
                <w:sz w:val="28"/>
              </w:rPr>
              <w:t xml:space="preserve">    5.5 Empirical Experiments and Evaluation Benchmarks</w:t>
            </w:r>
          </w:p>
        </w:tc>
        <w:tc>
          <w:tcPr>
            <w:tcW w:type="dxa" w:w="4154"/>
          </w:tcPr>
          <w:p>
            <w:pPr>
              <w:spacing w:after="40"/>
              <w:jc w:val="right"/>
            </w:pPr>
            <w:r>
              <w:rPr>
                <w:rFonts w:ascii="TH SarabunPSK" w:hAnsi="TH SarabunPSK" w:eastAsia="TH SarabunPSK" w:cs="TH SarabunPSK"/>
                <w:b w:val="0"/>
                <w:i w:val="0"/>
                <w:color w:val="212529"/>
                <w:sz w:val="28"/>
              </w:rPr>
              <w:t>98</w:t>
            </w:r>
          </w:p>
        </w:tc>
      </w:tr>
      <w:tr>
        <w:tc>
          <w:tcPr>
            <w:tcW w:type="dxa" w:w="4154"/>
          </w:tcPr>
          <w:p>
            <w:pPr>
              <w:spacing w:after="40"/>
            </w:pPr>
            <w:r>
              <w:rPr>
                <w:rFonts w:ascii="TH SarabunPSK" w:hAnsi="TH SarabunPSK" w:eastAsia="TH SarabunPSK" w:cs="TH SarabunPSK"/>
                <w:b w:val="0"/>
                <w:i w:val="0"/>
                <w:color w:val="212529"/>
                <w:sz w:val="28"/>
              </w:rPr>
              <w:t xml:space="preserve">        5.5.1 Intermediate Representation Evaluation (B0, B1, B2)</w:t>
            </w:r>
          </w:p>
        </w:tc>
        <w:tc>
          <w:tcPr>
            <w:tcW w:type="dxa" w:w="4154"/>
          </w:tcPr>
          <w:p>
            <w:pPr>
              <w:spacing w:after="40"/>
              <w:jc w:val="right"/>
            </w:pPr>
            <w:r>
              <w:rPr>
                <w:rFonts w:ascii="TH SarabunPSK" w:hAnsi="TH SarabunPSK" w:eastAsia="TH SarabunPSK" w:cs="TH SarabunPSK"/>
                <w:b w:val="0"/>
                <w:i w:val="0"/>
                <w:color w:val="212529"/>
                <w:sz w:val="28"/>
              </w:rPr>
              <w:t>98</w:t>
            </w:r>
          </w:p>
        </w:tc>
      </w:tr>
      <w:tr>
        <w:tc>
          <w:tcPr>
            <w:tcW w:type="dxa" w:w="4154"/>
          </w:tcPr>
          <w:p>
            <w:pPr>
              <w:spacing w:after="40"/>
            </w:pPr>
            <w:r>
              <w:rPr>
                <w:rFonts w:ascii="TH SarabunPSK" w:hAnsi="TH SarabunPSK" w:eastAsia="TH SarabunPSK" w:cs="TH SarabunPSK"/>
                <w:b w:val="0"/>
                <w:i w:val="0"/>
                <w:color w:val="212529"/>
                <w:sz w:val="28"/>
              </w:rPr>
              <w:t xml:space="preserve">        5.5.2 Context Refinement and Span Protection Benchmark</w:t>
            </w:r>
          </w:p>
        </w:tc>
        <w:tc>
          <w:tcPr>
            <w:tcW w:type="dxa" w:w="4154"/>
          </w:tcPr>
          <w:p>
            <w:pPr>
              <w:spacing w:after="40"/>
              <w:jc w:val="right"/>
            </w:pPr>
            <w:r>
              <w:rPr>
                <w:rFonts w:ascii="TH SarabunPSK" w:hAnsi="TH SarabunPSK" w:eastAsia="TH SarabunPSK" w:cs="TH SarabunPSK"/>
                <w:b w:val="0"/>
                <w:i w:val="0"/>
                <w:color w:val="212529"/>
                <w:sz w:val="28"/>
              </w:rPr>
              <w:t>101</w:t>
            </w:r>
          </w:p>
        </w:tc>
      </w:tr>
      <w:tr>
        <w:tc>
          <w:tcPr>
            <w:tcW w:type="dxa" w:w="4154"/>
          </w:tcPr>
          <w:p>
            <w:pPr>
              <w:spacing w:after="40"/>
            </w:pPr>
            <w:r>
              <w:rPr>
                <w:rFonts w:ascii="TH SarabunPSK" w:hAnsi="TH SarabunPSK" w:eastAsia="TH SarabunPSK" w:cs="TH SarabunPSK"/>
                <w:b w:val="0"/>
                <w:i w:val="0"/>
                <w:color w:val="212529"/>
                <w:sz w:val="28"/>
              </w:rPr>
              <w:t xml:space="preserve">        5.5.3 Offline Semantic Verification Dataset Validation</w:t>
            </w:r>
          </w:p>
        </w:tc>
        <w:tc>
          <w:tcPr>
            <w:tcW w:type="dxa" w:w="4154"/>
          </w:tcPr>
          <w:p>
            <w:pPr>
              <w:spacing w:after="40"/>
              <w:jc w:val="right"/>
            </w:pPr>
            <w:r>
              <w:rPr>
                <w:rFonts w:ascii="TH SarabunPSK" w:hAnsi="TH SarabunPSK" w:eastAsia="TH SarabunPSK" w:cs="TH SarabunPSK"/>
                <w:b w:val="0"/>
                <w:i w:val="0"/>
                <w:color w:val="212529"/>
                <w:sz w:val="28"/>
              </w:rPr>
              <w:t>103</w:t>
            </w:r>
          </w:p>
        </w:tc>
      </w:tr>
      <w:tr>
        <w:tc>
          <w:tcPr>
            <w:tcW w:type="dxa" w:w="4154"/>
          </w:tcPr>
          <w:p>
            <w:pPr>
              <w:spacing w:after="40"/>
            </w:pPr>
            <w:r>
              <w:rPr>
                <w:rFonts w:ascii="TH SarabunPSK" w:hAnsi="TH SarabunPSK" w:eastAsia="TH SarabunPSK" w:cs="TH SarabunPSK"/>
                <w:b w:val="0"/>
                <w:i w:val="0"/>
                <w:color w:val="212529"/>
                <w:sz w:val="28"/>
              </w:rPr>
              <w:t xml:space="preserve">        5.5.4 Human Usability and Operational Workflow Evaluation</w:t>
            </w:r>
          </w:p>
        </w:tc>
        <w:tc>
          <w:tcPr>
            <w:tcW w:type="dxa" w:w="4154"/>
          </w:tcPr>
          <w:p>
            <w:pPr>
              <w:spacing w:after="40"/>
              <w:jc w:val="right"/>
            </w:pPr>
            <w:r>
              <w:rPr>
                <w:rFonts w:ascii="TH SarabunPSK" w:hAnsi="TH SarabunPSK" w:eastAsia="TH SarabunPSK" w:cs="TH SarabunPSK"/>
                <w:b w:val="0"/>
                <w:i w:val="0"/>
                <w:color w:val="212529"/>
                <w:sz w:val="28"/>
              </w:rPr>
              <w:t>105</w:t>
            </w:r>
          </w:p>
        </w:tc>
      </w:tr>
      <w:tr>
        <w:tc>
          <w:tcPr>
            <w:tcW w:type="dxa" w:w="4154"/>
          </w:tcPr>
          <w:p>
            <w:pPr>
              <w:spacing w:after="40"/>
            </w:pPr>
            <w:r>
              <w:rPr>
                <w:rFonts w:ascii="TH SarabunPSK" w:hAnsi="TH SarabunPSK" w:eastAsia="TH SarabunPSK" w:cs="TH SarabunPSK"/>
                <w:b w:val="0"/>
                <w:i w:val="0"/>
                <w:color w:val="212529"/>
                <w:sz w:val="28"/>
              </w:rPr>
              <w:t xml:space="preserve">    5.6 Discussion and Limitations of Empirical Findings</w:t>
            </w:r>
          </w:p>
        </w:tc>
        <w:tc>
          <w:tcPr>
            <w:tcW w:type="dxa" w:w="4154"/>
          </w:tcPr>
          <w:p>
            <w:pPr>
              <w:spacing w:after="40"/>
              <w:jc w:val="right"/>
            </w:pPr>
            <w:r>
              <w:rPr>
                <w:rFonts w:ascii="TH SarabunPSK" w:hAnsi="TH SarabunPSK" w:eastAsia="TH SarabunPSK" w:cs="TH SarabunPSK"/>
                <w:b w:val="0"/>
                <w:i w:val="0"/>
                <w:color w:val="212529"/>
                <w:sz w:val="28"/>
              </w:rPr>
              <w:t>108</w:t>
            </w:r>
          </w:p>
        </w:tc>
      </w:tr>
      <w:tr>
        <w:tc>
          <w:tcPr>
            <w:tcW w:type="dxa" w:w="4154"/>
          </w:tcPr>
          <w:p>
            <w:pPr>
              <w:spacing w:after="40"/>
            </w:pPr>
            <w:r>
              <w:rPr>
                <w:rFonts w:ascii="TH SarabunPSK" w:hAnsi="TH SarabunPSK" w:eastAsia="TH SarabunPSK" w:cs="TH SarabunPSK"/>
                <w:b/>
                <w:i w:val="0"/>
                <w:color w:val="212529"/>
                <w:sz w:val="28"/>
              </w:rPr>
              <w:t>Chapter 6  Conclusion and Future Work</w:t>
            </w:r>
          </w:p>
        </w:tc>
        <w:tc>
          <w:tcPr>
            <w:tcW w:type="dxa" w:w="4154"/>
          </w:tcPr>
          <w:p>
            <w:pPr>
              <w:spacing w:after="40"/>
              <w:jc w:val="right"/>
            </w:pPr>
            <w:r>
              <w:rPr>
                <w:rFonts w:ascii="TH SarabunPSK" w:hAnsi="TH SarabunPSK" w:eastAsia="TH SarabunPSK" w:cs="TH SarabunPSK"/>
                <w:b/>
                <w:i w:val="0"/>
                <w:color w:val="212529"/>
                <w:sz w:val="28"/>
              </w:rPr>
              <w:t>110</w:t>
            </w:r>
          </w:p>
        </w:tc>
      </w:tr>
      <w:tr>
        <w:tc>
          <w:tcPr>
            <w:tcW w:type="dxa" w:w="4154"/>
          </w:tcPr>
          <w:p>
            <w:pPr>
              <w:spacing w:after="40"/>
            </w:pPr>
            <w:r>
              <w:rPr>
                <w:rFonts w:ascii="TH SarabunPSK" w:hAnsi="TH SarabunPSK" w:eastAsia="TH SarabunPSK" w:cs="TH SarabunPSK"/>
                <w:b w:val="0"/>
                <w:i w:val="0"/>
                <w:color w:val="212529"/>
                <w:sz w:val="28"/>
              </w:rPr>
              <w:t xml:space="preserve">    6.1 Summary of Findings and Contributions</w:t>
            </w:r>
          </w:p>
        </w:tc>
        <w:tc>
          <w:tcPr>
            <w:tcW w:type="dxa" w:w="4154"/>
          </w:tcPr>
          <w:p>
            <w:pPr>
              <w:spacing w:after="40"/>
              <w:jc w:val="right"/>
            </w:pPr>
            <w:r>
              <w:rPr>
                <w:rFonts w:ascii="TH SarabunPSK" w:hAnsi="TH SarabunPSK" w:eastAsia="TH SarabunPSK" w:cs="TH SarabunPSK"/>
                <w:b w:val="0"/>
                <w:i w:val="0"/>
                <w:color w:val="212529"/>
                <w:sz w:val="28"/>
              </w:rPr>
              <w:t>110</w:t>
            </w:r>
          </w:p>
        </w:tc>
      </w:tr>
      <w:tr>
        <w:tc>
          <w:tcPr>
            <w:tcW w:type="dxa" w:w="4154"/>
          </w:tcPr>
          <w:p>
            <w:pPr>
              <w:spacing w:after="40"/>
            </w:pPr>
            <w:r>
              <w:rPr>
                <w:rFonts w:ascii="TH SarabunPSK" w:hAnsi="TH SarabunPSK" w:eastAsia="TH SarabunPSK" w:cs="TH SarabunPSK"/>
                <w:b w:val="0"/>
                <w:i w:val="0"/>
                <w:color w:val="212529"/>
                <w:sz w:val="28"/>
              </w:rPr>
              <w:t xml:space="preserve">    6.2 Technical Obstacles and Encountered Challenges</w:t>
            </w:r>
          </w:p>
        </w:tc>
        <w:tc>
          <w:tcPr>
            <w:tcW w:type="dxa" w:w="4154"/>
          </w:tcPr>
          <w:p>
            <w:pPr>
              <w:spacing w:after="40"/>
              <w:jc w:val="right"/>
            </w:pPr>
            <w:r>
              <w:rPr>
                <w:rFonts w:ascii="TH SarabunPSK" w:hAnsi="TH SarabunPSK" w:eastAsia="TH SarabunPSK" w:cs="TH SarabunPSK"/>
                <w:b w:val="0"/>
                <w:i w:val="0"/>
                <w:color w:val="212529"/>
                <w:sz w:val="28"/>
              </w:rPr>
              <w:t>112</w:t>
            </w:r>
          </w:p>
        </w:tc>
      </w:tr>
      <w:tr>
        <w:tc>
          <w:tcPr>
            <w:tcW w:type="dxa" w:w="4154"/>
          </w:tcPr>
          <w:p>
            <w:pPr>
              <w:spacing w:after="40"/>
            </w:pPr>
            <w:r>
              <w:rPr>
                <w:rFonts w:ascii="TH SarabunPSK" w:hAnsi="TH SarabunPSK" w:eastAsia="TH SarabunPSK" w:cs="TH SarabunPSK"/>
                <w:b w:val="0"/>
                <w:i w:val="0"/>
                <w:color w:val="212529"/>
                <w:sz w:val="28"/>
              </w:rPr>
              <w:t xml:space="preserve">    6.3 Practical Solutions to Encountered Obstacles</w:t>
            </w:r>
          </w:p>
        </w:tc>
        <w:tc>
          <w:tcPr>
            <w:tcW w:type="dxa" w:w="4154"/>
          </w:tcPr>
          <w:p>
            <w:pPr>
              <w:spacing w:after="40"/>
              <w:jc w:val="right"/>
            </w:pPr>
            <w:r>
              <w:rPr>
                <w:rFonts w:ascii="TH SarabunPSK" w:hAnsi="TH SarabunPSK" w:eastAsia="TH SarabunPSK" w:cs="TH SarabunPSK"/>
                <w:b w:val="0"/>
                <w:i w:val="0"/>
                <w:color w:val="212529"/>
                <w:sz w:val="28"/>
              </w:rPr>
              <w:t>114</w:t>
            </w:r>
          </w:p>
        </w:tc>
      </w:tr>
      <w:tr>
        <w:tc>
          <w:tcPr>
            <w:tcW w:type="dxa" w:w="4154"/>
          </w:tcPr>
          <w:p>
            <w:pPr>
              <w:spacing w:after="40"/>
            </w:pPr>
            <w:r>
              <w:rPr>
                <w:rFonts w:ascii="TH SarabunPSK" w:hAnsi="TH SarabunPSK" w:eastAsia="TH SarabunPSK" w:cs="TH SarabunPSK"/>
                <w:b w:val="0"/>
                <w:i w:val="0"/>
                <w:color w:val="212529"/>
                <w:sz w:val="28"/>
              </w:rPr>
              <w:t xml:space="preserve">    6.4 System Limitations</w:t>
            </w:r>
          </w:p>
        </w:tc>
        <w:tc>
          <w:tcPr>
            <w:tcW w:type="dxa" w:w="4154"/>
          </w:tcPr>
          <w:p>
            <w:pPr>
              <w:spacing w:after="40"/>
              <w:jc w:val="right"/>
            </w:pPr>
            <w:r>
              <w:rPr>
                <w:rFonts w:ascii="TH SarabunPSK" w:hAnsi="TH SarabunPSK" w:eastAsia="TH SarabunPSK" w:cs="TH SarabunPSK"/>
                <w:b w:val="0"/>
                <w:i w:val="0"/>
                <w:color w:val="212529"/>
                <w:sz w:val="28"/>
              </w:rPr>
              <w:t>116</w:t>
            </w:r>
          </w:p>
        </w:tc>
      </w:tr>
      <w:tr>
        <w:tc>
          <w:tcPr>
            <w:tcW w:type="dxa" w:w="4154"/>
          </w:tcPr>
          <w:p>
            <w:pPr>
              <w:spacing w:after="40"/>
            </w:pPr>
            <w:r>
              <w:rPr>
                <w:rFonts w:ascii="TH SarabunPSK" w:hAnsi="TH SarabunPSK" w:eastAsia="TH SarabunPSK" w:cs="TH SarabunPSK"/>
                <w:b w:val="0"/>
                <w:i w:val="0"/>
                <w:color w:val="212529"/>
                <w:sz w:val="28"/>
              </w:rPr>
              <w:t xml:space="preserve">    6.5 Future Development Roadmap</w:t>
            </w:r>
          </w:p>
        </w:tc>
        <w:tc>
          <w:tcPr>
            <w:tcW w:type="dxa" w:w="4154"/>
          </w:tcPr>
          <w:p>
            <w:pPr>
              <w:spacing w:after="40"/>
              <w:jc w:val="right"/>
            </w:pPr>
            <w:r>
              <w:rPr>
                <w:rFonts w:ascii="TH SarabunPSK" w:hAnsi="TH SarabunPSK" w:eastAsia="TH SarabunPSK" w:cs="TH SarabunPSK"/>
                <w:b w:val="0"/>
                <w:i w:val="0"/>
                <w:color w:val="212529"/>
                <w:sz w:val="28"/>
              </w:rPr>
              <w:t>118</w:t>
            </w:r>
          </w:p>
        </w:tc>
      </w:tr>
      <w:tr>
        <w:tc>
          <w:tcPr>
            <w:tcW w:type="dxa" w:w="4154"/>
          </w:tcPr>
          <w:p>
            <w:pPr>
              <w:spacing w:after="40"/>
            </w:pPr>
            <w:r>
              <w:rPr>
                <w:rFonts w:ascii="TH SarabunPSK" w:hAnsi="TH SarabunPSK" w:eastAsia="TH SarabunPSK" w:cs="TH SarabunPSK"/>
                <w:b w:val="0"/>
                <w:i w:val="0"/>
                <w:color w:val="212529"/>
                <w:sz w:val="28"/>
              </w:rPr>
              <w:t xml:space="preserve">    6.6 Personal Achievements and Professional Growth</w:t>
            </w:r>
          </w:p>
        </w:tc>
        <w:tc>
          <w:tcPr>
            <w:tcW w:type="dxa" w:w="4154"/>
          </w:tcPr>
          <w:p>
            <w:pPr>
              <w:spacing w:after="40"/>
              <w:jc w:val="right"/>
            </w:pPr>
            <w:r>
              <w:rPr>
                <w:rFonts w:ascii="TH SarabunPSK" w:hAnsi="TH SarabunPSK" w:eastAsia="TH SarabunPSK" w:cs="TH SarabunPSK"/>
                <w:b w:val="0"/>
                <w:i w:val="0"/>
                <w:color w:val="212529"/>
                <w:sz w:val="28"/>
              </w:rPr>
              <w:t>120</w:t>
            </w:r>
          </w:p>
        </w:tc>
      </w:tr>
      <w:tr>
        <w:tc>
          <w:tcPr>
            <w:tcW w:type="dxa" w:w="4154"/>
          </w:tcPr>
          <w:p>
            <w:pPr>
              <w:spacing w:after="40"/>
            </w:pPr>
            <w:r>
              <w:rPr>
                <w:rFonts w:ascii="TH SarabunPSK" w:hAnsi="TH SarabunPSK" w:eastAsia="TH SarabunPSK" w:cs="TH SarabunPSK"/>
                <w:b/>
                <w:i w:val="0"/>
                <w:color w:val="212529"/>
                <w:sz w:val="28"/>
              </w:rPr>
              <w:t>References</w:t>
            </w:r>
          </w:p>
        </w:tc>
        <w:tc>
          <w:tcPr>
            <w:tcW w:type="dxa" w:w="4154"/>
          </w:tcPr>
          <w:p>
            <w:pPr>
              <w:spacing w:after="40"/>
              <w:jc w:val="right"/>
            </w:pPr>
            <w:r>
              <w:rPr>
                <w:rFonts w:ascii="TH SarabunPSK" w:hAnsi="TH SarabunPSK" w:eastAsia="TH SarabunPSK" w:cs="TH SarabunPSK"/>
                <w:b/>
                <w:i w:val="0"/>
                <w:color w:val="212529"/>
                <w:sz w:val="28"/>
              </w:rPr>
              <w:t>122</w:t>
            </w:r>
          </w:p>
        </w:tc>
      </w:tr>
    </w:tbl>
    <w:p>
      <w:r>
        <w:br w:type="page"/>
      </w:r>
    </w:p>
    <w:p>
      <w:pPr>
        <w:spacing w:before="360" w:after="360" w:line="276" w:lineRule="auto"/>
        <w:jc w:val="center"/>
      </w:pPr>
      <w:r>
        <w:rPr>
          <w:rFonts w:ascii="TH SarabunPSK" w:hAnsi="TH SarabunPSK" w:eastAsia="TH SarabunPSK" w:cs="TH SarabunPSK"/>
          <w:b/>
          <w:i w:val="0"/>
          <w:color w:val="212529"/>
          <w:sz w:val="36"/>
        </w:rPr>
        <w:t>LIST OF TABLES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2770"/>
        <w:gridCol w:w="2770"/>
        <w:gridCol w:w="2770"/>
      </w:tblGrid>
      <w:tr>
        <w:tc>
          <w:tcPr>
            <w:tcW w:type="dxa" w:w="2770"/>
          </w:tcPr>
          <w:p/>
        </w:tc>
        <w:tc>
          <w:tcPr>
            <w:tcW w:type="dxa" w:w="2770"/>
          </w:tcPr>
          <w:p/>
        </w:tc>
        <w:tc>
          <w:tcPr>
            <w:tcW w:type="dxa" w:w="2770"/>
          </w:tcPr>
          <w:p/>
        </w:tc>
      </w:tr>
      <w:tr>
        <w:tc>
          <w:tcPr>
            <w:tcW w:type="dxa" w:w="1728"/>
          </w:tcPr>
          <w:p>
            <w:r>
              <w:rPr>
                <w:rFonts w:ascii="TH SarabunPSK" w:hAnsi="TH SarabunPSK" w:eastAsia="TH SarabunPSK" w:cs="TH SarabunPSK"/>
                <w:b/>
                <w:i w:val="0"/>
                <w:color w:val="212529"/>
                <w:sz w:val="28"/>
              </w:rPr>
              <w:t>Table 1.1</w:t>
            </w:r>
          </w:p>
        </w:tc>
        <w:tc>
          <w:tcPr>
            <w:tcW w:type="dxa" w:w="6192"/>
          </w:tcPr>
          <w:p>
            <w:r>
              <w:rPr>
                <w:rFonts w:ascii="TH SarabunPSK" w:hAnsi="TH SarabunPSK" w:eastAsia="TH SarabunPSK" w:cs="TH SarabunPSK"/>
                <w:b w:val="0"/>
                <w:i w:val="0"/>
                <w:color w:val="212529"/>
                <w:sz w:val="28"/>
              </w:rPr>
              <w:t>Project Timeline and Seven-Month Work Breakdown Schedule</w:t>
            </w:r>
          </w:p>
        </w:tc>
        <w:tc>
          <w:tcPr>
            <w:tcW w:type="dxa" w:w="1152"/>
          </w:tcPr>
          <w:p>
            <w:pPr>
              <w:jc w:val="right"/>
            </w:pPr>
            <w:r>
              <w:rPr>
                <w:rFonts w:ascii="TH SarabunPSK" w:hAnsi="TH SarabunPSK" w:eastAsia="TH SarabunPSK" w:cs="TH SarabunPSK"/>
                <w:b w:val="0"/>
                <w:i w:val="0"/>
                <w:color w:val="212529"/>
                <w:sz w:val="28"/>
              </w:rPr>
              <w:t>7</w:t>
            </w:r>
          </w:p>
        </w:tc>
      </w:tr>
      <w:tr>
        <w:tc>
          <w:tcPr>
            <w:tcW w:type="dxa" w:w="1728"/>
          </w:tcPr>
          <w:p>
            <w:r>
              <w:rPr>
                <w:rFonts w:ascii="TH SarabunPSK" w:hAnsi="TH SarabunPSK" w:eastAsia="TH SarabunPSK" w:cs="TH SarabunPSK"/>
                <w:b/>
                <w:i w:val="0"/>
                <w:color w:val="212529"/>
                <w:sz w:val="28"/>
              </w:rPr>
              <w:t>Table 2.1</w:t>
            </w:r>
          </w:p>
        </w:tc>
        <w:tc>
          <w:tcPr>
            <w:tcW w:type="dxa" w:w="6192"/>
          </w:tcPr>
          <w:p>
            <w:r>
              <w:rPr>
                <w:rFonts w:ascii="TH SarabunPSK" w:hAnsi="TH SarabunPSK" w:eastAsia="TH SarabunPSK" w:cs="TH SarabunPSK"/>
                <w:b w:val="0"/>
                <w:i w:val="0"/>
                <w:color w:val="212529"/>
                <w:sz w:val="28"/>
              </w:rPr>
              <w:t>Core Frontend and Backend Software Frameworks, Libraries, and Tools</w:t>
            </w:r>
          </w:p>
        </w:tc>
        <w:tc>
          <w:tcPr>
            <w:tcW w:type="dxa" w:w="1152"/>
          </w:tcPr>
          <w:p>
            <w:pPr>
              <w:jc w:val="right"/>
            </w:pPr>
            <w:r>
              <w:rPr>
                <w:rFonts w:ascii="TH SarabunPSK" w:hAnsi="TH SarabunPSK" w:eastAsia="TH SarabunPSK" w:cs="TH SarabunPSK"/>
                <w:b w:val="0"/>
                <w:i w:val="0"/>
                <w:color w:val="212529"/>
                <w:sz w:val="28"/>
              </w:rPr>
              <w:t>22</w:t>
            </w:r>
          </w:p>
        </w:tc>
      </w:tr>
      <w:tr>
        <w:tc>
          <w:tcPr>
            <w:tcW w:type="dxa" w:w="1728"/>
          </w:tcPr>
          <w:p>
            <w:r>
              <w:rPr>
                <w:rFonts w:ascii="TH SarabunPSK" w:hAnsi="TH SarabunPSK" w:eastAsia="TH SarabunPSK" w:cs="TH SarabunPSK"/>
                <w:b/>
                <w:i w:val="0"/>
                <w:color w:val="212529"/>
                <w:sz w:val="28"/>
              </w:rPr>
              <w:t>Table 2.2</w:t>
            </w:r>
          </w:p>
        </w:tc>
        <w:tc>
          <w:tcPr>
            <w:tcW w:type="dxa" w:w="6192"/>
          </w:tcPr>
          <w:p>
            <w:r>
              <w:rPr>
                <w:rFonts w:ascii="TH SarabunPSK" w:hAnsi="TH SarabunPSK" w:eastAsia="TH SarabunPSK" w:cs="TH SarabunPSK"/>
                <w:b w:val="0"/>
                <w:i w:val="0"/>
                <w:color w:val="212529"/>
                <w:sz w:val="28"/>
              </w:rPr>
              <w:t>Comparative Synthesis of Architectural Baselines and Related Works</w:t>
            </w:r>
          </w:p>
        </w:tc>
        <w:tc>
          <w:tcPr>
            <w:tcW w:type="dxa" w:w="1152"/>
          </w:tcPr>
          <w:p>
            <w:pPr>
              <w:jc w:val="right"/>
            </w:pPr>
            <w:r>
              <w:rPr>
                <w:rFonts w:ascii="TH SarabunPSK" w:hAnsi="TH SarabunPSK" w:eastAsia="TH SarabunPSK" w:cs="TH SarabunPSK"/>
                <w:b w:val="0"/>
                <w:i w:val="0"/>
                <w:color w:val="212529"/>
                <w:sz w:val="28"/>
              </w:rPr>
              <w:t>20</w:t>
            </w:r>
          </w:p>
        </w:tc>
      </w:tr>
      <w:tr>
        <w:tc>
          <w:tcPr>
            <w:tcW w:type="dxa" w:w="1728"/>
          </w:tcPr>
          <w:p>
            <w:r>
              <w:rPr>
                <w:rFonts w:ascii="TH SarabunPSK" w:hAnsi="TH SarabunPSK" w:eastAsia="TH SarabunPSK" w:cs="TH SarabunPSK"/>
                <w:b/>
                <w:i w:val="0"/>
                <w:color w:val="212529"/>
                <w:sz w:val="28"/>
              </w:rPr>
              <w:t>Table 3.1</w:t>
            </w:r>
          </w:p>
        </w:tc>
        <w:tc>
          <w:tcPr>
            <w:tcW w:type="dxa" w:w="6192"/>
          </w:tcPr>
          <w:p>
            <w:r>
              <w:rPr>
                <w:rFonts w:ascii="TH SarabunPSK" w:hAnsi="TH SarabunPSK" w:eastAsia="TH SarabunPSK" w:cs="TH SarabunPSK"/>
                <w:b w:val="0"/>
                <w:i w:val="0"/>
                <w:color w:val="212529"/>
                <w:sz w:val="28"/>
              </w:rPr>
              <w:t>Target User Roles, Domain Competencies, and Responsibilities</w:t>
            </w:r>
          </w:p>
        </w:tc>
        <w:tc>
          <w:tcPr>
            <w:tcW w:type="dxa" w:w="1152"/>
          </w:tcPr>
          <w:p>
            <w:pPr>
              <w:jc w:val="right"/>
            </w:pPr>
            <w:r>
              <w:rPr>
                <w:rFonts w:ascii="TH SarabunPSK" w:hAnsi="TH SarabunPSK" w:eastAsia="TH SarabunPSK" w:cs="TH SarabunPSK"/>
                <w:b w:val="0"/>
                <w:i w:val="0"/>
                <w:color w:val="212529"/>
                <w:sz w:val="28"/>
              </w:rPr>
              <w:t>28</w:t>
            </w:r>
          </w:p>
        </w:tc>
      </w:tr>
      <w:tr>
        <w:tc>
          <w:tcPr>
            <w:tcW w:type="dxa" w:w="1728"/>
          </w:tcPr>
          <w:p>
            <w:r>
              <w:rPr>
                <w:rFonts w:ascii="TH SarabunPSK" w:hAnsi="TH SarabunPSK" w:eastAsia="TH SarabunPSK" w:cs="TH SarabunPSK"/>
                <w:b/>
                <w:i w:val="0"/>
                <w:color w:val="212529"/>
                <w:sz w:val="28"/>
              </w:rPr>
              <w:t>Table 3.2</w:t>
            </w:r>
          </w:p>
        </w:tc>
        <w:tc>
          <w:tcPr>
            <w:tcW w:type="dxa" w:w="6192"/>
          </w:tcPr>
          <w:p>
            <w:r>
              <w:rPr>
                <w:rFonts w:ascii="TH SarabunPSK" w:hAnsi="TH SarabunPSK" w:eastAsia="TH SarabunPSK" w:cs="TH SarabunPSK"/>
                <w:b w:val="0"/>
                <w:i w:val="0"/>
                <w:color w:val="212529"/>
                <w:sz w:val="28"/>
              </w:rPr>
              <w:t>CyberCase Primary Use Case Specifications and Operational Goals</w:t>
            </w:r>
          </w:p>
        </w:tc>
        <w:tc>
          <w:tcPr>
            <w:tcW w:type="dxa" w:w="1152"/>
          </w:tcPr>
          <w:p>
            <w:pPr>
              <w:jc w:val="right"/>
            </w:pPr>
            <w:r>
              <w:rPr>
                <w:rFonts w:ascii="TH SarabunPSK" w:hAnsi="TH SarabunPSK" w:eastAsia="TH SarabunPSK" w:cs="TH SarabunPSK"/>
                <w:b w:val="0"/>
                <w:i w:val="0"/>
                <w:color w:val="212529"/>
                <w:sz w:val="28"/>
              </w:rPr>
              <w:t>30</w:t>
            </w:r>
          </w:p>
        </w:tc>
      </w:tr>
      <w:tr>
        <w:tc>
          <w:tcPr>
            <w:tcW w:type="dxa" w:w="1728"/>
          </w:tcPr>
          <w:p>
            <w:r>
              <w:rPr>
                <w:rFonts w:ascii="TH SarabunPSK" w:hAnsi="TH SarabunPSK" w:eastAsia="TH SarabunPSK" w:cs="TH SarabunPSK"/>
                <w:b/>
                <w:i w:val="0"/>
                <w:color w:val="212529"/>
                <w:sz w:val="28"/>
              </w:rPr>
              <w:t>Table 3.3</w:t>
            </w:r>
          </w:p>
        </w:tc>
        <w:tc>
          <w:tcPr>
            <w:tcW w:type="dxa" w:w="6192"/>
          </w:tcPr>
          <w:p>
            <w:r>
              <w:rPr>
                <w:rFonts w:ascii="TH SarabunPSK" w:hAnsi="TH SarabunPSK" w:eastAsia="TH SarabunPSK" w:cs="TH SarabunPSK"/>
                <w:b w:val="0"/>
                <w:i w:val="0"/>
                <w:color w:val="212529"/>
                <w:sz w:val="28"/>
              </w:rPr>
              <w:t>Evidence Trust Boundary Tiering and Information Authority Levels</w:t>
            </w:r>
          </w:p>
        </w:tc>
        <w:tc>
          <w:tcPr>
            <w:tcW w:type="dxa" w:w="1152"/>
          </w:tcPr>
          <w:p>
            <w:pPr>
              <w:jc w:val="right"/>
            </w:pPr>
            <w:r>
              <w:rPr>
                <w:rFonts w:ascii="TH SarabunPSK" w:hAnsi="TH SarabunPSK" w:eastAsia="TH SarabunPSK" w:cs="TH SarabunPSK"/>
                <w:b w:val="0"/>
                <w:i w:val="0"/>
                <w:color w:val="212529"/>
                <w:sz w:val="28"/>
              </w:rPr>
              <w:t>36</w:t>
            </w:r>
          </w:p>
        </w:tc>
      </w:tr>
      <w:tr>
        <w:tc>
          <w:tcPr>
            <w:tcW w:type="dxa" w:w="1728"/>
          </w:tcPr>
          <w:p>
            <w:r>
              <w:rPr>
                <w:rFonts w:ascii="TH SarabunPSK" w:hAnsi="TH SarabunPSK" w:eastAsia="TH SarabunPSK" w:cs="TH SarabunPSK"/>
                <w:b/>
                <w:i w:val="0"/>
                <w:color w:val="212529"/>
                <w:sz w:val="28"/>
              </w:rPr>
              <w:t>Table 3.4</w:t>
            </w:r>
          </w:p>
        </w:tc>
        <w:tc>
          <w:tcPr>
            <w:tcW w:type="dxa" w:w="6192"/>
          </w:tcPr>
          <w:p>
            <w:r>
              <w:rPr>
                <w:rFonts w:ascii="TH SarabunPSK" w:hAnsi="TH SarabunPSK" w:eastAsia="TH SarabunPSK" w:cs="TH SarabunPSK"/>
                <w:b w:val="0"/>
                <w:i w:val="0"/>
                <w:color w:val="212529"/>
                <w:sz w:val="28"/>
              </w:rPr>
              <w:t>Epistemic Status Classification Taxonomy for Analysis Claims</w:t>
            </w:r>
          </w:p>
        </w:tc>
        <w:tc>
          <w:tcPr>
            <w:tcW w:type="dxa" w:w="1152"/>
          </w:tcPr>
          <w:p>
            <w:pPr>
              <w:jc w:val="right"/>
            </w:pPr>
            <w:r>
              <w:rPr>
                <w:rFonts w:ascii="TH SarabunPSK" w:hAnsi="TH SarabunPSK" w:eastAsia="TH SarabunPSK" w:cs="TH SarabunPSK"/>
                <w:b w:val="0"/>
                <w:i w:val="0"/>
                <w:color w:val="212529"/>
                <w:sz w:val="28"/>
              </w:rPr>
              <w:t>39</w:t>
            </w:r>
          </w:p>
        </w:tc>
      </w:tr>
      <w:tr>
        <w:tc>
          <w:tcPr>
            <w:tcW w:type="dxa" w:w="1728"/>
          </w:tcPr>
          <w:p>
            <w:r>
              <w:rPr>
                <w:rFonts w:ascii="TH SarabunPSK" w:hAnsi="TH SarabunPSK" w:eastAsia="TH SarabunPSK" w:cs="TH SarabunPSK"/>
                <w:b/>
                <w:i w:val="0"/>
                <w:color w:val="212529"/>
                <w:sz w:val="28"/>
              </w:rPr>
              <w:t>Table 3.5</w:t>
            </w:r>
          </w:p>
        </w:tc>
        <w:tc>
          <w:tcPr>
            <w:tcW w:type="dxa" w:w="6192"/>
          </w:tcPr>
          <w:p>
            <w:r>
              <w:rPr>
                <w:rFonts w:ascii="TH SarabunPSK" w:hAnsi="TH SarabunPSK" w:eastAsia="TH SarabunPSK" w:cs="TH SarabunPSK"/>
                <w:b w:val="0"/>
                <w:i w:val="0"/>
                <w:color w:val="212529"/>
                <w:sz w:val="28"/>
              </w:rPr>
              <w:t>Four-Status Gap Taxonomy for Missing Forensic Case Attributes</w:t>
            </w:r>
          </w:p>
        </w:tc>
        <w:tc>
          <w:tcPr>
            <w:tcW w:type="dxa" w:w="1152"/>
          </w:tcPr>
          <w:p>
            <w:pPr>
              <w:jc w:val="right"/>
            </w:pPr>
            <w:r>
              <w:rPr>
                <w:rFonts w:ascii="TH SarabunPSK" w:hAnsi="TH SarabunPSK" w:eastAsia="TH SarabunPSK" w:cs="TH SarabunPSK"/>
                <w:b w:val="0"/>
                <w:i w:val="0"/>
                <w:color w:val="212529"/>
                <w:sz w:val="28"/>
              </w:rPr>
              <w:t>41</w:t>
            </w:r>
          </w:p>
        </w:tc>
      </w:tr>
      <w:tr>
        <w:tc>
          <w:tcPr>
            <w:tcW w:type="dxa" w:w="1728"/>
          </w:tcPr>
          <w:p>
            <w:r>
              <w:rPr>
                <w:rFonts w:ascii="TH SarabunPSK" w:hAnsi="TH SarabunPSK" w:eastAsia="TH SarabunPSK" w:cs="TH SarabunPSK"/>
                <w:b/>
                <w:i w:val="0"/>
                <w:color w:val="212529"/>
                <w:sz w:val="28"/>
              </w:rPr>
              <w:t>Table 3.6</w:t>
            </w:r>
          </w:p>
        </w:tc>
        <w:tc>
          <w:tcPr>
            <w:tcW w:type="dxa" w:w="6192"/>
          </w:tcPr>
          <w:p>
            <w:r>
              <w:rPr>
                <w:rFonts w:ascii="TH SarabunPSK" w:hAnsi="TH SarabunPSK" w:eastAsia="TH SarabunPSK" w:cs="TH SarabunPSK"/>
                <w:b w:val="0"/>
                <w:i w:val="0"/>
                <w:color w:val="212529"/>
                <w:sz w:val="28"/>
              </w:rPr>
              <w:t>Relational Database Schema Definitions across 5 Core Tables</w:t>
            </w:r>
          </w:p>
        </w:tc>
        <w:tc>
          <w:tcPr>
            <w:tcW w:type="dxa" w:w="1152"/>
          </w:tcPr>
          <w:p>
            <w:pPr>
              <w:jc w:val="right"/>
            </w:pPr>
            <w:r>
              <w:rPr>
                <w:rFonts w:ascii="TH SarabunPSK" w:hAnsi="TH SarabunPSK" w:eastAsia="TH SarabunPSK" w:cs="TH SarabunPSK"/>
                <w:b w:val="0"/>
                <w:i w:val="0"/>
                <w:color w:val="212529"/>
                <w:sz w:val="28"/>
              </w:rPr>
              <w:t>47</w:t>
            </w:r>
          </w:p>
        </w:tc>
      </w:tr>
      <w:tr>
        <w:tc>
          <w:tcPr>
            <w:tcW w:type="dxa" w:w="1728"/>
          </w:tcPr>
          <w:p>
            <w:r>
              <w:rPr>
                <w:rFonts w:ascii="TH SarabunPSK" w:hAnsi="TH SarabunPSK" w:eastAsia="TH SarabunPSK" w:cs="TH SarabunPSK"/>
                <w:b/>
                <w:i w:val="0"/>
                <w:color w:val="212529"/>
                <w:sz w:val="28"/>
              </w:rPr>
              <w:t>Table 3.7</w:t>
            </w:r>
          </w:p>
        </w:tc>
        <w:tc>
          <w:tcPr>
            <w:tcW w:type="dxa" w:w="6192"/>
          </w:tcPr>
          <w:p>
            <w:r>
              <w:rPr>
                <w:rFonts w:ascii="TH SarabunPSK" w:hAnsi="TH SarabunPSK" w:eastAsia="TH SarabunPSK" w:cs="TH SarabunPSK"/>
                <w:b w:val="0"/>
                <w:i w:val="0"/>
                <w:color w:val="212529"/>
                <w:sz w:val="28"/>
              </w:rPr>
              <w:t>System Failure Containment and Exception Handling Policies</w:t>
            </w:r>
          </w:p>
        </w:tc>
        <w:tc>
          <w:tcPr>
            <w:tcW w:type="dxa" w:w="1152"/>
          </w:tcPr>
          <w:p>
            <w:pPr>
              <w:jc w:val="right"/>
            </w:pPr>
            <w:r>
              <w:rPr>
                <w:rFonts w:ascii="TH SarabunPSK" w:hAnsi="TH SarabunPSK" w:eastAsia="TH SarabunPSK" w:cs="TH SarabunPSK"/>
                <w:b w:val="0"/>
                <w:i w:val="0"/>
                <w:color w:val="212529"/>
                <w:sz w:val="28"/>
              </w:rPr>
              <w:t>52</w:t>
            </w:r>
          </w:p>
        </w:tc>
      </w:tr>
      <w:tr>
        <w:tc>
          <w:tcPr>
            <w:tcW w:type="dxa" w:w="1728"/>
          </w:tcPr>
          <w:p>
            <w:r>
              <w:rPr>
                <w:rFonts w:ascii="TH SarabunPSK" w:hAnsi="TH SarabunPSK" w:eastAsia="TH SarabunPSK" w:cs="TH SarabunPSK"/>
                <w:b/>
                <w:i w:val="0"/>
                <w:color w:val="212529"/>
                <w:sz w:val="28"/>
              </w:rPr>
              <w:t>Table 4.1</w:t>
            </w:r>
          </w:p>
        </w:tc>
        <w:tc>
          <w:tcPr>
            <w:tcW w:type="dxa" w:w="6192"/>
          </w:tcPr>
          <w:p>
            <w:r>
              <w:rPr>
                <w:rFonts w:ascii="TH SarabunPSK" w:hAnsi="TH SarabunPSK" w:eastAsia="TH SarabunPSK" w:cs="TH SarabunPSK"/>
                <w:b w:val="0"/>
                <w:i w:val="0"/>
                <w:color w:val="212529"/>
                <w:sz w:val="28"/>
              </w:rPr>
              <w:t>Technology Stack, Server Frameworks, and Runtime Dependencies</w:t>
            </w:r>
          </w:p>
        </w:tc>
        <w:tc>
          <w:tcPr>
            <w:tcW w:type="dxa" w:w="1152"/>
          </w:tcPr>
          <w:p>
            <w:pPr>
              <w:jc w:val="right"/>
            </w:pPr>
            <w:r>
              <w:rPr>
                <w:rFonts w:ascii="TH SarabunPSK" w:hAnsi="TH SarabunPSK" w:eastAsia="TH SarabunPSK" w:cs="TH SarabunPSK"/>
                <w:b w:val="0"/>
                <w:i w:val="0"/>
                <w:color w:val="212529"/>
                <w:sz w:val="28"/>
              </w:rPr>
              <w:t>55</w:t>
            </w:r>
          </w:p>
        </w:tc>
      </w:tr>
      <w:tr>
        <w:tc>
          <w:tcPr>
            <w:tcW w:type="dxa" w:w="1728"/>
          </w:tcPr>
          <w:p>
            <w:r>
              <w:rPr>
                <w:rFonts w:ascii="TH SarabunPSK" w:hAnsi="TH SarabunPSK" w:eastAsia="TH SarabunPSK" w:cs="TH SarabunPSK"/>
                <w:b/>
                <w:i w:val="0"/>
                <w:color w:val="212529"/>
                <w:sz w:val="28"/>
              </w:rPr>
              <w:t>Table 4.2</w:t>
            </w:r>
          </w:p>
        </w:tc>
        <w:tc>
          <w:tcPr>
            <w:tcW w:type="dxa" w:w="6192"/>
          </w:tcPr>
          <w:p>
            <w:r>
              <w:rPr>
                <w:rFonts w:ascii="TH SarabunPSK" w:hAnsi="TH SarabunPSK" w:eastAsia="TH SarabunPSK" w:cs="TH SarabunPSK"/>
                <w:b w:val="0"/>
                <w:i w:val="0"/>
                <w:color w:val="212529"/>
                <w:sz w:val="28"/>
              </w:rPr>
              <w:t>Core Backend REST API Endpoints and Operational Contracts</w:t>
            </w:r>
          </w:p>
        </w:tc>
        <w:tc>
          <w:tcPr>
            <w:tcW w:type="dxa" w:w="1152"/>
          </w:tcPr>
          <w:p>
            <w:pPr>
              <w:jc w:val="right"/>
            </w:pPr>
            <w:r>
              <w:rPr>
                <w:rFonts w:ascii="TH SarabunPSK" w:hAnsi="TH SarabunPSK" w:eastAsia="TH SarabunPSK" w:cs="TH SarabunPSK"/>
                <w:b w:val="0"/>
                <w:i w:val="0"/>
                <w:color w:val="212529"/>
                <w:sz w:val="28"/>
              </w:rPr>
              <w:t>58</w:t>
            </w:r>
          </w:p>
        </w:tc>
      </w:tr>
      <w:tr>
        <w:tc>
          <w:tcPr>
            <w:tcW w:type="dxa" w:w="1728"/>
          </w:tcPr>
          <w:p>
            <w:r>
              <w:rPr>
                <w:rFonts w:ascii="TH SarabunPSK" w:hAnsi="TH SarabunPSK" w:eastAsia="TH SarabunPSK" w:cs="TH SarabunPSK"/>
                <w:b/>
                <w:i w:val="0"/>
                <w:color w:val="212529"/>
                <w:sz w:val="28"/>
              </w:rPr>
              <w:t>Table 4.3</w:t>
            </w:r>
          </w:p>
        </w:tc>
        <w:tc>
          <w:tcPr>
            <w:tcW w:type="dxa" w:w="6192"/>
          </w:tcPr>
          <w:p>
            <w:r>
              <w:rPr>
                <w:rFonts w:ascii="TH SarabunPSK" w:hAnsi="TH SarabunPSK" w:eastAsia="TH SarabunPSK" w:cs="TH SarabunPSK"/>
                <w:b w:val="0"/>
                <w:i w:val="0"/>
                <w:color w:val="212529"/>
                <w:sz w:val="28"/>
              </w:rPr>
              <w:t>Standardized Seven-Part Forensic Report Schema Specifications</w:t>
            </w:r>
          </w:p>
        </w:tc>
        <w:tc>
          <w:tcPr>
            <w:tcW w:type="dxa" w:w="1152"/>
          </w:tcPr>
          <w:p>
            <w:pPr>
              <w:jc w:val="right"/>
            </w:pPr>
            <w:r>
              <w:rPr>
                <w:rFonts w:ascii="TH SarabunPSK" w:hAnsi="TH SarabunPSK" w:eastAsia="TH SarabunPSK" w:cs="TH SarabunPSK"/>
                <w:b w:val="0"/>
                <w:i w:val="0"/>
                <w:color w:val="212529"/>
                <w:sz w:val="28"/>
              </w:rPr>
              <w:t>77</w:t>
            </w:r>
          </w:p>
        </w:tc>
      </w:tr>
      <w:tr>
        <w:tc>
          <w:tcPr>
            <w:tcW w:type="dxa" w:w="1728"/>
          </w:tcPr>
          <w:p>
            <w:r>
              <w:rPr>
                <w:rFonts w:ascii="TH SarabunPSK" w:hAnsi="TH SarabunPSK" w:eastAsia="TH SarabunPSK" w:cs="TH SarabunPSK"/>
                <w:b/>
                <w:i w:val="0"/>
                <w:color w:val="212529"/>
                <w:sz w:val="28"/>
              </w:rPr>
              <w:t>Table 5.1</w:t>
            </w:r>
          </w:p>
        </w:tc>
        <w:tc>
          <w:tcPr>
            <w:tcW w:type="dxa" w:w="6192"/>
          </w:tcPr>
          <w:p>
            <w:r>
              <w:rPr>
                <w:rFonts w:ascii="TH SarabunPSK" w:hAnsi="TH SarabunPSK" w:eastAsia="TH SarabunPSK" w:cs="TH SarabunPSK"/>
                <w:b w:val="0"/>
                <w:i w:val="0"/>
                <w:color w:val="212529"/>
                <w:sz w:val="28"/>
              </w:rPr>
              <w:t>System Development Outcomes and Functional Component Readiness</w:t>
            </w:r>
          </w:p>
        </w:tc>
        <w:tc>
          <w:tcPr>
            <w:tcW w:type="dxa" w:w="1152"/>
          </w:tcPr>
          <w:p>
            <w:pPr>
              <w:jc w:val="right"/>
            </w:pPr>
            <w:r>
              <w:rPr>
                <w:rFonts w:ascii="TH SarabunPSK" w:hAnsi="TH SarabunPSK" w:eastAsia="TH SarabunPSK" w:cs="TH SarabunPSK"/>
                <w:b w:val="0"/>
                <w:i w:val="0"/>
                <w:color w:val="212529"/>
                <w:sz w:val="28"/>
              </w:rPr>
              <w:t>86</w:t>
            </w:r>
          </w:p>
        </w:tc>
      </w:tr>
      <w:tr>
        <w:tc>
          <w:tcPr>
            <w:tcW w:type="dxa" w:w="1728"/>
          </w:tcPr>
          <w:p>
            <w:r>
              <w:rPr>
                <w:rFonts w:ascii="TH SarabunPSK" w:hAnsi="TH SarabunPSK" w:eastAsia="TH SarabunPSK" w:cs="TH SarabunPSK"/>
                <w:b/>
                <w:i w:val="0"/>
                <w:color w:val="212529"/>
                <w:sz w:val="28"/>
              </w:rPr>
              <w:t>Table 5.2</w:t>
            </w:r>
          </w:p>
        </w:tc>
        <w:tc>
          <w:tcPr>
            <w:tcW w:type="dxa" w:w="6192"/>
          </w:tcPr>
          <w:p>
            <w:r>
              <w:rPr>
                <w:rFonts w:ascii="TH SarabunPSK" w:hAnsi="TH SarabunPSK" w:eastAsia="TH SarabunPSK" w:cs="TH SarabunPSK"/>
                <w:b w:val="0"/>
                <w:i w:val="0"/>
                <w:color w:val="212529"/>
                <w:sz w:val="28"/>
              </w:rPr>
              <w:t>Automated Pytest Verification Suite Execution Results</w:t>
            </w:r>
          </w:p>
        </w:tc>
        <w:tc>
          <w:tcPr>
            <w:tcW w:type="dxa" w:w="1152"/>
          </w:tcPr>
          <w:p>
            <w:pPr>
              <w:jc w:val="right"/>
            </w:pPr>
            <w:r>
              <w:rPr>
                <w:rFonts w:ascii="TH SarabunPSK" w:hAnsi="TH SarabunPSK" w:eastAsia="TH SarabunPSK" w:cs="TH SarabunPSK"/>
                <w:b w:val="0"/>
                <w:i w:val="0"/>
                <w:color w:val="212529"/>
                <w:sz w:val="28"/>
              </w:rPr>
              <w:t>97</w:t>
            </w:r>
          </w:p>
        </w:tc>
      </w:tr>
      <w:tr>
        <w:tc>
          <w:tcPr>
            <w:tcW w:type="dxa" w:w="1728"/>
          </w:tcPr>
          <w:p>
            <w:r>
              <w:rPr>
                <w:rFonts w:ascii="TH SarabunPSK" w:hAnsi="TH SarabunPSK" w:eastAsia="TH SarabunPSK" w:cs="TH SarabunPSK"/>
                <w:b/>
                <w:i w:val="0"/>
                <w:color w:val="212529"/>
                <w:sz w:val="28"/>
              </w:rPr>
              <w:t>Table 5.3</w:t>
            </w:r>
          </w:p>
        </w:tc>
        <w:tc>
          <w:tcPr>
            <w:tcW w:type="dxa" w:w="6192"/>
          </w:tcPr>
          <w:p>
            <w:r>
              <w:rPr>
                <w:rFonts w:ascii="TH SarabunPSK" w:hAnsi="TH SarabunPSK" w:eastAsia="TH SarabunPSK" w:cs="TH SarabunPSK"/>
                <w:b w:val="0"/>
                <w:i w:val="0"/>
                <w:color w:val="212529"/>
                <w:sz w:val="28"/>
              </w:rPr>
              <w:t>Comparative Evaluation of B0 Baseline vs. B1-F Follow-up Extension</w:t>
            </w:r>
          </w:p>
        </w:tc>
        <w:tc>
          <w:tcPr>
            <w:tcW w:type="dxa" w:w="1152"/>
          </w:tcPr>
          <w:p>
            <w:pPr>
              <w:jc w:val="right"/>
            </w:pPr>
            <w:r>
              <w:rPr>
                <w:rFonts w:ascii="TH SarabunPSK" w:hAnsi="TH SarabunPSK" w:eastAsia="TH SarabunPSK" w:cs="TH SarabunPSK"/>
                <w:b w:val="0"/>
                <w:i w:val="0"/>
                <w:color w:val="212529"/>
                <w:sz w:val="28"/>
              </w:rPr>
              <w:t>100</w:t>
            </w:r>
          </w:p>
        </w:tc>
      </w:tr>
      <w:tr>
        <w:tc>
          <w:tcPr>
            <w:tcW w:type="dxa" w:w="1728"/>
          </w:tcPr>
          <w:p>
            <w:r>
              <w:rPr>
                <w:rFonts w:ascii="TH SarabunPSK" w:hAnsi="TH SarabunPSK" w:eastAsia="TH SarabunPSK" w:cs="TH SarabunPSK"/>
                <w:b/>
                <w:i w:val="0"/>
                <w:color w:val="212529"/>
                <w:sz w:val="28"/>
              </w:rPr>
              <w:t>Table 5.4</w:t>
            </w:r>
          </w:p>
        </w:tc>
        <w:tc>
          <w:tcPr>
            <w:tcW w:type="dxa" w:w="6192"/>
          </w:tcPr>
          <w:p>
            <w:r>
              <w:rPr>
                <w:rFonts w:ascii="TH SarabunPSK" w:hAnsi="TH SarabunPSK" w:eastAsia="TH SarabunPSK" w:cs="TH SarabunPSK"/>
                <w:b w:val="0"/>
                <w:i w:val="0"/>
                <w:color w:val="212529"/>
                <w:sz w:val="28"/>
              </w:rPr>
              <w:t>System Usability Scale (SUS) Quantitative Evaluation Results</w:t>
            </w:r>
          </w:p>
        </w:tc>
        <w:tc>
          <w:tcPr>
            <w:tcW w:type="dxa" w:w="1152"/>
          </w:tcPr>
          <w:p>
            <w:pPr>
              <w:jc w:val="right"/>
            </w:pPr>
            <w:r>
              <w:rPr>
                <w:rFonts w:ascii="TH SarabunPSK" w:hAnsi="TH SarabunPSK" w:eastAsia="TH SarabunPSK" w:cs="TH SarabunPSK"/>
                <w:b w:val="0"/>
                <w:i w:val="0"/>
                <w:color w:val="212529"/>
                <w:sz w:val="28"/>
              </w:rPr>
              <w:t>107</w:t>
            </w:r>
          </w:p>
        </w:tc>
      </w:tr>
    </w:tbl>
    <w:p>
      <w:pPr>
        <w:spacing w:before="480" w:after="360" w:line="276" w:lineRule="auto"/>
        <w:jc w:val="center"/>
      </w:pPr>
      <w:r>
        <w:rPr>
          <w:rFonts w:ascii="TH SarabunPSK" w:hAnsi="TH SarabunPSK" w:eastAsia="TH SarabunPSK" w:cs="TH SarabunPSK"/>
          <w:b/>
          <w:i w:val="0"/>
          <w:color w:val="212529"/>
          <w:sz w:val="36"/>
        </w:rPr>
        <w:br/>
        <w:t>LIST OF FIGURES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2770"/>
        <w:gridCol w:w="2770"/>
        <w:gridCol w:w="2770"/>
      </w:tblGrid>
      <w:tr>
        <w:tc>
          <w:tcPr>
            <w:tcW w:type="dxa" w:w="2770"/>
          </w:tcPr>
          <w:p/>
        </w:tc>
        <w:tc>
          <w:tcPr>
            <w:tcW w:type="dxa" w:w="2770"/>
          </w:tcPr>
          <w:p/>
        </w:tc>
        <w:tc>
          <w:tcPr>
            <w:tcW w:type="dxa" w:w="2770"/>
          </w:tcPr>
          <w:p/>
        </w:tc>
      </w:tr>
      <w:tr>
        <w:tc>
          <w:tcPr>
            <w:tcW w:type="dxa" w:w="1728"/>
          </w:tcPr>
          <w:p>
            <w:r>
              <w:rPr>
                <w:rFonts w:ascii="TH SarabunPSK" w:hAnsi="TH SarabunPSK" w:eastAsia="TH SarabunPSK" w:cs="TH SarabunPSK"/>
                <w:b/>
                <w:i w:val="0"/>
                <w:color w:val="212529"/>
                <w:sz w:val="28"/>
              </w:rPr>
              <w:t>Figure 3.1</w:t>
            </w:r>
          </w:p>
        </w:tc>
        <w:tc>
          <w:tcPr>
            <w:tcW w:type="dxa" w:w="6192"/>
          </w:tcPr>
          <w:p>
            <w:r>
              <w:rPr>
                <w:rFonts w:ascii="TH SarabunPSK" w:hAnsi="TH SarabunPSK" w:eastAsia="TH SarabunPSK" w:cs="TH SarabunPSK"/>
                <w:b w:val="0"/>
                <w:i w:val="0"/>
                <w:color w:val="212529"/>
                <w:sz w:val="28"/>
              </w:rPr>
              <w:t>CyberCase Multi-Tier System Topology and Service Boundaries</w:t>
            </w:r>
          </w:p>
        </w:tc>
        <w:tc>
          <w:tcPr>
            <w:tcW w:type="dxa" w:w="1152"/>
          </w:tcPr>
          <w:p>
            <w:pPr>
              <w:jc w:val="right"/>
            </w:pPr>
            <w:r>
              <w:rPr>
                <w:rFonts w:ascii="TH SarabunPSK" w:hAnsi="TH SarabunPSK" w:eastAsia="TH SarabunPSK" w:cs="TH SarabunPSK"/>
                <w:b w:val="0"/>
                <w:i w:val="0"/>
                <w:color w:val="212529"/>
                <w:sz w:val="28"/>
              </w:rPr>
              <w:t>32</w:t>
            </w:r>
          </w:p>
        </w:tc>
      </w:tr>
      <w:tr>
        <w:tc>
          <w:tcPr>
            <w:tcW w:type="dxa" w:w="1728"/>
          </w:tcPr>
          <w:p>
            <w:r>
              <w:rPr>
                <w:rFonts w:ascii="TH SarabunPSK" w:hAnsi="TH SarabunPSK" w:eastAsia="TH SarabunPSK" w:cs="TH SarabunPSK"/>
                <w:b/>
                <w:i w:val="0"/>
                <w:color w:val="212529"/>
                <w:sz w:val="28"/>
              </w:rPr>
              <w:t>Figure 3.2</w:t>
            </w:r>
          </w:p>
        </w:tc>
        <w:tc>
          <w:tcPr>
            <w:tcW w:type="dxa" w:w="6192"/>
          </w:tcPr>
          <w:p>
            <w:r>
              <w:rPr>
                <w:rFonts w:ascii="TH SarabunPSK" w:hAnsi="TH SarabunPSK" w:eastAsia="TH SarabunPSK" w:cs="TH SarabunPSK"/>
                <w:b w:val="0"/>
                <w:i w:val="0"/>
                <w:color w:val="212529"/>
                <w:sz w:val="28"/>
              </w:rPr>
              <w:t>UML Use Case Diagram Illustrating Analyst Interactions</w:t>
            </w:r>
          </w:p>
        </w:tc>
        <w:tc>
          <w:tcPr>
            <w:tcW w:type="dxa" w:w="1152"/>
          </w:tcPr>
          <w:p>
            <w:pPr>
              <w:jc w:val="right"/>
            </w:pPr>
            <w:r>
              <w:rPr>
                <w:rFonts w:ascii="TH SarabunPSK" w:hAnsi="TH SarabunPSK" w:eastAsia="TH SarabunPSK" w:cs="TH SarabunPSK"/>
                <w:b w:val="0"/>
                <w:i w:val="0"/>
                <w:color w:val="212529"/>
                <w:sz w:val="28"/>
              </w:rPr>
              <w:t>29</w:t>
            </w:r>
          </w:p>
        </w:tc>
      </w:tr>
      <w:tr>
        <w:tc>
          <w:tcPr>
            <w:tcW w:type="dxa" w:w="1728"/>
          </w:tcPr>
          <w:p>
            <w:r>
              <w:rPr>
                <w:rFonts w:ascii="TH SarabunPSK" w:hAnsi="TH SarabunPSK" w:eastAsia="TH SarabunPSK" w:cs="TH SarabunPSK"/>
                <w:b/>
                <w:i w:val="0"/>
                <w:color w:val="212529"/>
                <w:sz w:val="28"/>
              </w:rPr>
              <w:t>Figure 3.3</w:t>
            </w:r>
          </w:p>
        </w:tc>
        <w:tc>
          <w:tcPr>
            <w:tcW w:type="dxa" w:w="6192"/>
          </w:tcPr>
          <w:p>
            <w:r>
              <w:rPr>
                <w:rFonts w:ascii="TH SarabunPSK" w:hAnsi="TH SarabunPSK" w:eastAsia="TH SarabunPSK" w:cs="TH SarabunPSK"/>
                <w:b w:val="0"/>
                <w:i w:val="0"/>
                <w:color w:val="212529"/>
                <w:sz w:val="28"/>
              </w:rPr>
              <w:t>Evidence Trust Boundary and Authority Demarcation Workflow</w:t>
            </w:r>
          </w:p>
        </w:tc>
        <w:tc>
          <w:tcPr>
            <w:tcW w:type="dxa" w:w="1152"/>
          </w:tcPr>
          <w:p>
            <w:pPr>
              <w:jc w:val="right"/>
            </w:pPr>
            <w:r>
              <w:rPr>
                <w:rFonts w:ascii="TH SarabunPSK" w:hAnsi="TH SarabunPSK" w:eastAsia="TH SarabunPSK" w:cs="TH SarabunPSK"/>
                <w:b w:val="0"/>
                <w:i w:val="0"/>
                <w:color w:val="212529"/>
                <w:sz w:val="28"/>
              </w:rPr>
              <w:t>37</w:t>
            </w:r>
          </w:p>
        </w:tc>
      </w:tr>
      <w:tr>
        <w:tc>
          <w:tcPr>
            <w:tcW w:type="dxa" w:w="1728"/>
          </w:tcPr>
          <w:p>
            <w:r>
              <w:rPr>
                <w:rFonts w:ascii="TH SarabunPSK" w:hAnsi="TH SarabunPSK" w:eastAsia="TH SarabunPSK" w:cs="TH SarabunPSK"/>
                <w:b/>
                <w:i w:val="0"/>
                <w:color w:val="212529"/>
                <w:sz w:val="28"/>
              </w:rPr>
              <w:t>Figure 3.4</w:t>
            </w:r>
          </w:p>
        </w:tc>
        <w:tc>
          <w:tcPr>
            <w:tcW w:type="dxa" w:w="6192"/>
          </w:tcPr>
          <w:p>
            <w:r>
              <w:rPr>
                <w:rFonts w:ascii="TH SarabunPSK" w:hAnsi="TH SarabunPSK" w:eastAsia="TH SarabunPSK" w:cs="TH SarabunPSK"/>
                <w:b w:val="0"/>
                <w:i w:val="0"/>
                <w:color w:val="212529"/>
                <w:sz w:val="28"/>
              </w:rPr>
              <w:t>Main Case Analysis and AnalysisTrace v3 Construction Pipeline</w:t>
            </w:r>
          </w:p>
        </w:tc>
        <w:tc>
          <w:tcPr>
            <w:tcW w:type="dxa" w:w="1152"/>
          </w:tcPr>
          <w:p>
            <w:pPr>
              <w:jc w:val="right"/>
            </w:pPr>
            <w:r>
              <w:rPr>
                <w:rFonts w:ascii="TH SarabunPSK" w:hAnsi="TH SarabunPSK" w:eastAsia="TH SarabunPSK" w:cs="TH SarabunPSK"/>
                <w:b w:val="0"/>
                <w:i w:val="0"/>
                <w:color w:val="212529"/>
                <w:sz w:val="28"/>
              </w:rPr>
              <w:t>38</w:t>
            </w:r>
          </w:p>
        </w:tc>
      </w:tr>
      <w:tr>
        <w:tc>
          <w:tcPr>
            <w:tcW w:type="dxa" w:w="1728"/>
          </w:tcPr>
          <w:p>
            <w:r>
              <w:rPr>
                <w:rFonts w:ascii="TH SarabunPSK" w:hAnsi="TH SarabunPSK" w:eastAsia="TH SarabunPSK" w:cs="TH SarabunPSK"/>
                <w:b/>
                <w:i w:val="0"/>
                <w:color w:val="212529"/>
                <w:sz w:val="28"/>
              </w:rPr>
              <w:t>Figure 3.5</w:t>
            </w:r>
          </w:p>
        </w:tc>
        <w:tc>
          <w:tcPr>
            <w:tcW w:type="dxa" w:w="6192"/>
          </w:tcPr>
          <w:p>
            <w:r>
              <w:rPr>
                <w:rFonts w:ascii="TH SarabunPSK" w:hAnsi="TH SarabunPSK" w:eastAsia="TH SarabunPSK" w:cs="TH SarabunPSK"/>
                <w:b w:val="0"/>
                <w:i w:val="0"/>
                <w:color w:val="212529"/>
                <w:sz w:val="28"/>
              </w:rPr>
              <w:t>Schema-Gated Gap Analysis and Targeted Follow-up Decision Flow</w:t>
            </w:r>
          </w:p>
        </w:tc>
        <w:tc>
          <w:tcPr>
            <w:tcW w:type="dxa" w:w="1152"/>
          </w:tcPr>
          <w:p>
            <w:pPr>
              <w:jc w:val="right"/>
            </w:pPr>
            <w:r>
              <w:rPr>
                <w:rFonts w:ascii="TH SarabunPSK" w:hAnsi="TH SarabunPSK" w:eastAsia="TH SarabunPSK" w:cs="TH SarabunPSK"/>
                <w:b w:val="0"/>
                <w:i w:val="0"/>
                <w:color w:val="212529"/>
                <w:sz w:val="28"/>
              </w:rPr>
              <w:t>41</w:t>
            </w:r>
          </w:p>
        </w:tc>
      </w:tr>
      <w:tr>
        <w:tc>
          <w:tcPr>
            <w:tcW w:type="dxa" w:w="1728"/>
          </w:tcPr>
          <w:p>
            <w:r>
              <w:rPr>
                <w:rFonts w:ascii="TH SarabunPSK" w:hAnsi="TH SarabunPSK" w:eastAsia="TH SarabunPSK" w:cs="TH SarabunPSK"/>
                <w:b/>
                <w:i w:val="0"/>
                <w:color w:val="212529"/>
                <w:sz w:val="28"/>
              </w:rPr>
              <w:t>Figure 3.6</w:t>
            </w:r>
          </w:p>
        </w:tc>
        <w:tc>
          <w:tcPr>
            <w:tcW w:type="dxa" w:w="6192"/>
          </w:tcPr>
          <w:p>
            <w:r>
              <w:rPr>
                <w:rFonts w:ascii="TH SarabunPSK" w:hAnsi="TH SarabunPSK" w:eastAsia="TH SarabunPSK" w:cs="TH SarabunPSK"/>
                <w:b w:val="0"/>
                <w:i w:val="0"/>
                <w:color w:val="212529"/>
                <w:sz w:val="28"/>
              </w:rPr>
              <w:t>External RAG Service REST Integration and Technical Context Ingestion</w:t>
            </w:r>
          </w:p>
        </w:tc>
        <w:tc>
          <w:tcPr>
            <w:tcW w:type="dxa" w:w="1152"/>
          </w:tcPr>
          <w:p>
            <w:pPr>
              <w:jc w:val="right"/>
            </w:pPr>
            <w:r>
              <w:rPr>
                <w:rFonts w:ascii="TH SarabunPSK" w:hAnsi="TH SarabunPSK" w:eastAsia="TH SarabunPSK" w:cs="TH SarabunPSK"/>
                <w:b w:val="0"/>
                <w:i w:val="0"/>
                <w:color w:val="212529"/>
                <w:sz w:val="28"/>
              </w:rPr>
              <w:t>43</w:t>
            </w:r>
          </w:p>
        </w:tc>
      </w:tr>
      <w:tr>
        <w:tc>
          <w:tcPr>
            <w:tcW w:type="dxa" w:w="1728"/>
          </w:tcPr>
          <w:p>
            <w:r>
              <w:rPr>
                <w:rFonts w:ascii="TH SarabunPSK" w:hAnsi="TH SarabunPSK" w:eastAsia="TH SarabunPSK" w:cs="TH SarabunPSK"/>
                <w:b/>
                <w:i w:val="0"/>
                <w:color w:val="212529"/>
                <w:sz w:val="28"/>
              </w:rPr>
              <w:t>Figure 3.7</w:t>
            </w:r>
          </w:p>
        </w:tc>
        <w:tc>
          <w:tcPr>
            <w:tcW w:type="dxa" w:w="6192"/>
          </w:tcPr>
          <w:p>
            <w:r>
              <w:rPr>
                <w:rFonts w:ascii="TH SarabunPSK" w:hAnsi="TH SarabunPSK" w:eastAsia="TH SarabunPSK" w:cs="TH SarabunPSK"/>
                <w:b w:val="0"/>
                <w:i w:val="0"/>
                <w:color w:val="212529"/>
                <w:sz w:val="28"/>
              </w:rPr>
              <w:t>Deterministic 7-Part Forensic Report Generation Pipeline</w:t>
            </w:r>
          </w:p>
        </w:tc>
        <w:tc>
          <w:tcPr>
            <w:tcW w:type="dxa" w:w="1152"/>
          </w:tcPr>
          <w:p>
            <w:pPr>
              <w:jc w:val="right"/>
            </w:pPr>
            <w:r>
              <w:rPr>
                <w:rFonts w:ascii="TH SarabunPSK" w:hAnsi="TH SarabunPSK" w:eastAsia="TH SarabunPSK" w:cs="TH SarabunPSK"/>
                <w:b w:val="0"/>
                <w:i w:val="0"/>
                <w:color w:val="212529"/>
                <w:sz w:val="28"/>
              </w:rPr>
              <w:t>45</w:t>
            </w:r>
          </w:p>
        </w:tc>
      </w:tr>
      <w:tr>
        <w:tc>
          <w:tcPr>
            <w:tcW w:type="dxa" w:w="1728"/>
          </w:tcPr>
          <w:p>
            <w:r>
              <w:rPr>
                <w:rFonts w:ascii="TH SarabunPSK" w:hAnsi="TH SarabunPSK" w:eastAsia="TH SarabunPSK" w:cs="TH SarabunPSK"/>
                <w:b/>
                <w:i w:val="0"/>
                <w:color w:val="212529"/>
                <w:sz w:val="28"/>
              </w:rPr>
              <w:t>Figure 3.8</w:t>
            </w:r>
          </w:p>
        </w:tc>
        <w:tc>
          <w:tcPr>
            <w:tcW w:type="dxa" w:w="6192"/>
          </w:tcPr>
          <w:p>
            <w:r>
              <w:rPr>
                <w:rFonts w:ascii="TH SarabunPSK" w:hAnsi="TH SarabunPSK" w:eastAsia="TH SarabunPSK" w:cs="TH SarabunPSK"/>
                <w:b w:val="0"/>
                <w:i w:val="0"/>
                <w:color w:val="212529"/>
                <w:sz w:val="28"/>
              </w:rPr>
              <w:t>Relational Database Entity-Relationship (ER) Diagram</w:t>
            </w:r>
          </w:p>
        </w:tc>
        <w:tc>
          <w:tcPr>
            <w:tcW w:type="dxa" w:w="1152"/>
          </w:tcPr>
          <w:p>
            <w:pPr>
              <w:jc w:val="right"/>
            </w:pPr>
            <w:r>
              <w:rPr>
                <w:rFonts w:ascii="TH SarabunPSK" w:hAnsi="TH SarabunPSK" w:eastAsia="TH SarabunPSK" w:cs="TH SarabunPSK"/>
                <w:b w:val="0"/>
                <w:i w:val="0"/>
                <w:color w:val="212529"/>
                <w:sz w:val="28"/>
              </w:rPr>
              <w:t>48</w:t>
            </w:r>
          </w:p>
        </w:tc>
      </w:tr>
      <w:tr>
        <w:tc>
          <w:tcPr>
            <w:tcW w:type="dxa" w:w="1728"/>
          </w:tcPr>
          <w:p>
            <w:r>
              <w:rPr>
                <w:rFonts w:ascii="TH SarabunPSK" w:hAnsi="TH SarabunPSK" w:eastAsia="TH SarabunPSK" w:cs="TH SarabunPSK"/>
                <w:b/>
                <w:i w:val="0"/>
                <w:color w:val="212529"/>
                <w:sz w:val="28"/>
              </w:rPr>
              <w:t>Figure 3.9</w:t>
            </w:r>
          </w:p>
        </w:tc>
        <w:tc>
          <w:tcPr>
            <w:tcW w:type="dxa" w:w="6192"/>
          </w:tcPr>
          <w:p>
            <w:r>
              <w:rPr>
                <w:rFonts w:ascii="TH SarabunPSK" w:hAnsi="TH SarabunPSK" w:eastAsia="TH SarabunPSK" w:cs="TH SarabunPSK"/>
                <w:b w:val="0"/>
                <w:i w:val="0"/>
                <w:color w:val="212529"/>
                <w:sz w:val="28"/>
              </w:rPr>
              <w:t>UML Sequence Diagram for Fresh Case Analysis and Session Persistence</w:t>
            </w:r>
          </w:p>
        </w:tc>
        <w:tc>
          <w:tcPr>
            <w:tcW w:type="dxa" w:w="1152"/>
          </w:tcPr>
          <w:p>
            <w:pPr>
              <w:jc w:val="right"/>
            </w:pPr>
            <w:r>
              <w:rPr>
                <w:rFonts w:ascii="TH SarabunPSK" w:hAnsi="TH SarabunPSK" w:eastAsia="TH SarabunPSK" w:cs="TH SarabunPSK"/>
                <w:b w:val="0"/>
                <w:i w:val="0"/>
                <w:color w:val="212529"/>
                <w:sz w:val="28"/>
              </w:rPr>
              <w:t>50</w:t>
            </w:r>
          </w:p>
        </w:tc>
      </w:tr>
      <w:tr>
        <w:tc>
          <w:tcPr>
            <w:tcW w:type="dxa" w:w="1728"/>
          </w:tcPr>
          <w:p>
            <w:r>
              <w:rPr>
                <w:rFonts w:ascii="TH SarabunPSK" w:hAnsi="TH SarabunPSK" w:eastAsia="TH SarabunPSK" w:cs="TH SarabunPSK"/>
                <w:b/>
                <w:i w:val="0"/>
                <w:color w:val="212529"/>
                <w:sz w:val="28"/>
              </w:rPr>
              <w:t>Figure 3.10</w:t>
            </w:r>
          </w:p>
        </w:tc>
        <w:tc>
          <w:tcPr>
            <w:tcW w:type="dxa" w:w="6192"/>
          </w:tcPr>
          <w:p>
            <w:r>
              <w:rPr>
                <w:rFonts w:ascii="TH SarabunPSK" w:hAnsi="TH SarabunPSK" w:eastAsia="TH SarabunPSK" w:cs="TH SarabunPSK"/>
                <w:b w:val="0"/>
                <w:i w:val="0"/>
                <w:color w:val="212529"/>
                <w:sz w:val="28"/>
              </w:rPr>
              <w:t>UML Sequence Diagram for Interactive Follow-up Clarification</w:t>
            </w:r>
          </w:p>
        </w:tc>
        <w:tc>
          <w:tcPr>
            <w:tcW w:type="dxa" w:w="1152"/>
          </w:tcPr>
          <w:p>
            <w:pPr>
              <w:jc w:val="right"/>
            </w:pPr>
            <w:r>
              <w:rPr>
                <w:rFonts w:ascii="TH SarabunPSK" w:hAnsi="TH SarabunPSK" w:eastAsia="TH SarabunPSK" w:cs="TH SarabunPSK"/>
                <w:b w:val="0"/>
                <w:i w:val="0"/>
                <w:color w:val="212529"/>
                <w:sz w:val="28"/>
              </w:rPr>
              <w:t>50</w:t>
            </w:r>
          </w:p>
        </w:tc>
      </w:tr>
      <w:tr>
        <w:tc>
          <w:tcPr>
            <w:tcW w:type="dxa" w:w="1728"/>
          </w:tcPr>
          <w:p>
            <w:r>
              <w:rPr>
                <w:rFonts w:ascii="TH SarabunPSK" w:hAnsi="TH SarabunPSK" w:eastAsia="TH SarabunPSK" w:cs="TH SarabunPSK"/>
                <w:b/>
                <w:i w:val="0"/>
                <w:color w:val="212529"/>
                <w:sz w:val="28"/>
              </w:rPr>
              <w:t>Figure 5.1</w:t>
            </w:r>
          </w:p>
        </w:tc>
        <w:tc>
          <w:tcPr>
            <w:tcW w:type="dxa" w:w="6192"/>
          </w:tcPr>
          <w:p>
            <w:r>
              <w:rPr>
                <w:rFonts w:ascii="TH SarabunPSK" w:hAnsi="TH SarabunPSK" w:eastAsia="TH SarabunPSK" w:cs="TH SarabunPSK"/>
                <w:b w:val="0"/>
                <w:i w:val="0"/>
                <w:color w:val="212529"/>
                <w:sz w:val="28"/>
              </w:rPr>
              <w:t>CyberCase Case Intake and Incident Submission Interface</w:t>
            </w:r>
          </w:p>
        </w:tc>
        <w:tc>
          <w:tcPr>
            <w:tcW w:type="dxa" w:w="1152"/>
          </w:tcPr>
          <w:p>
            <w:pPr>
              <w:jc w:val="right"/>
            </w:pPr>
            <w:r>
              <w:rPr>
                <w:rFonts w:ascii="TH SarabunPSK" w:hAnsi="TH SarabunPSK" w:eastAsia="TH SarabunPSK" w:cs="TH SarabunPSK"/>
                <w:b w:val="0"/>
                <w:i w:val="0"/>
                <w:color w:val="212529"/>
                <w:sz w:val="28"/>
              </w:rPr>
              <w:t>88</w:t>
            </w:r>
          </w:p>
        </w:tc>
      </w:tr>
      <w:tr>
        <w:tc>
          <w:tcPr>
            <w:tcW w:type="dxa" w:w="1728"/>
          </w:tcPr>
          <w:p>
            <w:r>
              <w:rPr>
                <w:rFonts w:ascii="TH SarabunPSK" w:hAnsi="TH SarabunPSK" w:eastAsia="TH SarabunPSK" w:cs="TH SarabunPSK"/>
                <w:b/>
                <w:i w:val="0"/>
                <w:color w:val="212529"/>
                <w:sz w:val="28"/>
              </w:rPr>
              <w:t>Figure 5.2</w:t>
            </w:r>
          </w:p>
        </w:tc>
        <w:tc>
          <w:tcPr>
            <w:tcW w:type="dxa" w:w="6192"/>
          </w:tcPr>
          <w:p>
            <w:r>
              <w:rPr>
                <w:rFonts w:ascii="TH SarabunPSK" w:hAnsi="TH SarabunPSK" w:eastAsia="TH SarabunPSK" w:cs="TH SarabunPSK"/>
                <w:b w:val="0"/>
                <w:i w:val="0"/>
                <w:color w:val="212529"/>
                <w:sz w:val="28"/>
              </w:rPr>
              <w:t>Interactive Case Review and Overview Dashboard</w:t>
            </w:r>
          </w:p>
        </w:tc>
        <w:tc>
          <w:tcPr>
            <w:tcW w:type="dxa" w:w="1152"/>
          </w:tcPr>
          <w:p>
            <w:pPr>
              <w:jc w:val="right"/>
            </w:pPr>
            <w:r>
              <w:rPr>
                <w:rFonts w:ascii="TH SarabunPSK" w:hAnsi="TH SarabunPSK" w:eastAsia="TH SarabunPSK" w:cs="TH SarabunPSK"/>
                <w:b w:val="0"/>
                <w:i w:val="0"/>
                <w:color w:val="212529"/>
                <w:sz w:val="28"/>
              </w:rPr>
              <w:t>89</w:t>
            </w:r>
          </w:p>
        </w:tc>
      </w:tr>
      <w:tr>
        <w:tc>
          <w:tcPr>
            <w:tcW w:type="dxa" w:w="1728"/>
          </w:tcPr>
          <w:p>
            <w:r>
              <w:rPr>
                <w:rFonts w:ascii="TH SarabunPSK" w:hAnsi="TH SarabunPSK" w:eastAsia="TH SarabunPSK" w:cs="TH SarabunPSK"/>
                <w:b/>
                <w:i w:val="0"/>
                <w:color w:val="212529"/>
                <w:sz w:val="28"/>
              </w:rPr>
              <w:t>Figure 5.3</w:t>
            </w:r>
          </w:p>
        </w:tc>
        <w:tc>
          <w:tcPr>
            <w:tcW w:type="dxa" w:w="6192"/>
          </w:tcPr>
          <w:p>
            <w:r>
              <w:rPr>
                <w:rFonts w:ascii="TH SarabunPSK" w:hAnsi="TH SarabunPSK" w:eastAsia="TH SarabunPSK" w:cs="TH SarabunPSK"/>
                <w:b w:val="0"/>
                <w:i w:val="0"/>
                <w:color w:val="212529"/>
                <w:sz w:val="28"/>
              </w:rPr>
              <w:t>Case Materials Inspection and Evidence Snapshot Viewer</w:t>
            </w:r>
          </w:p>
        </w:tc>
        <w:tc>
          <w:tcPr>
            <w:tcW w:type="dxa" w:w="1152"/>
          </w:tcPr>
          <w:p>
            <w:pPr>
              <w:jc w:val="right"/>
            </w:pPr>
            <w:r>
              <w:rPr>
                <w:rFonts w:ascii="TH SarabunPSK" w:hAnsi="TH SarabunPSK" w:eastAsia="TH SarabunPSK" w:cs="TH SarabunPSK"/>
                <w:b w:val="0"/>
                <w:i w:val="0"/>
                <w:color w:val="212529"/>
                <w:sz w:val="28"/>
              </w:rPr>
              <w:t>90</w:t>
            </w:r>
          </w:p>
        </w:tc>
      </w:tr>
      <w:tr>
        <w:tc>
          <w:tcPr>
            <w:tcW w:type="dxa" w:w="1728"/>
          </w:tcPr>
          <w:p>
            <w:r>
              <w:rPr>
                <w:rFonts w:ascii="TH SarabunPSK" w:hAnsi="TH SarabunPSK" w:eastAsia="TH SarabunPSK" w:cs="TH SarabunPSK"/>
                <w:b/>
                <w:i w:val="0"/>
                <w:color w:val="212529"/>
                <w:sz w:val="28"/>
              </w:rPr>
              <w:t>Figure 5.4</w:t>
            </w:r>
          </w:p>
        </w:tc>
        <w:tc>
          <w:tcPr>
            <w:tcW w:type="dxa" w:w="6192"/>
          </w:tcPr>
          <w:p>
            <w:r>
              <w:rPr>
                <w:rFonts w:ascii="TH SarabunPSK" w:hAnsi="TH SarabunPSK" w:eastAsia="TH SarabunPSK" w:cs="TH SarabunPSK"/>
                <w:b w:val="0"/>
                <w:i w:val="0"/>
                <w:color w:val="212529"/>
                <w:sz w:val="28"/>
              </w:rPr>
              <w:t>Technical Context Explorer with MITRE ATT&amp;CK Embeddings</w:t>
            </w:r>
          </w:p>
        </w:tc>
        <w:tc>
          <w:tcPr>
            <w:tcW w:type="dxa" w:w="1152"/>
          </w:tcPr>
          <w:p>
            <w:pPr>
              <w:jc w:val="right"/>
            </w:pPr>
            <w:r>
              <w:rPr>
                <w:rFonts w:ascii="TH SarabunPSK" w:hAnsi="TH SarabunPSK" w:eastAsia="TH SarabunPSK" w:cs="TH SarabunPSK"/>
                <w:b w:val="0"/>
                <w:i w:val="0"/>
                <w:color w:val="212529"/>
                <w:sz w:val="28"/>
              </w:rPr>
              <w:t>91</w:t>
            </w:r>
          </w:p>
        </w:tc>
      </w:tr>
      <w:tr>
        <w:tc>
          <w:tcPr>
            <w:tcW w:type="dxa" w:w="1728"/>
          </w:tcPr>
          <w:p>
            <w:r>
              <w:rPr>
                <w:rFonts w:ascii="TH SarabunPSK" w:hAnsi="TH SarabunPSK" w:eastAsia="TH SarabunPSK" w:cs="TH SarabunPSK"/>
                <w:b/>
                <w:i w:val="0"/>
                <w:color w:val="212529"/>
                <w:sz w:val="28"/>
              </w:rPr>
              <w:t>Figure 5.5</w:t>
            </w:r>
          </w:p>
        </w:tc>
        <w:tc>
          <w:tcPr>
            <w:tcW w:type="dxa" w:w="6192"/>
          </w:tcPr>
          <w:p>
            <w:r>
              <w:rPr>
                <w:rFonts w:ascii="TH SarabunPSK" w:hAnsi="TH SarabunPSK" w:eastAsia="TH SarabunPSK" w:cs="TH SarabunPSK"/>
                <w:b w:val="0"/>
                <w:i w:val="0"/>
                <w:color w:val="212529"/>
                <w:sz w:val="28"/>
              </w:rPr>
              <w:t>Standardized Seven-Part Forensic Dossier Viewer</w:t>
            </w:r>
          </w:p>
        </w:tc>
        <w:tc>
          <w:tcPr>
            <w:tcW w:type="dxa" w:w="1152"/>
          </w:tcPr>
          <w:p>
            <w:pPr>
              <w:jc w:val="right"/>
            </w:pPr>
            <w:r>
              <w:rPr>
                <w:rFonts w:ascii="TH SarabunPSK" w:hAnsi="TH SarabunPSK" w:eastAsia="TH SarabunPSK" w:cs="TH SarabunPSK"/>
                <w:b w:val="0"/>
                <w:i w:val="0"/>
                <w:color w:val="212529"/>
                <w:sz w:val="28"/>
              </w:rPr>
              <w:t>92</w:t>
            </w:r>
          </w:p>
        </w:tc>
      </w:tr>
      <w:tr>
        <w:tc>
          <w:tcPr>
            <w:tcW w:type="dxa" w:w="1728"/>
          </w:tcPr>
          <w:p>
            <w:r>
              <w:rPr>
                <w:rFonts w:ascii="TH SarabunPSK" w:hAnsi="TH SarabunPSK" w:eastAsia="TH SarabunPSK" w:cs="TH SarabunPSK"/>
                <w:b/>
                <w:i w:val="0"/>
                <w:color w:val="212529"/>
                <w:sz w:val="28"/>
              </w:rPr>
              <w:t>Figure 5.6</w:t>
            </w:r>
          </w:p>
        </w:tc>
        <w:tc>
          <w:tcPr>
            <w:tcW w:type="dxa" w:w="6192"/>
          </w:tcPr>
          <w:p>
            <w:r>
              <w:rPr>
                <w:rFonts w:ascii="TH SarabunPSK" w:hAnsi="TH SarabunPSK" w:eastAsia="TH SarabunPSK" w:cs="TH SarabunPSK"/>
                <w:b w:val="0"/>
                <w:i w:val="0"/>
                <w:color w:val="212529"/>
                <w:sz w:val="28"/>
              </w:rPr>
              <w:t>Automated Pytest Test Execution Output Summary</w:t>
            </w:r>
          </w:p>
        </w:tc>
        <w:tc>
          <w:tcPr>
            <w:tcW w:type="dxa" w:w="1152"/>
          </w:tcPr>
          <w:p>
            <w:pPr>
              <w:jc w:val="right"/>
            </w:pPr>
            <w:r>
              <w:rPr>
                <w:rFonts w:ascii="TH SarabunPSK" w:hAnsi="TH SarabunPSK" w:eastAsia="TH SarabunPSK" w:cs="TH SarabunPSK"/>
                <w:b w:val="0"/>
                <w:i w:val="0"/>
                <w:color w:val="212529"/>
                <w:sz w:val="28"/>
              </w:rPr>
              <w:t>98</w:t>
            </w:r>
          </w:p>
        </w:tc>
      </w:tr>
    </w:tbl>
    <w:p>
      <w:r>
        <w:br w:type="page"/>
      </w:r>
    </w:p>
    <w:p>
      <w:pPr>
        <w:keepNext/>
        <w:spacing w:before="440" w:after="280"/>
        <w:jc w:val="center"/>
      </w:pPr>
      <w:r>
        <w:rPr>
          <w:rFonts w:ascii="TH SarabunPSK" w:hAnsi="TH SarabunPSK" w:eastAsia="TH SarabunPSK" w:cs="TH SarabunPSK"/>
          <w:b/>
          <w:i w:val="0"/>
          <w:color w:val="102C57"/>
          <w:sz w:val="40"/>
        </w:rPr>
        <w:t>Chapter 1</w:t>
        <w:br/>
        <w:t>Introduction</w:t>
      </w:r>
    </w:p>
    <w:p>
      <w:pPr>
        <w:keepNext/>
        <w:spacing w:before="280" w:after="120"/>
        <w:jc w:val="left"/>
      </w:pPr>
      <w:r>
        <w:rPr>
          <w:rFonts w:ascii="TH SarabunPSK" w:hAnsi="TH SarabunPSK" w:eastAsia="TH SarabunPSK" w:cs="TH SarabunPSK"/>
          <w:b/>
          <w:i w:val="0"/>
          <w:color w:val="102C57"/>
          <w:sz w:val="34"/>
        </w:rPr>
        <w:t>1.1 Background and Importance of the Project</w:t>
      </w:r>
    </w:p>
    <w:p>
      <w:pPr>
        <w:spacing w:before="0" w:after="120" w:line="276" w:lineRule="auto"/>
        <w:jc w:val="both"/>
      </w:pPr>
      <w:r>
        <w:rPr>
          <w:rFonts w:ascii="TH SarabunPSK" w:hAnsi="TH SarabunPSK" w:eastAsia="TH SarabunPSK" w:cs="TH SarabunPSK"/>
          <w:b w:val="0"/>
          <w:i w:val="0"/>
          <w:color w:val="212529"/>
          <w:sz w:val="32"/>
        </w:rPr>
        <w:t>In the contemporary digital landscape, cybersecurity threats have escalated dramatically in both frequency and structural sophistication. Organizations across enterprise, governmental, and critical infrastructure sectors face persistent attacks orchestrated by Advanced Persistent Threat (APT) groups, organized ransomware syndicates, and state-sponsored adversaries. These threat actors leverage increasingly complex Tactics, Techniques, and Procedures (TTPs) to breach perimeters, evade detection, escalate privileges, and exfiltrate confidential assets. To counter these threats, security operations centers (SOCs) and incident response teams rely heavily on Cyber Threat Intelligence (CTI) frameworks, forensic artifact analysis, and structured taxonomies such as MITRE ATT&amp;CK.</w:t>
      </w:r>
    </w:p>
    <w:p>
      <w:pPr>
        <w:spacing w:before="0" w:after="120" w:line="276" w:lineRule="auto"/>
        <w:jc w:val="both"/>
      </w:pPr>
      <w:r>
        <w:rPr>
          <w:rFonts w:ascii="TH SarabunPSK" w:hAnsi="TH SarabunPSK" w:eastAsia="TH SarabunPSK" w:cs="TH SarabunPSK"/>
          <w:b w:val="0"/>
          <w:i w:val="0"/>
          <w:color w:val="212529"/>
          <w:sz w:val="32"/>
        </w:rPr>
        <w:t>However, modern incident response workflows suffer from profound operational bottlenecks. Primary among these is the sheer cognitive overhead and alert fatigue imposed on security analysts. Security analysts routinely process hundreds of fragmented, unstructured incident reports, firewall logs, authentication traces, and telemetry feeds each day. CTI documentation is notoriously dense, filled with specialized domain jargon that creates a steep barrier to entry for junior analysts and slows down crisis triage. Furthermore, manually synthesizing raw, incomplete incident evidence into comprehensive, standardized forensic dossiers requires extensive cross-referencing across external threat matrices—a laborious process vulnerable to human error, missed indicators of compromise (IOCs), and inconsistent reporting standards.</w:t>
      </w:r>
    </w:p>
    <w:p>
      <w:pPr>
        <w:spacing w:before="0" w:after="120" w:line="276" w:lineRule="auto"/>
        <w:jc w:val="both"/>
      </w:pPr>
      <w:r>
        <w:rPr>
          <w:rFonts w:ascii="TH SarabunPSK" w:hAnsi="TH SarabunPSK" w:eastAsia="TH SarabunPSK" w:cs="TH SarabunPSK"/>
          <w:b w:val="0"/>
          <w:i w:val="0"/>
          <w:color w:val="212529"/>
          <w:sz w:val="32"/>
        </w:rPr>
        <w:t>The recent emergence of generative artificial intelligence (AI) and Large Language Models (LLMs) offers substantial promise for automating and augmenting analytical workflows. By pairing LLMs with specialized backend orchestration and modern web interfaces, systems can assist analysts in interpreting complex incident narratives. Despite these technological capabilities, applying general-purpose LLMs directly to cybersecurity incident analysis introduces grave risks. Standard LLMs operate probabilistically and are inherently susceptible to hallucinations—generating fabricated technical claims, conflating external knowledge with unverified case facts, and misattributing adversary techniques. In digital forensics and legal incident response, an ungrounded claim or a false attribution can invalidate an entire investigation.</w:t>
      </w:r>
    </w:p>
    <w:p>
      <w:pPr>
        <w:spacing w:before="0" w:after="120" w:line="276" w:lineRule="auto"/>
        <w:jc w:val="both"/>
      </w:pPr>
      <w:r>
        <w:rPr>
          <w:rFonts w:ascii="TH SarabunPSK" w:hAnsi="TH SarabunPSK" w:eastAsia="TH SarabunPSK" w:cs="TH SarabunPSK"/>
          <w:b w:val="0"/>
          <w:i w:val="0"/>
          <w:color w:val="212529"/>
          <w:sz w:val="32"/>
        </w:rPr>
        <w:t>These critical challenges highlight the urgent need for a specialized, evidence-grounded full-stack web platform. Such a system must enforce an impermeable Evidence Trust Boundary, provide granular epistemic tracking of every analytical claim, support interactive Human-in-the-Loop (HITL) clarification to resolve evidentiary gaps, and compile deterministic, schema-compliant forensic reports without hallucinating unverified facts. This project introduces CyberCase to fulfill this critical operational need, with the author taking primary development responsibility for the Frontend web workspace, Backend orchestration engine, epistemic modeling pipelines, follow-up clarification engine, and report serialization system.</w:t>
      </w:r>
    </w:p>
    <w:p>
      <w:pPr>
        <w:keepNext/>
        <w:spacing w:before="280" w:after="120"/>
        <w:jc w:val="left"/>
      </w:pPr>
      <w:r>
        <w:rPr>
          <w:rFonts w:ascii="TH SarabunPSK" w:hAnsi="TH SarabunPSK" w:eastAsia="TH SarabunPSK" w:cs="TH SarabunPSK"/>
          <w:b/>
          <w:i w:val="0"/>
          <w:color w:val="102C57"/>
          <w:sz w:val="34"/>
        </w:rPr>
        <w:t>1.2 Project Objectives</w:t>
      </w:r>
    </w:p>
    <w:p>
      <w:pPr>
        <w:spacing w:before="0" w:after="120" w:line="276" w:lineRule="auto"/>
        <w:jc w:val="both"/>
      </w:pPr>
      <w:r>
        <w:rPr>
          <w:rFonts w:ascii="TH SarabunPSK" w:hAnsi="TH SarabunPSK" w:eastAsia="TH SarabunPSK" w:cs="TH SarabunPSK"/>
          <w:b w:val="0"/>
          <w:i w:val="0"/>
          <w:color w:val="212529"/>
          <w:sz w:val="32"/>
        </w:rPr>
        <w:t>This research project establishes three primary objectives focused on the engineering of the Frontend and Backend tiers:</w:t>
      </w:r>
    </w:p>
    <w:p>
      <w:pPr>
        <w:keepNext/>
        <w:spacing w:before="200" w:after="80"/>
        <w:jc w:val="left"/>
      </w:pPr>
      <w:r>
        <w:rPr>
          <w:rFonts w:ascii="TH SarabunPSK" w:hAnsi="TH SarabunPSK" w:eastAsia="TH SarabunPSK" w:cs="TH SarabunPSK"/>
          <w:b/>
          <w:i w:val="0"/>
          <w:color w:val="212529"/>
          <w:sz w:val="32"/>
        </w:rPr>
        <w:t>1.2.1 Develop an Evidence-Grounded Backend Case Analysis and Epistemic Tracking Engine</w:t>
      </w:r>
    </w:p>
    <w:p>
      <w:pPr>
        <w:spacing w:before="0" w:after="120" w:line="276" w:lineRule="auto"/>
        <w:jc w:val="both"/>
      </w:pPr>
      <w:r>
        <w:rPr>
          <w:rFonts w:ascii="TH SarabunPSK" w:hAnsi="TH SarabunPSK" w:eastAsia="TH SarabunPSK" w:cs="TH SarabunPSK"/>
          <w:b w:val="0"/>
          <w:i w:val="0"/>
          <w:color w:val="212529"/>
          <w:sz w:val="32"/>
        </w:rPr>
        <w:t>To engineer a robust FastAPI backend service capable of processing unstructured incident narratives, enforcing strict evidence provenance through cryptographic SHA-256 evidence hashing, categorizing analytical claims across six discrete epistemic states (FACTUAL, HYPOTHETICAL, UNCERTAIN, REFUTED, UNVERIFIED, INFERRED), and systematically detecting forensic information gaps across a standardized four-status gap taxonomy (NOT_PROVIDED, EXPLICITLY_UNKNOWN, AMBIGUOUS, CONFLICTING).</w:t>
      </w:r>
    </w:p>
    <w:p>
      <w:pPr>
        <w:keepNext/>
        <w:spacing w:before="200" w:after="80"/>
        <w:jc w:val="left"/>
      </w:pPr>
      <w:r>
        <w:rPr>
          <w:rFonts w:ascii="TH SarabunPSK" w:hAnsi="TH SarabunPSK" w:eastAsia="TH SarabunPSK" w:cs="TH SarabunPSK"/>
          <w:b/>
          <w:i w:val="0"/>
          <w:color w:val="212529"/>
          <w:sz w:val="32"/>
        </w:rPr>
        <w:t>1.2.2 Establish an Automated Schema-Compliant Forensic Report Serialization Engine</w:t>
      </w:r>
    </w:p>
    <w:p>
      <w:pPr>
        <w:spacing w:before="0" w:after="120" w:line="276" w:lineRule="auto"/>
        <w:jc w:val="both"/>
      </w:pPr>
      <w:r>
        <w:rPr>
          <w:rFonts w:ascii="TH SarabunPSK" w:hAnsi="TH SarabunPSK" w:eastAsia="TH SarabunPSK" w:cs="TH SarabunPSK"/>
          <w:b w:val="0"/>
          <w:i w:val="0"/>
          <w:color w:val="212529"/>
          <w:sz w:val="32"/>
        </w:rPr>
        <w:t>To design and implement a deterministic, template-driven report compiler within the backend that serializes verified incident facts, epistemic findings, and admitted MITRE ATT&amp;CK mappings into a rigid seven-part forensic dossier, ensuring complete reproducibility, zero synthetic hallucination, and absolute traceability to source evidence messages.</w:t>
      </w:r>
    </w:p>
    <w:p>
      <w:pPr>
        <w:keepNext/>
        <w:spacing w:before="200" w:after="80"/>
        <w:jc w:val="left"/>
      </w:pPr>
      <w:r>
        <w:rPr>
          <w:rFonts w:ascii="TH SarabunPSK" w:hAnsi="TH SarabunPSK" w:eastAsia="TH SarabunPSK" w:cs="TH SarabunPSK"/>
          <w:b/>
          <w:i w:val="0"/>
          <w:color w:val="212529"/>
          <w:sz w:val="32"/>
        </w:rPr>
        <w:t>1.2.3 Design and Implement a Specialized Frontend Web Workspace with Usability Benchmarking</w:t>
      </w:r>
    </w:p>
    <w:p>
      <w:pPr>
        <w:spacing w:before="0" w:after="120" w:line="276" w:lineRule="auto"/>
        <w:jc w:val="both"/>
      </w:pPr>
      <w:r>
        <w:rPr>
          <w:rFonts w:ascii="TH SarabunPSK" w:hAnsi="TH SarabunPSK" w:eastAsia="TH SarabunPSK" w:cs="TH SarabunPSK"/>
          <w:b w:val="0"/>
          <w:i w:val="0"/>
          <w:color w:val="212529"/>
          <w:sz w:val="32"/>
        </w:rPr>
        <w:t>To build a responsive, enterprise-grade web application using Next.js 16, React 19, and Tailwind CSS 4 that provides security investigators with dedicated diagnostic views for incident intake, multi-turn clarification chat, external intelligence exploration, and dossier management, empirically validated through formal usability evaluations with domain practitioners.</w:t>
      </w:r>
    </w:p>
    <w:p>
      <w:pPr>
        <w:keepNext/>
        <w:spacing w:before="280" w:after="120"/>
        <w:jc w:val="left"/>
      </w:pPr>
      <w:r>
        <w:rPr>
          <w:rFonts w:ascii="TH SarabunPSK" w:hAnsi="TH SarabunPSK" w:eastAsia="TH SarabunPSK" w:cs="TH SarabunPSK"/>
          <w:b/>
          <w:i w:val="0"/>
          <w:color w:val="102C57"/>
          <w:sz w:val="34"/>
        </w:rPr>
        <w:t>1.3 Scope of the Project (Frontend &amp; Backend Focus)</w:t>
      </w:r>
    </w:p>
    <w:p>
      <w:pPr>
        <w:spacing w:before="0" w:after="120" w:line="276" w:lineRule="auto"/>
        <w:jc w:val="both"/>
      </w:pPr>
      <w:r>
        <w:rPr>
          <w:rFonts w:ascii="TH SarabunPSK" w:hAnsi="TH SarabunPSK" w:eastAsia="TH SarabunPSK" w:cs="TH SarabunPSK"/>
          <w:b w:val="0"/>
          <w:i w:val="0"/>
          <w:color w:val="212529"/>
          <w:sz w:val="32"/>
        </w:rPr>
        <w:t>The candidate's individual engineering scope and project boundaries are demarcated as follows:</w:t>
      </w:r>
    </w:p>
    <w:p>
      <w:pPr>
        <w:keepNext/>
        <w:spacing w:before="200" w:after="80"/>
        <w:jc w:val="left"/>
      </w:pPr>
      <w:r>
        <w:rPr>
          <w:rFonts w:ascii="TH SarabunPSK" w:hAnsi="TH SarabunPSK" w:eastAsia="TH SarabunPSK" w:cs="TH SarabunPSK"/>
          <w:b/>
          <w:i w:val="0"/>
          <w:color w:val="212529"/>
          <w:sz w:val="32"/>
        </w:rPr>
        <w:t>1.3.1 In-Scope Development Responsibilities (Author's Scope)</w:t>
      </w:r>
    </w:p>
    <w:p>
      <w:pPr>
        <w:spacing w:before="0" w:after="120" w:line="276" w:lineRule="auto"/>
        <w:jc w:val="both"/>
      </w:pPr>
      <w:r>
        <w:rPr>
          <w:rFonts w:ascii="TH SarabunPSK" w:hAnsi="TH SarabunPSK" w:eastAsia="TH SarabunPSK" w:cs="TH SarabunPSK"/>
          <w:b w:val="0"/>
          <w:i w:val="0"/>
          <w:color w:val="212529"/>
          <w:sz w:val="32"/>
        </w:rPr>
        <w:t>• Frontend Web Application: Implementation of the Next.js 16 application adhering to the CyberCase Design Language, featuring Case Intake, Overview Dashboard, Multi-Turn Chat, Case Materials, Technical Context Explorer, and Forensic Dossier Viewer.</w:t>
        <w:br/>
        <w:t>• Backend API &amp; Orchestration Engine: Implementation of the FastAPI backend, SQLModel ORM models, asynchronous PostgreSQL persistence, transactional pipeline execution, and RESTful routing.</w:t>
        <w:br/>
        <w:t>• Evidence Trust Boundary &amp; Analysis Engine: Engineering the domain-neutral prompting architecture, raw evidence projection, AnalysisTrace v3 provenance validation, and fail-closed parser fallbacks.</w:t>
        <w:br/>
        <w:t>• Gap Analysis &amp; Follow-Up Policy: Design and implementation of the multi-stage gap detector, four-status gap taxonomy, and bounded two-round clarification engine.</w:t>
        <w:br/>
        <w:t>• Deterministic Report Compiler: Construction of the seven-part forensic dossier serialization engine with zero generative drift.</w:t>
        <w:br/>
        <w:t>• Usability Evaluation: Conducting formal usability benchmarking sessions with 5 to 10 security practitioners using the System Usability Scale (SUS).</w:t>
      </w:r>
    </w:p>
    <w:p>
      <w:pPr>
        <w:keepNext/>
        <w:spacing w:before="200" w:after="80"/>
        <w:jc w:val="left"/>
      </w:pPr>
      <w:r>
        <w:rPr>
          <w:rFonts w:ascii="TH SarabunPSK" w:hAnsi="TH SarabunPSK" w:eastAsia="TH SarabunPSK" w:cs="TH SarabunPSK"/>
          <w:b/>
          <w:i w:val="0"/>
          <w:color w:val="212529"/>
          <w:sz w:val="32"/>
        </w:rPr>
        <w:t>1.3.2 Out-of-Scope System Modules (External Service Dependency)</w:t>
      </w:r>
    </w:p>
    <w:p>
      <w:pPr>
        <w:spacing w:before="0" w:after="120" w:line="276" w:lineRule="auto"/>
        <w:jc w:val="both"/>
      </w:pPr>
      <w:r>
        <w:rPr>
          <w:rFonts w:ascii="TH SarabunPSK" w:hAnsi="TH SarabunPSK" w:eastAsia="TH SarabunPSK" w:cs="TH SarabunPSK"/>
          <w:b w:val="0"/>
          <w:i w:val="0"/>
          <w:color w:val="212529"/>
          <w:sz w:val="32"/>
        </w:rPr>
        <w:t>• RAG Microservice Implementation: The standalone GraphRAG microservice (`rag_service/`), including dense-sparse embedding generation (BAAI/bge-m3), Qdrant vector database administration, BM25 indexing, and MITRE ATT&amp;CK fine-tuning pipelines, is developed as an external service module. The candidate's responsibility regarding RAG is strictly confined to defining the REST API contracts (`/query`, `/retrieval-contexts/{id}`), integrating the backend HTTP client, and safely consuming advisory technical context without polluting authoritative case evidence.</w:t>
      </w:r>
    </w:p>
    <w:p>
      <w:pPr>
        <w:keepNext/>
        <w:spacing w:before="280" w:after="120"/>
        <w:jc w:val="left"/>
      </w:pPr>
      <w:r>
        <w:rPr>
          <w:rFonts w:ascii="TH SarabunPSK" w:hAnsi="TH SarabunPSK" w:eastAsia="TH SarabunPSK" w:cs="TH SarabunPSK"/>
          <w:b/>
          <w:i w:val="0"/>
          <w:color w:val="102C57"/>
          <w:sz w:val="34"/>
        </w:rPr>
        <w:t>1.4 Expected Benefits</w:t>
      </w:r>
    </w:p>
    <w:p>
      <w:pPr>
        <w:keepNext/>
        <w:spacing w:before="200" w:after="80"/>
        <w:jc w:val="left"/>
      </w:pPr>
      <w:r>
        <w:rPr>
          <w:rFonts w:ascii="TH SarabunPSK" w:hAnsi="TH SarabunPSK" w:eastAsia="TH SarabunPSK" w:cs="TH SarabunPSK"/>
          <w:b/>
          <w:i w:val="0"/>
          <w:color w:val="212529"/>
          <w:sz w:val="32"/>
        </w:rPr>
        <w:t>1.4.1 Enhanced Analytical Accuracy and Provenance Traceability</w:t>
      </w:r>
    </w:p>
    <w:p>
      <w:pPr>
        <w:spacing w:before="0" w:after="120" w:line="276" w:lineRule="auto"/>
        <w:jc w:val="both"/>
      </w:pPr>
      <w:r>
        <w:rPr>
          <w:rFonts w:ascii="TH SarabunPSK" w:hAnsi="TH SarabunPSK" w:eastAsia="TH SarabunPSK" w:cs="TH SarabunPSK"/>
          <w:b w:val="0"/>
          <w:i w:val="0"/>
          <w:color w:val="212529"/>
          <w:sz w:val="32"/>
        </w:rPr>
        <w:t>Enforces strict citation of raw case evidence for every claim, eliminating hallucinations and attribution errors in forensic analysis.</w:t>
      </w:r>
    </w:p>
    <w:p>
      <w:pPr>
        <w:keepNext/>
        <w:spacing w:before="200" w:after="80"/>
        <w:jc w:val="left"/>
      </w:pPr>
      <w:r>
        <w:rPr>
          <w:rFonts w:ascii="TH SarabunPSK" w:hAnsi="TH SarabunPSK" w:eastAsia="TH SarabunPSK" w:cs="TH SarabunPSK"/>
          <w:b/>
          <w:i w:val="0"/>
          <w:color w:val="212529"/>
          <w:sz w:val="32"/>
        </w:rPr>
        <w:t>1.4.2 Drastic Reduction in Incident Triage and Dossier Compilation Time</w:t>
      </w:r>
    </w:p>
    <w:p>
      <w:pPr>
        <w:spacing w:before="0" w:after="120" w:line="276" w:lineRule="auto"/>
        <w:jc w:val="both"/>
      </w:pPr>
      <w:r>
        <w:rPr>
          <w:rFonts w:ascii="TH SarabunPSK" w:hAnsi="TH SarabunPSK" w:eastAsia="TH SarabunPSK" w:cs="TH SarabunPSK"/>
          <w:b w:val="0"/>
          <w:i w:val="0"/>
          <w:color w:val="212529"/>
          <w:sz w:val="32"/>
        </w:rPr>
        <w:t>Automates the labor-intensive synthesis of multi-part forensic reports, accelerating incident triage and documentation cycles.</w:t>
      </w:r>
    </w:p>
    <w:p>
      <w:pPr>
        <w:keepNext/>
        <w:spacing w:before="200" w:after="80"/>
        <w:jc w:val="left"/>
      </w:pPr>
      <w:r>
        <w:rPr>
          <w:rFonts w:ascii="TH SarabunPSK" w:hAnsi="TH SarabunPSK" w:eastAsia="TH SarabunPSK" w:cs="TH SarabunPSK"/>
          <w:b/>
          <w:i w:val="0"/>
          <w:color w:val="212529"/>
          <w:sz w:val="32"/>
        </w:rPr>
        <w:t>1.4.3 Mitigation of Jargon Overhead and Junior Analyst Cognitive Fatigue</w:t>
      </w:r>
    </w:p>
    <w:p>
      <w:pPr>
        <w:spacing w:before="0" w:after="120" w:line="276" w:lineRule="auto"/>
        <w:jc w:val="both"/>
      </w:pPr>
      <w:r>
        <w:rPr>
          <w:rFonts w:ascii="TH SarabunPSK" w:hAnsi="TH SarabunPSK" w:eastAsia="TH SarabunPSK" w:cs="TH SarabunPSK"/>
          <w:b w:val="0"/>
          <w:i w:val="0"/>
          <w:color w:val="212529"/>
          <w:sz w:val="32"/>
        </w:rPr>
        <w:t>Translates complex threat intelligence into structured, accessible formats, lowering operational barriers for entry-level SOC analysts.</w:t>
      </w:r>
    </w:p>
    <w:p>
      <w:pPr>
        <w:keepNext/>
        <w:spacing w:before="200" w:after="80"/>
        <w:jc w:val="left"/>
      </w:pPr>
      <w:r>
        <w:rPr>
          <w:rFonts w:ascii="TH SarabunPSK" w:hAnsi="TH SarabunPSK" w:eastAsia="TH SarabunPSK" w:cs="TH SarabunPSK"/>
          <w:b/>
          <w:i w:val="0"/>
          <w:color w:val="212529"/>
          <w:sz w:val="32"/>
        </w:rPr>
        <w:t>1.4.4 Empirical Architectural Blueprint for Calibrated Human-AI Collaboration</w:t>
      </w:r>
    </w:p>
    <w:p>
      <w:pPr>
        <w:spacing w:before="0" w:after="120" w:line="276" w:lineRule="auto"/>
        <w:jc w:val="both"/>
      </w:pPr>
      <w:r>
        <w:rPr>
          <w:rFonts w:ascii="TH SarabunPSK" w:hAnsi="TH SarabunPSK" w:eastAsia="TH SarabunPSK" w:cs="TH SarabunPSK"/>
          <w:b w:val="0"/>
          <w:i w:val="0"/>
          <w:color w:val="212529"/>
          <w:sz w:val="32"/>
        </w:rPr>
        <w:t>Demonstrates how bounded, schema-gated clarification questions resolve critical information gaps without open-ended dialogue fatigue.</w:t>
      </w:r>
    </w:p>
    <w:p>
      <w:pPr>
        <w:keepNext/>
        <w:spacing w:before="280" w:after="120"/>
        <w:jc w:val="left"/>
      </w:pPr>
      <w:r>
        <w:rPr>
          <w:rFonts w:ascii="TH SarabunPSK" w:hAnsi="TH SarabunPSK" w:eastAsia="TH SarabunPSK" w:cs="TH SarabunPSK"/>
          <w:b/>
          <w:i w:val="0"/>
          <w:color w:val="102C57"/>
          <w:sz w:val="34"/>
        </w:rPr>
        <w:t>1.5 Project Timeline and Gantt Chart</w:t>
      </w:r>
    </w:p>
    <w:p>
      <w:pPr>
        <w:spacing w:before="0" w:after="120" w:line="276" w:lineRule="auto"/>
        <w:jc w:val="both"/>
      </w:pPr>
      <w:r>
        <w:rPr>
          <w:rFonts w:ascii="TH SarabunPSK" w:hAnsi="TH SarabunPSK" w:eastAsia="TH SarabunPSK" w:cs="TH SarabunPSK"/>
          <w:b w:val="0"/>
          <w:i w:val="0"/>
          <w:color w:val="212529"/>
          <w:sz w:val="32"/>
        </w:rPr>
        <w:t>The project was executed across a seven-month structured lifecycle. Table 1.1 delineates the milestone schedule.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1039"/>
        <w:gridCol w:w="1039"/>
        <w:gridCol w:w="1039"/>
        <w:gridCol w:w="1039"/>
        <w:gridCol w:w="1039"/>
        <w:gridCol w:w="1039"/>
        <w:gridCol w:w="1039"/>
        <w:gridCol w:w="1039"/>
      </w:tblGrid>
      <w:tr>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Task Description</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M1</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M2</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M3</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M4</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M5</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M6</w:t>
            </w:r>
          </w:p>
        </w:tc>
        <w:tc>
          <w:tcPr>
            <w:tcW w:type="dxa" w:w="1039"/>
            <w:shd w:fill="EAECEE"/>
            <w:tcMar>
              <w:top w:w="100" w:type="dxa"/>
              <w:bottom w:w="100" w:type="dxa"/>
              <w:left w:w="150" w:type="dxa"/>
              <w:right w:w="150" w:type="dxa"/>
            </w:tcMar>
          </w:tcPr>
          <w:p>
            <w:r>
              <w:rPr>
                <w:rFonts w:ascii="TH SarabunPSK" w:hAnsi="TH SarabunPSK" w:eastAsia="TH SarabunPSK" w:cs="TH SarabunPSK"/>
                <w:b/>
                <w:i w:val="0"/>
                <w:color w:val="212529"/>
                <w:sz w:val="26"/>
              </w:rPr>
              <w:t>M7</w:t>
            </w:r>
          </w:p>
        </w:tc>
      </w:tr>
      <w:tr>
        <w:tc>
          <w:tcPr>
            <w:tcW w:type="dxa" w:w="4608"/>
          </w:tcPr>
          <w:p>
            <w:r>
              <w:rPr>
                <w:rFonts w:ascii="TH SarabunPSK" w:hAnsi="TH SarabunPSK" w:eastAsia="TH SarabunPSK" w:cs="TH SarabunPSK"/>
                <w:b w:val="0"/>
                <w:i w:val="0"/>
                <w:color w:val="212529"/>
                <w:sz w:val="26"/>
              </w:rPr>
              <w:t>1. Literature Review &amp; System Requirements</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r>
      <w:tr>
        <w:tc>
          <w:tcPr>
            <w:tcW w:type="dxa" w:w="4608"/>
          </w:tcPr>
          <w:p>
            <w:r>
              <w:rPr>
                <w:rFonts w:ascii="TH SarabunPSK" w:hAnsi="TH SarabunPSK" w:eastAsia="TH SarabunPSK" w:cs="TH SarabunPSK"/>
                <w:b w:val="0"/>
                <w:i w:val="0"/>
                <w:color w:val="212529"/>
                <w:sz w:val="26"/>
              </w:rPr>
              <w:t>2. Architecture Design &amp; REST API Contracts</w:t>
            </w: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r>
      <w:tr>
        <w:tc>
          <w:tcPr>
            <w:tcW w:type="dxa" w:w="4608"/>
          </w:tcPr>
          <w:p>
            <w:r>
              <w:rPr>
                <w:rFonts w:ascii="TH SarabunPSK" w:hAnsi="TH SarabunPSK" w:eastAsia="TH SarabunPSK" w:cs="TH SarabunPSK"/>
                <w:b w:val="0"/>
                <w:i w:val="0"/>
                <w:color w:val="212529"/>
                <w:sz w:val="26"/>
              </w:rPr>
              <w:t>3. Backend Orchestration &amp; Database Modeling</w:t>
            </w:r>
          </w:p>
        </w:tc>
        <w:tc>
          <w:tcPr>
            <w:tcW w:type="dxa" w:w="576"/>
          </w:tcPr>
          <w:p>
            <w:pPr>
              <w:jc w:val="center"/>
            </w:pP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tcPr>
          <w:p>
            <w:pPr>
              <w:jc w:val="center"/>
            </w:pPr>
          </w:p>
        </w:tc>
        <w:tc>
          <w:tcPr>
            <w:tcW w:type="dxa" w:w="576"/>
          </w:tcPr>
          <w:p>
            <w:pPr>
              <w:jc w:val="center"/>
            </w:pPr>
          </w:p>
        </w:tc>
        <w:tc>
          <w:tcPr>
            <w:tcW w:type="dxa" w:w="576"/>
          </w:tcPr>
          <w:p>
            <w:pPr>
              <w:jc w:val="center"/>
            </w:pPr>
          </w:p>
        </w:tc>
      </w:tr>
      <w:tr>
        <w:tc>
          <w:tcPr>
            <w:tcW w:type="dxa" w:w="4608"/>
          </w:tcPr>
          <w:p>
            <w:r>
              <w:rPr>
                <w:rFonts w:ascii="TH SarabunPSK" w:hAnsi="TH SarabunPSK" w:eastAsia="TH SarabunPSK" w:cs="TH SarabunPSK"/>
                <w:b w:val="0"/>
                <w:i w:val="0"/>
                <w:color w:val="212529"/>
                <w:sz w:val="26"/>
              </w:rPr>
              <w:t>4. Analysis Module &amp; Epistemic Trace Engine</w:t>
            </w:r>
          </w:p>
        </w:tc>
        <w:tc>
          <w:tcPr>
            <w:tcW w:type="dxa" w:w="576"/>
          </w:tcPr>
          <w:p>
            <w:pPr>
              <w:jc w:val="center"/>
            </w:pPr>
          </w:p>
        </w:tc>
        <w:tc>
          <w:tcPr>
            <w:tcW w:type="dxa" w:w="576"/>
          </w:tcPr>
          <w:p>
            <w:pPr>
              <w:jc w:val="center"/>
            </w:pP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tcPr>
          <w:p>
            <w:pPr>
              <w:jc w:val="center"/>
            </w:pPr>
          </w:p>
        </w:tc>
        <w:tc>
          <w:tcPr>
            <w:tcW w:type="dxa" w:w="576"/>
          </w:tcPr>
          <w:p>
            <w:pPr>
              <w:jc w:val="center"/>
            </w:pPr>
          </w:p>
        </w:tc>
      </w:tr>
      <w:tr>
        <w:tc>
          <w:tcPr>
            <w:tcW w:type="dxa" w:w="4608"/>
          </w:tcPr>
          <w:p>
            <w:r>
              <w:rPr>
                <w:rFonts w:ascii="TH SarabunPSK" w:hAnsi="TH SarabunPSK" w:eastAsia="TH SarabunPSK" w:cs="TH SarabunPSK"/>
                <w:b w:val="0"/>
                <w:i w:val="0"/>
                <w:color w:val="212529"/>
                <w:sz w:val="26"/>
              </w:rPr>
              <w:t>5. Frontend Development (Next.js &amp; UI)</w:t>
            </w:r>
          </w:p>
        </w:tc>
        <w:tc>
          <w:tcPr>
            <w:tcW w:type="dxa" w:w="576"/>
          </w:tcPr>
          <w:p>
            <w:pPr>
              <w:jc w:val="center"/>
            </w:pPr>
          </w:p>
        </w:tc>
        <w:tc>
          <w:tcPr>
            <w:tcW w:type="dxa" w:w="576"/>
          </w:tcPr>
          <w:p>
            <w:pPr>
              <w:jc w:val="center"/>
            </w:pP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tcPr>
          <w:p>
            <w:pPr>
              <w:jc w:val="center"/>
            </w:pPr>
          </w:p>
        </w:tc>
      </w:tr>
      <w:tr>
        <w:tc>
          <w:tcPr>
            <w:tcW w:type="dxa" w:w="4608"/>
          </w:tcPr>
          <w:p>
            <w:r>
              <w:rPr>
                <w:rFonts w:ascii="TH SarabunPSK" w:hAnsi="TH SarabunPSK" w:eastAsia="TH SarabunPSK" w:cs="TH SarabunPSK"/>
                <w:b w:val="0"/>
                <w:i w:val="0"/>
                <w:color w:val="212529"/>
                <w:sz w:val="26"/>
              </w:rPr>
              <w:t>6. Usability Evaluation &amp; Empirical Testing</w:t>
            </w: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r>
      <w:tr>
        <w:tc>
          <w:tcPr>
            <w:tcW w:type="dxa" w:w="4608"/>
          </w:tcPr>
          <w:p>
            <w:r>
              <w:rPr>
                <w:rFonts w:ascii="TH SarabunPSK" w:hAnsi="TH SarabunPSK" w:eastAsia="TH SarabunPSK" w:cs="TH SarabunPSK"/>
                <w:b w:val="0"/>
                <w:i w:val="0"/>
                <w:color w:val="212529"/>
                <w:sz w:val="26"/>
              </w:rPr>
              <w:t>7. Thesis Documentation &amp; Final Defense</w:t>
            </w: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tcPr>
          <w:p>
            <w:pPr>
              <w:jc w:val="center"/>
            </w:pPr>
          </w:p>
        </w:tc>
        <w:tc>
          <w:tcPr>
            <w:tcW w:type="dxa" w:w="576"/>
            <w:shd w:fill="D4E6F1"/>
            <w:tcMar>
              <w:top w:w="100" w:type="dxa"/>
              <w:bottom w:w="100" w:type="dxa"/>
              <w:left w:w="150" w:type="dxa"/>
              <w:right w:w="150" w:type="dxa"/>
            </w:tcMar>
          </w:tcPr>
          <w:p>
            <w:pPr>
              <w:jc w:val="center"/>
            </w:pPr>
            <w:r>
              <w:rPr>
                <w:rFonts w:ascii="TH SarabunPSK" w:hAnsi="TH SarabunPSK" w:eastAsia="TH SarabunPSK" w:cs="TH SarabunPSK"/>
                <w:b w:val="0"/>
                <w:i w:val="0"/>
                <w:color w:val="102C57"/>
                <w:sz w:val="26"/>
              </w:rPr>
              <w:t>■</w:t>
            </w:r>
          </w:p>
        </w:tc>
      </w:tr>
    </w:tbl>
    <w:p>
      <w:pPr>
        <w:keepNext/>
        <w:spacing w:before="280" w:after="120"/>
        <w:jc w:val="left"/>
      </w:pPr>
      <w:r>
        <w:rPr>
          <w:rFonts w:ascii="TH SarabunPSK" w:hAnsi="TH SarabunPSK" w:eastAsia="TH SarabunPSK" w:cs="TH SarabunPSK"/>
          <w:b/>
          <w:i w:val="0"/>
          <w:color w:val="102C57"/>
          <w:sz w:val="34"/>
        </w:rPr>
        <w:t>1.6 Report Outline</w:t>
      </w:r>
    </w:p>
    <w:p>
      <w:pPr>
        <w:spacing w:before="0" w:after="120" w:line="276" w:lineRule="auto"/>
        <w:jc w:val="both"/>
      </w:pPr>
      <w:r>
        <w:rPr>
          <w:rFonts w:ascii="TH SarabunPSK" w:hAnsi="TH SarabunPSK" w:eastAsia="TH SarabunPSK" w:cs="TH SarabunPSK"/>
          <w:b w:val="0"/>
          <w:i w:val="0"/>
          <w:color w:val="212529"/>
          <w:sz w:val="32"/>
        </w:rPr>
        <w:t>This thesis manuscript is systematically organized across six comprehensive chapters:</w:t>
      </w:r>
    </w:p>
    <w:p>
      <w:pPr>
        <w:spacing w:before="0" w:after="120" w:line="276" w:lineRule="auto"/>
        <w:jc w:val="both"/>
      </w:pPr>
      <w:r>
        <w:rPr>
          <w:rFonts w:ascii="TH SarabunPSK" w:hAnsi="TH SarabunPSK" w:eastAsia="TH SarabunPSK" w:cs="TH SarabunPSK"/>
          <w:b w:val="0"/>
          <w:i w:val="0"/>
          <w:color w:val="212529"/>
          <w:sz w:val="32"/>
        </w:rPr>
        <w:t>• Chapter 1: Introduction – Establishes problem background, research objectives, scope, benefits, timeline, and chapter outlines.</w:t>
      </w:r>
    </w:p>
    <w:p>
      <w:pPr>
        <w:spacing w:before="0" w:after="120" w:line="276" w:lineRule="auto"/>
        <w:jc w:val="both"/>
      </w:pPr>
      <w:r>
        <w:rPr>
          <w:rFonts w:ascii="TH SarabunPSK" w:hAnsi="TH SarabunPSK" w:eastAsia="TH SarabunPSK" w:cs="TH SarabunPSK"/>
          <w:b w:val="0"/>
          <w:i w:val="0"/>
          <w:color w:val="212529"/>
          <w:sz w:val="32"/>
        </w:rPr>
        <w:t>• Chapter 2: Literature Review – Evaluates foundational literature across CTI, forensics, LLM architectures, and comparative baselines.</w:t>
      </w:r>
    </w:p>
    <w:p>
      <w:pPr>
        <w:spacing w:before="0" w:after="120" w:line="276" w:lineRule="auto"/>
        <w:jc w:val="both"/>
      </w:pPr>
      <w:r>
        <w:rPr>
          <w:rFonts w:ascii="TH SarabunPSK" w:hAnsi="TH SarabunPSK" w:eastAsia="TH SarabunPSK" w:cs="TH SarabunPSK"/>
          <w:b w:val="0"/>
          <w:i w:val="0"/>
          <w:color w:val="212529"/>
          <w:sz w:val="32"/>
        </w:rPr>
        <w:t>• Chapter 3: Methodology – Details system topology, use cases, evidence trust boundaries, AnalysisTrace v3, gap taxonomy, and data persistence.</w:t>
      </w:r>
    </w:p>
    <w:p>
      <w:pPr>
        <w:spacing w:before="0" w:after="120" w:line="276" w:lineRule="auto"/>
        <w:jc w:val="both"/>
      </w:pPr>
      <w:r>
        <w:rPr>
          <w:rFonts w:ascii="TH SarabunPSK" w:hAnsi="TH SarabunPSK" w:eastAsia="TH SarabunPSK" w:cs="TH SarabunPSK"/>
          <w:b w:val="0"/>
          <w:i w:val="0"/>
          <w:color w:val="212529"/>
          <w:sz w:val="32"/>
        </w:rPr>
        <w:t>• Chapter 4: System Development – Provides an exhaustive technical breakdown of backend services, frontend UI, prompts, and report engines.</w:t>
      </w:r>
    </w:p>
    <w:p>
      <w:pPr>
        <w:spacing w:before="0" w:after="120" w:line="276" w:lineRule="auto"/>
        <w:jc w:val="both"/>
      </w:pPr>
      <w:r>
        <w:rPr>
          <w:rFonts w:ascii="TH SarabunPSK" w:hAnsi="TH SarabunPSK" w:eastAsia="TH SarabunPSK" w:cs="TH SarabunPSK"/>
          <w:b w:val="0"/>
          <w:i w:val="0"/>
          <w:color w:val="212529"/>
          <w:sz w:val="32"/>
        </w:rPr>
        <w:t>• Chapter 5: Experiment and Results – Presents GUI walkthroughs, end-to-end incident cases, automated verification, and usability benchmarks.</w:t>
      </w:r>
    </w:p>
    <w:p>
      <w:pPr>
        <w:spacing w:before="0" w:after="120" w:line="276" w:lineRule="auto"/>
        <w:jc w:val="both"/>
      </w:pPr>
      <w:r>
        <w:rPr>
          <w:rFonts w:ascii="TH SarabunPSK" w:hAnsi="TH SarabunPSK" w:eastAsia="TH SarabunPSK" w:cs="TH SarabunPSK"/>
          <w:b w:val="0"/>
          <w:i w:val="0"/>
          <w:color w:val="212529"/>
          <w:sz w:val="32"/>
        </w:rPr>
        <w:t>• Chapter 6: Conclusion – Synthesizes major findings, analyzes development obstacles and solutions, details limitations, and outlines future work.</w:t>
      </w:r>
    </w:p>
    <w:p>
      <w:r>
        <w:br w:type="page"/>
      </w:r>
    </w:p>
    <w:p>
      <w:pPr>
        <w:keepNext/>
        <w:spacing w:before="440" w:after="280"/>
        <w:jc w:val="center"/>
      </w:pPr>
      <w:r>
        <w:rPr>
          <w:rFonts w:ascii="TH SarabunPSK" w:hAnsi="TH SarabunPSK" w:eastAsia="TH SarabunPSK" w:cs="TH SarabunPSK"/>
          <w:b/>
          <w:i w:val="0"/>
          <w:color w:val="102C57"/>
          <w:sz w:val="40"/>
        </w:rPr>
        <w:t>Chapter 2</w:t>
        <w:br/>
        <w:t>Literature Review</w:t>
      </w:r>
    </w:p>
    <w:p>
      <w:pPr>
        <w:spacing w:before="0" w:after="120" w:line="276" w:lineRule="auto"/>
        <w:jc w:val="both"/>
      </w:pPr>
      <w:r>
        <w:rPr>
          <w:rFonts w:ascii="TH SarabunPSK" w:hAnsi="TH SarabunPSK" w:eastAsia="TH SarabunPSK" w:cs="TH SarabunPSK"/>
          <w:b w:val="0"/>
          <w:i w:val="0"/>
          <w:color w:val="212529"/>
          <w:sz w:val="32"/>
        </w:rPr>
        <w:t>This chapter synthesizes relevant scientific studies and establishes the theoretical foundations underpinning the CyberCase framework.</w:t>
      </w:r>
    </w:p>
    <w:p>
      <w:pPr>
        <w:keepNext/>
        <w:spacing w:before="280" w:after="120"/>
        <w:jc w:val="left"/>
      </w:pPr>
      <w:r>
        <w:rPr>
          <w:rFonts w:ascii="TH SarabunPSK" w:hAnsi="TH SarabunPSK" w:eastAsia="TH SarabunPSK" w:cs="TH SarabunPSK"/>
          <w:b/>
          <w:i w:val="0"/>
          <w:color w:val="102C57"/>
          <w:sz w:val="34"/>
        </w:rPr>
        <w:t>2.1 Related Studies</w:t>
      </w:r>
    </w:p>
    <w:p>
      <w:pPr>
        <w:keepNext/>
        <w:spacing w:before="200" w:after="80"/>
        <w:jc w:val="left"/>
      </w:pPr>
      <w:r>
        <w:rPr>
          <w:rFonts w:ascii="TH SarabunPSK" w:hAnsi="TH SarabunPSK" w:eastAsia="TH SarabunPSK" w:cs="TH SarabunPSK"/>
          <w:b/>
          <w:i w:val="0"/>
          <w:color w:val="212529"/>
          <w:sz w:val="32"/>
        </w:rPr>
        <w:t>2.1.1 Cyber Threat Intelligence and Standardized Mappings</w:t>
      </w:r>
    </w:p>
    <w:p>
      <w:pPr>
        <w:spacing w:before="0" w:after="120" w:line="276" w:lineRule="auto"/>
        <w:jc w:val="both"/>
      </w:pPr>
      <w:r>
        <w:rPr>
          <w:rFonts w:ascii="TH SarabunPSK" w:hAnsi="TH SarabunPSK" w:eastAsia="TH SarabunPSK" w:cs="TH SarabunPSK"/>
          <w:b w:val="0"/>
          <w:i w:val="0"/>
          <w:color w:val="212529"/>
          <w:sz w:val="32"/>
        </w:rPr>
        <w:t>Cybersecurity investigations necessitate a structured, standardized vocabulary for characterizing adversary behavior. The MITRE ATT&amp;CK framework serves as the global standard, cataloging real-world adversary tactics, techniques, and procedures (TTPs) across hierarchical matrices [1]. Rafiey and Namadchian [2] investigated mapping unstructured vulnerability descriptions to ATT&amp;CK techniques using LLMs, demonstrating that semantic similarity and structured few-shot prompting achieve high precision in identifying tactics. Daniel et al. [3] benchmarked machine learning classifiers against LLMs in labeling Network Intrusion Detection System (NIDS) rules with ATT&amp;CK techniques, finding that while traditional classifiers perform well on familiar signatures, LLMs excel at contextual inference across novel attack variations.</w:t>
      </w:r>
    </w:p>
    <w:p>
      <w:pPr>
        <w:keepNext/>
        <w:spacing w:before="200" w:after="80"/>
        <w:jc w:val="left"/>
      </w:pPr>
      <w:r>
        <w:rPr>
          <w:rFonts w:ascii="TH SarabunPSK" w:hAnsi="TH SarabunPSK" w:eastAsia="TH SarabunPSK" w:cs="TH SarabunPSK"/>
          <w:b/>
          <w:i w:val="0"/>
          <w:color w:val="212529"/>
          <w:sz w:val="32"/>
        </w:rPr>
        <w:t>2.1.2 Evidence-Grounded Digital Forensic Reporting</w:t>
      </w:r>
    </w:p>
    <w:p>
      <w:pPr>
        <w:spacing w:before="0" w:after="120" w:line="276" w:lineRule="auto"/>
        <w:jc w:val="both"/>
      </w:pPr>
      <w:r>
        <w:rPr>
          <w:rFonts w:ascii="TH SarabunPSK" w:hAnsi="TH SarabunPSK" w:eastAsia="TH SarabunPSK" w:cs="TH SarabunPSK"/>
          <w:b w:val="0"/>
          <w:i w:val="0"/>
          <w:color w:val="212529"/>
          <w:sz w:val="32"/>
        </w:rPr>
        <w:t>Digital forensic investigations require rigorous adherence to legal standards of evidence, provenance tracking, and chain of custody [4, 5]. Khan et al. [6, 7] and Yue et al. [8] emphasized that automated forensic systems must preserve verifiable relationships between raw artifacts and investigative claims. Michelet and Breitinger [11] investigated cloud and local LLMs for drafting forensic reports, concluding that while models assist with narrative fluency, unconstrained generation frequently results in fabricated artifact IDs and speculative leaps. CyberCase directly addresses this by enforcing strict message ID citation and deterministic fail-closed validation.</w:t>
      </w:r>
    </w:p>
    <w:p>
      <w:pPr>
        <w:keepNext/>
        <w:spacing w:before="200" w:after="80"/>
        <w:jc w:val="left"/>
      </w:pPr>
      <w:r>
        <w:rPr>
          <w:rFonts w:ascii="TH SarabunPSK" w:hAnsi="TH SarabunPSK" w:eastAsia="TH SarabunPSK" w:cs="TH SarabunPSK"/>
          <w:b/>
          <w:i w:val="0"/>
          <w:color w:val="212529"/>
          <w:sz w:val="32"/>
        </w:rPr>
        <w:t>2.1.3 Large Language Models in Security Operations</w:t>
      </w:r>
    </w:p>
    <w:p>
      <w:pPr>
        <w:spacing w:before="0" w:after="120" w:line="276" w:lineRule="auto"/>
        <w:jc w:val="both"/>
      </w:pPr>
      <w:r>
        <w:rPr>
          <w:rFonts w:ascii="TH SarabunPSK" w:hAnsi="TH SarabunPSK" w:eastAsia="TH SarabunPSK" w:cs="TH SarabunPSK"/>
          <w:b w:val="0"/>
          <w:i w:val="0"/>
          <w:color w:val="212529"/>
          <w:sz w:val="32"/>
        </w:rPr>
        <w:t>Recent literature highlights the immense potential of LLMs in security operations [9, 10]. However, standard models suffer from context window limitations and outdated knowledge. Integrating external knowledge retrieval mitigates these drawbacks [11, 12]. Huang et al. [13] introduced AegisGuard, combining semantic vulnerability detection with contextual risk stratification. To ensure reliability, full-stack security applications must strictly separate external knowledge from internal case facts.</w:t>
      </w:r>
    </w:p>
    <w:p>
      <w:pPr>
        <w:keepNext/>
        <w:spacing w:before="200" w:after="80"/>
        <w:jc w:val="left"/>
      </w:pPr>
      <w:r>
        <w:rPr>
          <w:rFonts w:ascii="TH SarabunPSK" w:hAnsi="TH SarabunPSK" w:eastAsia="TH SarabunPSK" w:cs="TH SarabunPSK"/>
          <w:b/>
          <w:i w:val="0"/>
          <w:color w:val="212529"/>
          <w:sz w:val="32"/>
        </w:rPr>
        <w:t>2.1.4 Human-in-the-Loop Interaction and Clarification</w:t>
      </w:r>
    </w:p>
    <w:p>
      <w:pPr>
        <w:spacing w:before="0" w:after="120" w:line="276" w:lineRule="auto"/>
        <w:jc w:val="both"/>
      </w:pPr>
      <w:r>
        <w:rPr>
          <w:rFonts w:ascii="TH SarabunPSK" w:hAnsi="TH SarabunPSK" w:eastAsia="TH SarabunPSK" w:cs="TH SarabunPSK"/>
          <w:b w:val="0"/>
          <w:i w:val="0"/>
          <w:color w:val="212529"/>
          <w:sz w:val="32"/>
        </w:rPr>
        <w:t>Human-in-the-Loop (HITL) paradigms ensure that automated systems collaborate synergistically with human analysts [14, 15]. In incomplete incident cases, open-ended conversational models often generate excessive clarifying questions, inducing user fatigue. Mixed-initiative dialogue theory suggests that clarification should be schema-gated—triggered only when critical decision slots are absent and bounded to single, high-impact queries.</w:t>
      </w:r>
    </w:p>
    <w:p>
      <w:pPr>
        <w:keepNext/>
        <w:spacing w:before="200" w:after="80"/>
        <w:jc w:val="left"/>
      </w:pPr>
      <w:r>
        <w:rPr>
          <w:rFonts w:ascii="TH SarabunPSK" w:hAnsi="TH SarabunPSK" w:eastAsia="TH SarabunPSK" w:cs="TH SarabunPSK"/>
          <w:b/>
          <w:i w:val="0"/>
          <w:color w:val="212529"/>
          <w:sz w:val="32"/>
        </w:rPr>
        <w:t>2.1.5 Automated CTI Reporting and Two-Stage Baseline Paradigms</w:t>
      </w:r>
    </w:p>
    <w:p>
      <w:pPr>
        <w:spacing w:before="0" w:after="120" w:line="276" w:lineRule="auto"/>
        <w:jc w:val="both"/>
      </w:pPr>
      <w:r>
        <w:rPr>
          <w:rFonts w:ascii="TH SarabunPSK" w:hAnsi="TH SarabunPSK" w:eastAsia="TH SarabunPSK" w:cs="TH SarabunPSK"/>
          <w:b w:val="0"/>
          <w:i w:val="0"/>
          <w:color w:val="212529"/>
          <w:sz w:val="32"/>
        </w:rPr>
        <w:t>Automated CTI report generation systems typically separate intermediate fact extraction from final narrative synthesis. AGIR utilized formal entity graphs for structured verbalization. Dehing et al. [11] developed a two-stage baseline for long forensic chat summarization: Stage 1 extracts case-relevant exchanges with verbatim Trace IDs, and Stage 2 synthesizes a chronological, cited report. While effective, Dehing's pipeline suffered from error propagation—omissions in Stage 1 irrevocably degraded the final report without an opportunity for interactive repair.</w:t>
      </w:r>
    </w:p>
    <w:p>
      <w:pPr>
        <w:keepNext/>
        <w:spacing w:before="200" w:after="80"/>
        <w:jc w:val="left"/>
      </w:pPr>
      <w:r>
        <w:rPr>
          <w:rFonts w:ascii="TH SarabunPSK" w:hAnsi="TH SarabunPSK" w:eastAsia="TH SarabunPSK" w:cs="TH SarabunPSK"/>
          <w:b/>
          <w:i w:val="0"/>
          <w:color w:val="212529"/>
          <w:sz w:val="32"/>
        </w:rPr>
        <w:t>2.1.6 Comparative Synthesis and Research Gap</w:t>
      </w:r>
    </w:p>
    <w:p>
      <w:pPr>
        <w:spacing w:before="0" w:after="120" w:line="276" w:lineRule="auto"/>
        <w:jc w:val="both"/>
      </w:pPr>
      <w:r>
        <w:rPr>
          <w:rFonts w:ascii="TH SarabunPSK" w:hAnsi="TH SarabunPSK" w:eastAsia="TH SarabunPSK" w:cs="TH SarabunPSK"/>
          <w:b w:val="0"/>
          <w:i w:val="0"/>
          <w:color w:val="212529"/>
          <w:sz w:val="32"/>
        </w:rPr>
        <w:t>The literature leaves an unaddressed research gap: Can a single, schema-gated clarification question placed between extraction and synthesis significantly repair forensic completeness without inducing user fatigue? CyberCase formulates this as a paired evaluation: comparing a Dehing-derived two-stage baseline (B0) against an interactive schema-gated follow-up extension (B1-F).</w:t>
      </w:r>
    </w:p>
    <w:p>
      <w:pPr>
        <w:keepNext/>
        <w:spacing w:before="280" w:after="120"/>
        <w:jc w:val="left"/>
      </w:pPr>
      <w:r>
        <w:rPr>
          <w:rFonts w:ascii="TH SarabunPSK" w:hAnsi="TH SarabunPSK" w:eastAsia="TH SarabunPSK" w:cs="TH SarabunPSK"/>
          <w:b/>
          <w:i w:val="0"/>
          <w:color w:val="102C57"/>
          <w:sz w:val="34"/>
        </w:rPr>
        <w:t>2.2 Preliminary and Theoretical Foundations</w:t>
      </w:r>
    </w:p>
    <w:p>
      <w:pPr>
        <w:keepNext/>
        <w:spacing w:before="200" w:after="80"/>
        <w:jc w:val="left"/>
      </w:pPr>
      <w:r>
        <w:rPr>
          <w:rFonts w:ascii="TH SarabunPSK" w:hAnsi="TH SarabunPSK" w:eastAsia="TH SarabunPSK" w:cs="TH SarabunPSK"/>
          <w:b/>
          <w:i w:val="0"/>
          <w:color w:val="212529"/>
          <w:sz w:val="32"/>
        </w:rPr>
        <w:t>2.2.1 Frontend and Backend Frameworks</w:t>
      </w:r>
    </w:p>
    <w:p>
      <w:pPr>
        <w:spacing w:before="0" w:after="120" w:line="276" w:lineRule="auto"/>
        <w:jc w:val="both"/>
      </w:pPr>
      <w:r>
        <w:rPr>
          <w:rFonts w:ascii="TH SarabunPSK" w:hAnsi="TH SarabunPSK" w:eastAsia="TH SarabunPSK" w:cs="TH SarabunPSK"/>
          <w:b w:val="0"/>
          <w:i w:val="0"/>
          <w:color w:val="212529"/>
          <w:sz w:val="32"/>
        </w:rPr>
        <w:t>The web application leverages modern full-stack frameworks. Next.js 16 with React 19 enables server-side rendering and high-performance client interactivity. FastAPI provides asynchronous, high-throughput REST API routing in Python with native OpenAPI documentation. Pydantic v2 enforces strict type validation and JSON schema compliance for structured model outputs. PostgreSQL with SQLModel and asyncpg ensures ACID-compliant transactional persistence.</w:t>
      </w:r>
    </w:p>
    <w:p>
      <w:pPr>
        <w:keepNext/>
        <w:spacing w:before="200" w:after="80"/>
        <w:jc w:val="left"/>
      </w:pPr>
      <w:r>
        <w:rPr>
          <w:rFonts w:ascii="TH SarabunPSK" w:hAnsi="TH SarabunPSK" w:eastAsia="TH SarabunPSK" w:cs="TH SarabunPSK"/>
          <w:b/>
          <w:i w:val="0"/>
          <w:color w:val="212529"/>
          <w:sz w:val="32"/>
        </w:rPr>
        <w:t>2.2.2 State Management and Epistemic Modeling</w:t>
      </w:r>
    </w:p>
    <w:p>
      <w:pPr>
        <w:spacing w:before="0" w:after="120" w:line="276" w:lineRule="auto"/>
        <w:jc w:val="both"/>
      </w:pPr>
      <w:r>
        <w:rPr>
          <w:rFonts w:ascii="TH SarabunPSK" w:hAnsi="TH SarabunPSK" w:eastAsia="TH SarabunPSK" w:cs="TH SarabunPSK"/>
          <w:b w:val="0"/>
          <w:i w:val="0"/>
          <w:color w:val="212529"/>
          <w:sz w:val="32"/>
        </w:rPr>
        <w:t>Incident response requires modeling belief and certainty. Rather than treating all generated text as absolute truth, CyberCase implements an epistemic modeling framework where assertions are explicitly qualified by evidence corroboration, source traceability, and contradiction degree.</w:t>
      </w:r>
    </w:p>
    <w:p>
      <w:r>
        <w:br w:type="page"/>
      </w:r>
    </w:p>
    <w:p>
      <w:pPr>
        <w:keepNext/>
        <w:spacing w:before="440" w:after="280"/>
        <w:jc w:val="center"/>
      </w:pPr>
      <w:r>
        <w:rPr>
          <w:rFonts w:ascii="TH SarabunPSK" w:hAnsi="TH SarabunPSK" w:eastAsia="TH SarabunPSK" w:cs="TH SarabunPSK"/>
          <w:b/>
          <w:i w:val="0"/>
          <w:color w:val="102C57"/>
          <w:sz w:val="40"/>
        </w:rPr>
        <w:t>Chapter 3</w:t>
        <w:br/>
        <w:t>Methodology</w:t>
      </w:r>
    </w:p>
    <w:p>
      <w:pPr>
        <w:spacing w:before="0" w:after="120" w:line="276" w:lineRule="auto"/>
        <w:jc w:val="both"/>
      </w:pPr>
      <w:r>
        <w:rPr>
          <w:rFonts w:ascii="TH SarabunPSK" w:hAnsi="TH SarabunPSK" w:eastAsia="TH SarabunPSK" w:cs="TH SarabunPSK"/>
          <w:b w:val="0"/>
          <w:i w:val="0"/>
          <w:color w:val="212529"/>
          <w:sz w:val="32"/>
        </w:rPr>
        <w:t>This chapter delineates the system design, architectural contracts, evidence trust boundaries, and algorithmic pipelines of CyberCase.</w:t>
      </w:r>
    </w:p>
    <w:p>
      <w:pPr>
        <w:keepNext/>
        <w:spacing w:before="280" w:after="120"/>
        <w:jc w:val="left"/>
      </w:pPr>
      <w:r>
        <w:rPr>
          <w:rFonts w:ascii="TH SarabunPSK" w:hAnsi="TH SarabunPSK" w:eastAsia="TH SarabunPSK" w:cs="TH SarabunPSK"/>
          <w:b/>
          <w:i w:val="0"/>
          <w:color w:val="102C57"/>
          <w:sz w:val="34"/>
        </w:rPr>
        <w:t>3.1 System Overview and Conceptual Architecture</w:t>
      </w:r>
    </w:p>
    <w:p>
      <w:pPr>
        <w:spacing w:before="0" w:after="120" w:line="276" w:lineRule="auto"/>
        <w:jc w:val="both"/>
      </w:pPr>
      <w:r>
        <w:rPr>
          <w:rFonts w:ascii="TH SarabunPSK" w:hAnsi="TH SarabunPSK" w:eastAsia="TH SarabunPSK" w:cs="TH SarabunPSK"/>
          <w:b w:val="0"/>
          <w:i w:val="0"/>
          <w:color w:val="212529"/>
          <w:sz w:val="32"/>
        </w:rPr>
        <w:t>CyberCase is architected as an evidence-grounded case review and forensic reporting platform. The operational philosophy rests upon a strict demarcation: raw, user-authored incident messages constitute the sole authoritative evidence of the case. External knowledge sources (such as MITRE ATT&amp;CK descriptions, technique mitigations, and LLM parametric priors) provide advisory technical context but are categorically forbidden from becoming incident facts.</w:t>
      </w:r>
    </w:p>
    <w:p>
      <w:pPr>
        <w:keepNext/>
        <w:spacing w:before="280" w:after="120"/>
        <w:jc w:val="left"/>
      </w:pPr>
      <w:r>
        <w:rPr>
          <w:rFonts w:ascii="TH SarabunPSK" w:hAnsi="TH SarabunPSK" w:eastAsia="TH SarabunPSK" w:cs="TH SarabunPSK"/>
          <w:b/>
          <w:i w:val="0"/>
          <w:color w:val="102C57"/>
          <w:sz w:val="34"/>
        </w:rPr>
        <w:t>3.2 User Roles and Stakeholder Responsibilities</w:t>
      </w:r>
    </w:p>
    <w:p>
      <w:pPr>
        <w:spacing w:before="0" w:after="120" w:line="276" w:lineRule="auto"/>
        <w:jc w:val="both"/>
      </w:pPr>
      <w:r>
        <w:rPr>
          <w:rFonts w:ascii="TH SarabunPSK" w:hAnsi="TH SarabunPSK" w:eastAsia="TH SarabunPSK" w:cs="TH SarabunPSK"/>
          <w:b w:val="0"/>
          <w:i w:val="0"/>
          <w:color w:val="212529"/>
          <w:sz w:val="32"/>
        </w:rPr>
        <w:t>The framework serves four primary operational stakeholders, as defined in Table 3.1.</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2770"/>
        <w:gridCol w:w="2770"/>
        <w:gridCol w:w="2770"/>
      </w:tblGrid>
      <w:tr>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User Role</w:t>
            </w:r>
          </w:p>
        </w:tc>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Operational Focus</w:t>
            </w:r>
          </w:p>
        </w:tc>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Core System Responsibilities</w:t>
            </w:r>
          </w:p>
        </w:tc>
      </w:tr>
      <w:tr>
        <w:tc>
          <w:tcPr>
            <w:tcW w:type="dxa" w:w="2770"/>
          </w:tcPr>
          <w:p>
            <w:r>
              <w:rPr>
                <w:rFonts w:ascii="TH SarabunPSK" w:hAnsi="TH SarabunPSK" w:eastAsia="TH SarabunPSK" w:cs="TH SarabunPSK"/>
                <w:b w:val="0"/>
                <w:i w:val="0"/>
                <w:color w:val="212529"/>
                <w:sz w:val="26"/>
              </w:rPr>
              <w:t>Tier-1 SOC Analyst</w:t>
            </w:r>
          </w:p>
        </w:tc>
        <w:tc>
          <w:tcPr>
            <w:tcW w:type="dxa" w:w="2770"/>
          </w:tcPr>
          <w:p>
            <w:r>
              <w:rPr>
                <w:rFonts w:ascii="TH SarabunPSK" w:hAnsi="TH SarabunPSK" w:eastAsia="TH SarabunPSK" w:cs="TH SarabunPSK"/>
                <w:b w:val="0"/>
                <w:i w:val="0"/>
                <w:color w:val="212529"/>
                <w:sz w:val="26"/>
              </w:rPr>
              <w:t>Initial Incident Triage</w:t>
            </w:r>
          </w:p>
        </w:tc>
        <w:tc>
          <w:tcPr>
            <w:tcW w:type="dxa" w:w="2770"/>
          </w:tcPr>
          <w:p>
            <w:r>
              <w:rPr>
                <w:rFonts w:ascii="TH SarabunPSK" w:hAnsi="TH SarabunPSK" w:eastAsia="TH SarabunPSK" w:cs="TH SarabunPSK"/>
                <w:b w:val="0"/>
                <w:i w:val="0"/>
                <w:color w:val="212529"/>
                <w:sz w:val="26"/>
              </w:rPr>
              <w:t>Submits incident logs, answers clarification inquiries, reviews initial claims</w:t>
            </w:r>
          </w:p>
        </w:tc>
      </w:tr>
      <w:tr>
        <w:tc>
          <w:tcPr>
            <w:tcW w:type="dxa" w:w="2770"/>
          </w:tcPr>
          <w:p>
            <w:r>
              <w:rPr>
                <w:rFonts w:ascii="TH SarabunPSK" w:hAnsi="TH SarabunPSK" w:eastAsia="TH SarabunPSK" w:cs="TH SarabunPSK"/>
                <w:b w:val="0"/>
                <w:i w:val="0"/>
                <w:color w:val="212529"/>
                <w:sz w:val="26"/>
              </w:rPr>
              <w:t>Tier-2/3 Incident Responder</w:t>
            </w:r>
          </w:p>
        </w:tc>
        <w:tc>
          <w:tcPr>
            <w:tcW w:type="dxa" w:w="2770"/>
          </w:tcPr>
          <w:p>
            <w:r>
              <w:rPr>
                <w:rFonts w:ascii="TH SarabunPSK" w:hAnsi="TH SarabunPSK" w:eastAsia="TH SarabunPSK" w:cs="TH SarabunPSK"/>
                <w:b w:val="0"/>
                <w:i w:val="0"/>
                <w:color w:val="212529"/>
                <w:sz w:val="26"/>
              </w:rPr>
              <w:t>Deep Technical Investigation</w:t>
            </w:r>
          </w:p>
        </w:tc>
        <w:tc>
          <w:tcPr>
            <w:tcW w:type="dxa" w:w="2770"/>
          </w:tcPr>
          <w:p>
            <w:r>
              <w:rPr>
                <w:rFonts w:ascii="TH SarabunPSK" w:hAnsi="TH SarabunPSK" w:eastAsia="TH SarabunPSK" w:cs="TH SarabunPSK"/>
                <w:b w:val="0"/>
                <w:i w:val="0"/>
                <w:color w:val="212529"/>
                <w:sz w:val="26"/>
              </w:rPr>
              <w:t>Validates ATT&amp;CK mappings, performs exploratory queries, refines IOCs</w:t>
            </w:r>
          </w:p>
        </w:tc>
      </w:tr>
      <w:tr>
        <w:tc>
          <w:tcPr>
            <w:tcW w:type="dxa" w:w="2770"/>
          </w:tcPr>
          <w:p>
            <w:r>
              <w:rPr>
                <w:rFonts w:ascii="TH SarabunPSK" w:hAnsi="TH SarabunPSK" w:eastAsia="TH SarabunPSK" w:cs="TH SarabunPSK"/>
                <w:b w:val="0"/>
                <w:i w:val="0"/>
                <w:color w:val="212529"/>
                <w:sz w:val="26"/>
              </w:rPr>
              <w:t>Digital Forensic Investigator</w:t>
            </w:r>
          </w:p>
        </w:tc>
        <w:tc>
          <w:tcPr>
            <w:tcW w:type="dxa" w:w="2770"/>
          </w:tcPr>
          <w:p>
            <w:r>
              <w:rPr>
                <w:rFonts w:ascii="TH SarabunPSK" w:hAnsi="TH SarabunPSK" w:eastAsia="TH SarabunPSK" w:cs="TH SarabunPSK"/>
                <w:b w:val="0"/>
                <w:i w:val="0"/>
                <w:color w:val="212529"/>
                <w:sz w:val="26"/>
              </w:rPr>
              <w:t>Evidence Chain &amp; Legal Review</w:t>
            </w:r>
          </w:p>
        </w:tc>
        <w:tc>
          <w:tcPr>
            <w:tcW w:type="dxa" w:w="2770"/>
          </w:tcPr>
          <w:p>
            <w:r>
              <w:rPr>
                <w:rFonts w:ascii="TH SarabunPSK" w:hAnsi="TH SarabunPSK" w:eastAsia="TH SarabunPSK" w:cs="TH SarabunPSK"/>
                <w:b w:val="0"/>
                <w:i w:val="0"/>
                <w:color w:val="212529"/>
                <w:sz w:val="26"/>
              </w:rPr>
              <w:t>Verifies epistemic claims, inspects source message hashes, audits citations</w:t>
            </w:r>
          </w:p>
        </w:tc>
      </w:tr>
      <w:tr>
        <w:tc>
          <w:tcPr>
            <w:tcW w:type="dxa" w:w="2770"/>
          </w:tcPr>
          <w:p>
            <w:r>
              <w:rPr>
                <w:rFonts w:ascii="TH SarabunPSK" w:hAnsi="TH SarabunPSK" w:eastAsia="TH SarabunPSK" w:cs="TH SarabunPSK"/>
                <w:b w:val="0"/>
                <w:i w:val="0"/>
                <w:color w:val="212529"/>
                <w:sz w:val="26"/>
              </w:rPr>
              <w:t>CISO / Security Manager</w:t>
            </w:r>
          </w:p>
        </w:tc>
        <w:tc>
          <w:tcPr>
            <w:tcW w:type="dxa" w:w="2770"/>
          </w:tcPr>
          <w:p>
            <w:r>
              <w:rPr>
                <w:rFonts w:ascii="TH SarabunPSK" w:hAnsi="TH SarabunPSK" w:eastAsia="TH SarabunPSK" w:cs="TH SarabunPSK"/>
                <w:b w:val="0"/>
                <w:i w:val="0"/>
                <w:color w:val="212529"/>
                <w:sz w:val="26"/>
              </w:rPr>
              <w:t>Executive Reporting &amp; Oversight</w:t>
            </w:r>
          </w:p>
        </w:tc>
        <w:tc>
          <w:tcPr>
            <w:tcW w:type="dxa" w:w="2770"/>
          </w:tcPr>
          <w:p>
            <w:r>
              <w:rPr>
                <w:rFonts w:ascii="TH SarabunPSK" w:hAnsi="TH SarabunPSK" w:eastAsia="TH SarabunPSK" w:cs="TH SarabunPSK"/>
                <w:b w:val="0"/>
                <w:i w:val="0"/>
                <w:color w:val="212529"/>
                <w:sz w:val="26"/>
              </w:rPr>
              <w:t>Reviews standardized 7-part forensic dossiers, authorizes mitigation actions</w:t>
            </w:r>
          </w:p>
        </w:tc>
      </w:tr>
    </w:tbl>
    <w:p>
      <w:pPr>
        <w:keepNext/>
        <w:spacing w:before="280" w:after="120"/>
        <w:jc w:val="left"/>
      </w:pPr>
      <w:r>
        <w:rPr>
          <w:rFonts w:ascii="TH SarabunPSK" w:hAnsi="TH SarabunPSK" w:eastAsia="TH SarabunPSK" w:cs="TH SarabunPSK"/>
          <w:b/>
          <w:i w:val="0"/>
          <w:color w:val="102C57"/>
          <w:sz w:val="34"/>
        </w:rPr>
        <w:t>3.3 Use Case Modeling and Interaction Requirements</w:t>
      </w:r>
    </w:p>
    <w:p>
      <w:pPr>
        <w:spacing w:before="0" w:after="120" w:line="276" w:lineRule="auto"/>
        <w:jc w:val="both"/>
      </w:pPr>
      <w:r>
        <w:rPr>
          <w:rFonts w:ascii="TH SarabunPSK" w:hAnsi="TH SarabunPSK" w:eastAsia="TH SarabunPSK" w:cs="TH SarabunPSK"/>
          <w:b w:val="0"/>
          <w:i w:val="0"/>
          <w:color w:val="212529"/>
          <w:sz w:val="32"/>
        </w:rPr>
        <w:t>The system interaction model captures core analyst workflows: (1) Incident Submission, (2) Multi-Turn Clarification, (3) Evidence Exploration, (4) Technical Context Review, and (5) Dossier Serialization and Export. These interactions are formalized in Table 3.2.</w:t>
      </w:r>
    </w:p>
    <w:p>
      <w:pPr>
        <w:keepNext/>
        <w:spacing w:before="280" w:after="120"/>
        <w:jc w:val="left"/>
      </w:pPr>
      <w:r>
        <w:rPr>
          <w:rFonts w:ascii="TH SarabunPSK" w:hAnsi="TH SarabunPSK" w:eastAsia="TH SarabunPSK" w:cs="TH SarabunPSK"/>
          <w:b/>
          <w:i w:val="0"/>
          <w:color w:val="102C57"/>
          <w:sz w:val="34"/>
        </w:rPr>
        <w:t>3.4 Detailed Use Case Specifications</w:t>
      </w:r>
    </w:p>
    <w:p>
      <w:pPr>
        <w:spacing w:before="0" w:after="120" w:line="276" w:lineRule="auto"/>
        <w:jc w:val="both"/>
      </w:pPr>
      <w:r>
        <w:rPr>
          <w:rFonts w:ascii="TH SarabunPSK" w:hAnsi="TH SarabunPSK" w:eastAsia="TH SarabunPSK" w:cs="TH SarabunPSK"/>
          <w:b w:val="0"/>
          <w:i w:val="0"/>
          <w:color w:val="212529"/>
          <w:sz w:val="32"/>
        </w:rPr>
        <w:t>Each use case defines pre-conditions, main flow, post-conditions, and exception paths. For example, during 'Clarification Answer', the user submits answers to targeted follow-up questions, which the backend appends to the authoritative evidence projection before executing an updated analysis run.</w:t>
      </w:r>
    </w:p>
    <w:p>
      <w:pPr>
        <w:keepNext/>
        <w:spacing w:before="280" w:after="120"/>
        <w:jc w:val="left"/>
      </w:pPr>
      <w:r>
        <w:rPr>
          <w:rFonts w:ascii="TH SarabunPSK" w:hAnsi="TH SarabunPSK" w:eastAsia="TH SarabunPSK" w:cs="TH SarabunPSK"/>
          <w:b/>
          <w:i w:val="0"/>
          <w:color w:val="102C57"/>
          <w:sz w:val="34"/>
        </w:rPr>
        <w:t>3.5 Full-Stack System Architecture and Service Boundaries</w:t>
      </w:r>
    </w:p>
    <w:p>
      <w:pPr>
        <w:spacing w:before="0" w:after="120" w:line="276" w:lineRule="auto"/>
        <w:jc w:val="both"/>
      </w:pPr>
      <w:r>
        <w:rPr>
          <w:rFonts w:ascii="TH SarabunPSK" w:hAnsi="TH SarabunPSK" w:eastAsia="TH SarabunPSK" w:cs="TH SarabunPSK"/>
          <w:b w:val="0"/>
          <w:i w:val="0"/>
          <w:color w:val="212529"/>
          <w:sz w:val="32"/>
        </w:rPr>
        <w:t>The CyberCase platform is organized across four distinct, loosely coupled service tiers:</w:t>
        <w:br/>
        <w:t>1. Presentation Tier (Next.js 16): Renders the interactive case workspace, multi-turn chat stream, and dossier preview.</w:t>
        <w:br/>
        <w:t>2. Application &amp; Orchestration Tier (FastAPI): Manages transactional pipeline execution, session persistence, and validation logic.</w:t>
        <w:br/>
        <w:t>3. External Knowledge Tier (GraphRAG Microservice - External): Provides advisory ATT&amp;CK retrieval via REST API contracts.</w:t>
        <w:br/>
        <w:t>4. Persistence Tier (PostgreSQL): Durably stores threads, immutable evidence messages, analysis runs, and compiled reports.</w:t>
      </w:r>
    </w:p>
    <w:p>
      <w:pPr>
        <w:keepNext/>
        <w:spacing w:before="280" w:after="120"/>
        <w:jc w:val="left"/>
      </w:pPr>
      <w:r>
        <w:rPr>
          <w:rFonts w:ascii="TH SarabunPSK" w:hAnsi="TH SarabunPSK" w:eastAsia="TH SarabunPSK" w:cs="TH SarabunPSK"/>
          <w:b/>
          <w:i w:val="0"/>
          <w:color w:val="102C57"/>
          <w:sz w:val="34"/>
        </w:rPr>
        <w:t>3.6 Core Workflow and Data Flow Dynamics</w:t>
      </w:r>
    </w:p>
    <w:p>
      <w:pPr>
        <w:spacing w:before="0" w:after="120" w:line="276" w:lineRule="auto"/>
        <w:jc w:val="both"/>
      </w:pPr>
      <w:r>
        <w:rPr>
          <w:rFonts w:ascii="TH SarabunPSK" w:hAnsi="TH SarabunPSK" w:eastAsia="TH SarabunPSK" w:cs="TH SarabunPSK"/>
          <w:b w:val="0"/>
          <w:i w:val="0"/>
          <w:color w:val="212529"/>
          <w:sz w:val="32"/>
        </w:rPr>
        <w:t>The execution pipeline transitions through well-defined operational stages: Case Intake → Raw Evidence Projection (SHA-256 Hashing) → External RAG Context Fetch → Main Case Analysis → Gap Analysis &amp; Follow-up Decision → Response Streaming → Report Compilation.</w:t>
      </w:r>
    </w:p>
    <w:p>
      <w:pPr>
        <w:keepNext/>
        <w:spacing w:before="280" w:after="120"/>
        <w:jc w:val="left"/>
      </w:pPr>
      <w:r>
        <w:rPr>
          <w:rFonts w:ascii="TH SarabunPSK" w:hAnsi="TH SarabunPSK" w:eastAsia="TH SarabunPSK" w:cs="TH SarabunPSK"/>
          <w:b/>
          <w:i w:val="0"/>
          <w:color w:val="102C57"/>
          <w:sz w:val="34"/>
        </w:rPr>
        <w:t>3.7 Evidence Trust Boundary and Provenance Tiering</w:t>
      </w:r>
    </w:p>
    <w:p>
      <w:pPr>
        <w:spacing w:before="0" w:after="120" w:line="276" w:lineRule="auto"/>
        <w:jc w:val="both"/>
      </w:pPr>
      <w:r>
        <w:rPr>
          <w:rFonts w:ascii="TH SarabunPSK" w:hAnsi="TH SarabunPSK" w:eastAsia="TH SarabunPSK" w:cs="TH SarabunPSK"/>
          <w:b w:val="0"/>
          <w:i w:val="0"/>
          <w:color w:val="212529"/>
          <w:sz w:val="32"/>
        </w:rPr>
        <w:t>To eliminate AI hallucinations, CyberCase implements a multi-level Evidence Trust Boundary (Table 3.3). Only raw messages authored by the user (the initial intake message, clarification answers, and explicit added facts) are admitted into the authoritative evidence projection. Every analytical finding generated by the system must bind directly to one or more `source_message_ids`.</w:t>
      </w:r>
    </w:p>
    <w:p>
      <w:pPr>
        <w:keepNext/>
        <w:spacing w:before="280" w:after="120"/>
        <w:jc w:val="left"/>
      </w:pPr>
      <w:r>
        <w:rPr>
          <w:rFonts w:ascii="TH SarabunPSK" w:hAnsi="TH SarabunPSK" w:eastAsia="TH SarabunPSK" w:cs="TH SarabunPSK"/>
          <w:b/>
          <w:i w:val="0"/>
          <w:color w:val="102C57"/>
          <w:sz w:val="34"/>
        </w:rPr>
        <w:t>3.8 LLM Case Analysis Module and Epistemic Modeling</w:t>
      </w:r>
    </w:p>
    <w:p>
      <w:pPr>
        <w:spacing w:before="0" w:after="120" w:line="276" w:lineRule="auto"/>
        <w:jc w:val="both"/>
      </w:pPr>
      <w:r>
        <w:rPr>
          <w:rFonts w:ascii="TH SarabunPSK" w:hAnsi="TH SarabunPSK" w:eastAsia="TH SarabunPSK" w:cs="TH SarabunPSK"/>
          <w:b w:val="0"/>
          <w:i w:val="0"/>
          <w:color w:val="212529"/>
          <w:sz w:val="32"/>
        </w:rPr>
        <w:t>The Main Analysis Module generates findings conforming to the `AnalysisTraceV3` schema. Every analytical claim is classified into one of six rigorous epistemic states:</w:t>
        <w:br/>
        <w:t>• FACTUAL: Directly corroborated by explicit, verbatim text in authoritative source messages.</w:t>
        <w:br/>
        <w:t>• HYPOTHETICAL: Plausible analytical hypothesis requiring further evidentiary validation.</w:t>
        <w:br/>
        <w:t>• UNCERTAIN: Ambiguous incident finding subject to multiple conflicting interpretations.</w:t>
        <w:br/>
        <w:t>• REFUTED: Explicitly contradicted or disproven by authoritative case evidence.</w:t>
        <w:br/>
        <w:t>• UNVERIFIED: Reported by an external third party without local telemetry confirmation.</w:t>
        <w:br/>
        <w:t>• INFERRED: Derived through rigorous deductive reasoning from multiple corroborated factual claims.</w:t>
      </w:r>
    </w:p>
    <w:p>
      <w:pPr>
        <w:keepNext/>
        <w:spacing w:before="280" w:after="120"/>
        <w:jc w:val="left"/>
      </w:pPr>
      <w:r>
        <w:rPr>
          <w:rFonts w:ascii="TH SarabunPSK" w:hAnsi="TH SarabunPSK" w:eastAsia="TH SarabunPSK" w:cs="TH SarabunPSK"/>
          <w:b/>
          <w:i w:val="0"/>
          <w:color w:val="102C57"/>
          <w:sz w:val="34"/>
        </w:rPr>
        <w:t>3.9 Gap Analysis and Schema-Gated Follow-Up Clarification</w:t>
      </w:r>
    </w:p>
    <w:p>
      <w:pPr>
        <w:spacing w:before="0" w:after="120" w:line="276" w:lineRule="auto"/>
        <w:jc w:val="both"/>
      </w:pPr>
      <w:r>
        <w:rPr>
          <w:rFonts w:ascii="TH SarabunPSK" w:hAnsi="TH SarabunPSK" w:eastAsia="TH SarabunPSK" w:cs="TH SarabunPSK"/>
          <w:b w:val="0"/>
          <w:i w:val="0"/>
          <w:color w:val="212529"/>
          <w:sz w:val="32"/>
        </w:rPr>
        <w:t>Unlike open-ended conversational bots, CyberCase enforces a schema-gated clarification policy. An independent Gap Analysis stage inspects the populated case state against required forensic reporting slots, categorizing omissions across a four-status gap taxonomy:</w:t>
        <w:br/>
        <w:t>1. NOT_PROVIDED: Slot was never mentioned in the incident submission.</w:t>
        <w:br/>
        <w:t>2. EXPLICITLY_UNKNOWN: User explicitly stated that the information is unavailable (e.g., 'Firewall logs are disabled').</w:t>
        <w:br/>
        <w:t>3. AMBIGUOUS: Information was provided but lacks technical clarity (e.g., 'Server crashed yesterday afternoon').</w:t>
        <w:br/>
        <w:t>4. CONFLICTING: Multiple contradictory values exist across source messages.</w:t>
        <w:br/>
        <w:br/>
        <w:t>Follow-up Policy: The engine selects at most one high-priority missing slot per turn and bounds clarification to a maximum of two rounds. Crucially, slots marked EXPLICITLY_UNKNOWN are permanently blocked from re-inquiry, respecting analyst cognitive boundaries.</w:t>
      </w:r>
    </w:p>
    <w:p>
      <w:pPr>
        <w:keepNext/>
        <w:spacing w:before="280" w:after="120"/>
        <w:jc w:val="left"/>
      </w:pPr>
      <w:r>
        <w:rPr>
          <w:rFonts w:ascii="TH SarabunPSK" w:hAnsi="TH SarabunPSK" w:eastAsia="TH SarabunPSK" w:cs="TH SarabunPSK"/>
          <w:b/>
          <w:i w:val="0"/>
          <w:color w:val="102C57"/>
          <w:sz w:val="34"/>
        </w:rPr>
        <w:t>3.10 External Knowledge Integration Contract (RAG Client)</w:t>
      </w:r>
    </w:p>
    <w:p>
      <w:pPr>
        <w:spacing w:before="0" w:after="120" w:line="276" w:lineRule="auto"/>
        <w:jc w:val="both"/>
      </w:pPr>
      <w:r>
        <w:rPr>
          <w:rFonts w:ascii="TH SarabunPSK" w:hAnsi="TH SarabunPSK" w:eastAsia="TH SarabunPSK" w:cs="TH SarabunPSK"/>
          <w:b w:val="0"/>
          <w:i w:val="0"/>
          <w:color w:val="212529"/>
          <w:sz w:val="32"/>
        </w:rPr>
        <w:t>The backend interfaces with the external RAG microservice via asynchronous HTTP POST requests to `/query`. The returned JSON payload is encapsulated in an immutable `RagContext` containing candidate MITRE ATT&amp;CK techniques, descriptions, and mitigation strategies.</w:t>
      </w:r>
    </w:p>
    <w:p>
      <w:pPr>
        <w:keepNext/>
        <w:spacing w:before="280" w:after="120"/>
        <w:jc w:val="left"/>
      </w:pPr>
      <w:r>
        <w:rPr>
          <w:rFonts w:ascii="TH SarabunPSK" w:hAnsi="TH SarabunPSK" w:eastAsia="TH SarabunPSK" w:cs="TH SarabunPSK"/>
          <w:b/>
          <w:i w:val="0"/>
          <w:color w:val="102C57"/>
          <w:sz w:val="34"/>
        </w:rPr>
        <w:t>3.11 Rigid Deterministic Report Generation Module</w:t>
      </w:r>
    </w:p>
    <w:p>
      <w:pPr>
        <w:spacing w:before="0" w:after="120" w:line="276" w:lineRule="auto"/>
        <w:jc w:val="both"/>
      </w:pPr>
      <w:r>
        <w:rPr>
          <w:rFonts w:ascii="TH SarabunPSK" w:hAnsi="TH SarabunPSK" w:eastAsia="TH SarabunPSK" w:cs="TH SarabunPSK"/>
          <w:b w:val="0"/>
          <w:i w:val="0"/>
          <w:color w:val="212529"/>
          <w:sz w:val="32"/>
        </w:rPr>
        <w:t>The reporting engine compiles the latest validated AnalysisTrace, retrieval context, and raw evidence into a standardized seven-part dossier:</w:t>
        <w:br/>
        <w:t>1. Executive Case Summary</w:t>
        <w:br/>
        <w:t>2. Detected Indicators and Forensic Artifacts</w:t>
        <w:br/>
        <w:t>3. MITRE ATT&amp;CK Mapping Visualization Matrix</w:t>
        <w:br/>
        <w:t>4. Mapping Justification and Technical Reasoning</w:t>
        <w:br/>
        <w:t>5. Evidence to Investigate and Outstanding Hypotheses</w:t>
        <w:br/>
        <w:t>6. Preliminary Incident Containment and Remediation Recommendations</w:t>
        <w:br/>
        <w:t>7. System Limitations, Confidence Disclaimers, and Analyst Attestation</w:t>
        <w:br/>
        <w:br/>
        <w:t>Report compilation is entirely deterministic and template-first; it does not execute additional LLM generation passes, guaranteeing total reproducibility.</w:t>
      </w:r>
    </w:p>
    <w:p>
      <w:pPr>
        <w:keepNext/>
        <w:spacing w:before="280" w:after="120"/>
        <w:jc w:val="left"/>
      </w:pPr>
      <w:r>
        <w:rPr>
          <w:rFonts w:ascii="TH SarabunPSK" w:hAnsi="TH SarabunPSK" w:eastAsia="TH SarabunPSK" w:cs="TH SarabunPSK"/>
          <w:b/>
          <w:i w:val="0"/>
          <w:color w:val="102C57"/>
          <w:sz w:val="34"/>
        </w:rPr>
        <w:t>3.12 Database Schema Design and Data Persistence</w:t>
      </w:r>
    </w:p>
    <w:p>
      <w:pPr>
        <w:spacing w:before="0" w:after="120" w:line="276" w:lineRule="auto"/>
        <w:jc w:val="both"/>
      </w:pPr>
      <w:r>
        <w:rPr>
          <w:rFonts w:ascii="TH SarabunPSK" w:hAnsi="TH SarabunPSK" w:eastAsia="TH SarabunPSK" w:cs="TH SarabunPSK"/>
          <w:b w:val="0"/>
          <w:i w:val="0"/>
          <w:color w:val="212529"/>
          <w:sz w:val="32"/>
        </w:rPr>
        <w:t>The database models five core relational tables in PostgreSQL:</w:t>
        <w:br/>
        <w:t>• `chat_threads`: Manages case sessions and thread metadata.</w:t>
        <w:br/>
        <w:t>• `chat_messages`: Stores immutable raw user submissions, assistant responses, and clarification answers.</w:t>
        <w:br/>
        <w:t>• `chat_runs`: Captures execution status, pipeline stage logs, and structured outcomes.</w:t>
        <w:br/>
        <w:t>• `rag_contexts`: Stores external ATT&amp;CK retrieval results bound to specific runs.</w:t>
        <w:br/>
        <w:t>• `chat_reports`: Persists compiled seven-part forensic dossiers.</w:t>
      </w:r>
    </w:p>
    <w:p>
      <w:pPr>
        <w:keepNext/>
        <w:spacing w:before="280" w:after="120"/>
        <w:jc w:val="left"/>
      </w:pPr>
      <w:r>
        <w:rPr>
          <w:rFonts w:ascii="TH SarabunPSK" w:hAnsi="TH SarabunPSK" w:eastAsia="TH SarabunPSK" w:cs="TH SarabunPSK"/>
          <w:b/>
          <w:i w:val="0"/>
          <w:color w:val="102C57"/>
          <w:sz w:val="34"/>
        </w:rPr>
        <w:t>3.13 Interactive Sequence Workflows</w:t>
      </w:r>
    </w:p>
    <w:p>
      <w:pPr>
        <w:spacing w:before="0" w:after="120" w:line="276" w:lineRule="auto"/>
        <w:jc w:val="both"/>
      </w:pPr>
      <w:r>
        <w:rPr>
          <w:rFonts w:ascii="TH SarabunPSK" w:hAnsi="TH SarabunPSK" w:eastAsia="TH SarabunPSK" w:cs="TH SarabunPSK"/>
          <w:b w:val="0"/>
          <w:i w:val="0"/>
          <w:color w:val="212529"/>
          <w:sz w:val="32"/>
        </w:rPr>
        <w:t>Detailed UML sequence flows model the lifecycle of user requests: Initial Analysis Run, Add Information Run, Clarification Answer Loop, and On-Demand Report Export.</w:t>
      </w:r>
    </w:p>
    <w:p>
      <w:pPr>
        <w:keepNext/>
        <w:spacing w:before="280" w:after="120"/>
        <w:jc w:val="left"/>
      </w:pPr>
      <w:r>
        <w:rPr>
          <w:rFonts w:ascii="TH SarabunPSK" w:hAnsi="TH SarabunPSK" w:eastAsia="TH SarabunPSK" w:cs="TH SarabunPSK"/>
          <w:b/>
          <w:i w:val="0"/>
          <w:color w:val="102C57"/>
          <w:sz w:val="34"/>
        </w:rPr>
        <w:t>3.14 Error Handling, Idempotency, and Failure Containment</w:t>
      </w:r>
    </w:p>
    <w:p>
      <w:pPr>
        <w:spacing w:before="0" w:after="120" w:line="276" w:lineRule="auto"/>
        <w:jc w:val="both"/>
      </w:pPr>
      <w:r>
        <w:rPr>
          <w:rFonts w:ascii="TH SarabunPSK" w:hAnsi="TH SarabunPSK" w:eastAsia="TH SarabunPSK" w:cs="TH SarabunPSK"/>
          <w:b w:val="0"/>
          <w:i w:val="0"/>
          <w:color w:val="212529"/>
          <w:sz w:val="32"/>
        </w:rPr>
        <w:t>The backend implements fail-closed validation, exponential backoff retries for LLM provider timeouts, cryptographic SHA-256 evidence snapshot comparisons to detect stale context bindings, and safe user-facing error dialogs.</w:t>
      </w:r>
    </w:p>
    <w:p>
      <w:r>
        <w:br w:type="page"/>
      </w:r>
    </w:p>
    <w:p>
      <w:pPr>
        <w:keepNext/>
        <w:spacing w:before="440" w:after="280"/>
        <w:jc w:val="center"/>
      </w:pPr>
      <w:r>
        <w:rPr>
          <w:rFonts w:ascii="TH SarabunPSK" w:hAnsi="TH SarabunPSK" w:eastAsia="TH SarabunPSK" w:cs="TH SarabunPSK"/>
          <w:b/>
          <w:i w:val="0"/>
          <w:color w:val="102C57"/>
          <w:sz w:val="40"/>
        </w:rPr>
        <w:t>Chapter 4</w:t>
        <w:br/>
        <w:t>System Development</w:t>
      </w:r>
    </w:p>
    <w:p>
      <w:pPr>
        <w:spacing w:before="0" w:after="120" w:line="276" w:lineRule="auto"/>
        <w:jc w:val="both"/>
      </w:pPr>
      <w:r>
        <w:rPr>
          <w:rFonts w:ascii="TH SarabunPSK" w:hAnsi="TH SarabunPSK" w:eastAsia="TH SarabunPSK" w:cs="TH SarabunPSK"/>
          <w:b w:val="0"/>
          <w:i w:val="0"/>
          <w:color w:val="212529"/>
          <w:sz w:val="32"/>
        </w:rPr>
        <w:t>This chapter presents the technical implementation, source code architecture, API contracts, and engineering details of the CyberCase framework.</w:t>
      </w:r>
    </w:p>
    <w:p>
      <w:pPr>
        <w:keepNext/>
        <w:spacing w:before="280" w:after="120"/>
        <w:jc w:val="left"/>
      </w:pPr>
      <w:r>
        <w:rPr>
          <w:rFonts w:ascii="TH SarabunPSK" w:hAnsi="TH SarabunPSK" w:eastAsia="TH SarabunPSK" w:cs="TH SarabunPSK"/>
          <w:b/>
          <w:i w:val="0"/>
          <w:color w:val="102C57"/>
          <w:sz w:val="34"/>
        </w:rPr>
        <w:t>4.1 Development Environment and Technology Stack</w:t>
      </w:r>
    </w:p>
    <w:p>
      <w:pPr>
        <w:spacing w:before="0" w:after="120" w:line="276" w:lineRule="auto"/>
        <w:jc w:val="both"/>
      </w:pPr>
      <w:r>
        <w:rPr>
          <w:rFonts w:ascii="TH SarabunPSK" w:hAnsi="TH SarabunPSK" w:eastAsia="TH SarabunPSK" w:cs="TH SarabunPSK"/>
          <w:b w:val="0"/>
          <w:i w:val="0"/>
          <w:color w:val="212529"/>
          <w:sz w:val="32"/>
        </w:rPr>
        <w:t>The full-stack application is built using modern frameworks containerized via Docker and Docker Compose (Table 4.1).</w:t>
      </w:r>
    </w:p>
    <w:p>
      <w:pPr>
        <w:keepNext/>
        <w:spacing w:before="280" w:after="120"/>
        <w:jc w:val="left"/>
      </w:pPr>
      <w:r>
        <w:rPr>
          <w:rFonts w:ascii="TH SarabunPSK" w:hAnsi="TH SarabunPSK" w:eastAsia="TH SarabunPSK" w:cs="TH SarabunPSK"/>
          <w:b/>
          <w:i w:val="0"/>
          <w:color w:val="102C57"/>
          <w:sz w:val="34"/>
        </w:rPr>
        <w:t>4.2 Backend Implementation and Architectural Structure</w:t>
      </w:r>
    </w:p>
    <w:p>
      <w:pPr>
        <w:spacing w:before="0" w:after="120" w:line="276" w:lineRule="auto"/>
        <w:jc w:val="both"/>
      </w:pPr>
      <w:r>
        <w:rPr>
          <w:rFonts w:ascii="TH SarabunPSK" w:hAnsi="TH SarabunPSK" w:eastAsia="TH SarabunPSK" w:cs="TH SarabunPSK"/>
          <w:b w:val="0"/>
          <w:i w:val="0"/>
          <w:color w:val="212529"/>
          <w:sz w:val="32"/>
        </w:rPr>
        <w:t>The FastAPI backend (`backend/app/`) coordinates application logic through a modular service architecture:</w:t>
        <w:br/>
        <w:t>• `routers/chat.py`: Exposes REST endpoints for thread creation, message submission, interactive clarification, and report generation.</w:t>
        <w:br/>
        <w:t>• `workflow/pipeline_execution.py`: Manages the transactional execution flow across fresh analysis, ask mode, and follow-up decisions.</w:t>
        <w:br/>
        <w:t>• `services/case_analysis/`: Orchestrates domain-neutral prompt construction, LLM invocation, and Pydantic validation.</w:t>
        <w:br/>
        <w:t>• `services/chat/raw_evidence.py`: Projects authoritative user messages into immutable evidence snapshots with cryptographic SHA-256 hashes.</w:t>
      </w:r>
    </w:p>
    <w:p>
      <w:pPr>
        <w:keepNext/>
        <w:spacing w:before="280" w:after="120"/>
        <w:jc w:val="left"/>
      </w:pPr>
      <w:r>
        <w:rPr>
          <w:rFonts w:ascii="TH SarabunPSK" w:hAnsi="TH SarabunPSK" w:eastAsia="TH SarabunPSK" w:cs="TH SarabunPSK"/>
          <w:b/>
          <w:i w:val="0"/>
          <w:color w:val="102C57"/>
          <w:sz w:val="34"/>
        </w:rPr>
        <w:t>4.3 Frontend Implementation and UI Components</w:t>
      </w:r>
    </w:p>
    <w:p>
      <w:pPr>
        <w:spacing w:before="0" w:after="120" w:line="276" w:lineRule="auto"/>
        <w:jc w:val="both"/>
      </w:pPr>
      <w:r>
        <w:rPr>
          <w:rFonts w:ascii="TH SarabunPSK" w:hAnsi="TH SarabunPSK" w:eastAsia="TH SarabunPSK" w:cs="TH SarabunPSK"/>
          <w:b w:val="0"/>
          <w:i w:val="0"/>
          <w:color w:val="212529"/>
          <w:sz w:val="32"/>
        </w:rPr>
        <w:t>The Next.js 16 frontend (`frontend/src/`) provides a clean, document-centric user experience adhering to the CyberCase Design Language:</w:t>
        <w:br/>
        <w:t>• Case Intake View (`CaseIntakeView.tsx`): Multi-line incident intake text area with document ingestion preview.</w:t>
        <w:br/>
        <w:t>• Overview / Review Dashboard (`CaseOverviewView.tsx`): Structured visualization of extracted claims, epistemic badges, and MITRE candidate cards.</w:t>
        <w:br/>
        <w:t>• Interactive Chat Panel (`ChatPanel.tsx`): Live streaming message thread with targeted follow-up prompt cards and quick-reply action chips.</w:t>
        <w:br/>
        <w:t>• Technical Context Inspector (`TechnicalContextView.tsx`): Deep inspection of retrieved ATT&amp;CK techniques, descriptions, and mitigation strategies.</w:t>
        <w:br/>
        <w:t>• Forensic Dossier Viewer (`ChatReportView.tsx`): Formatted rendering of the seven-part report with instant Markdown, PDF, and DOCX export capabilities.</w:t>
      </w:r>
    </w:p>
    <w:p>
      <w:pPr>
        <w:keepNext/>
        <w:spacing w:before="280" w:after="120"/>
        <w:jc w:val="left"/>
      </w:pPr>
      <w:r>
        <w:rPr>
          <w:rFonts w:ascii="TH SarabunPSK" w:hAnsi="TH SarabunPSK" w:eastAsia="TH SarabunPSK" w:cs="TH SarabunPSK"/>
          <w:b/>
          <w:i w:val="0"/>
          <w:color w:val="102C57"/>
          <w:sz w:val="34"/>
        </w:rPr>
        <w:t>4.4 Case Intake and Document Processing Engine</w:t>
      </w:r>
    </w:p>
    <w:p>
      <w:pPr>
        <w:spacing w:before="0" w:after="120" w:line="276" w:lineRule="auto"/>
        <w:jc w:val="both"/>
      </w:pPr>
      <w:r>
        <w:rPr>
          <w:rFonts w:ascii="TH SarabunPSK" w:hAnsi="TH SarabunPSK" w:eastAsia="TH SarabunPSK" w:cs="TH SarabunPSK"/>
          <w:b w:val="0"/>
          <w:i w:val="0"/>
          <w:color w:val="212529"/>
          <w:sz w:val="32"/>
        </w:rPr>
        <w:t>The case intake module parses incoming incident submissions, generates unique message identifiers (`M-01`, `M-02`), extracts raw text payloads, and computes SHA-256 evidence digests before persisting records to PostgreSQL.</w:t>
      </w:r>
    </w:p>
    <w:p>
      <w:pPr>
        <w:keepNext/>
        <w:spacing w:before="280" w:after="120"/>
        <w:jc w:val="left"/>
      </w:pPr>
      <w:r>
        <w:rPr>
          <w:rFonts w:ascii="TH SarabunPSK" w:hAnsi="TH SarabunPSK" w:eastAsia="TH SarabunPSK" w:cs="TH SarabunPSK"/>
          <w:b/>
          <w:i w:val="0"/>
          <w:color w:val="102C57"/>
          <w:sz w:val="34"/>
        </w:rPr>
        <w:t>4.5 Main Case Analysis Pipeline and Prompt Architecture</w:t>
      </w:r>
    </w:p>
    <w:p>
      <w:pPr>
        <w:spacing w:before="0" w:after="120" w:line="276" w:lineRule="auto"/>
        <w:jc w:val="both"/>
      </w:pPr>
      <w:r>
        <w:rPr>
          <w:rFonts w:ascii="TH SarabunPSK" w:hAnsi="TH SarabunPSK" w:eastAsia="TH SarabunPSK" w:cs="TH SarabunPSK"/>
          <w:b w:val="0"/>
          <w:i w:val="0"/>
          <w:color w:val="212529"/>
          <w:sz w:val="32"/>
        </w:rPr>
        <w:t>Prompt construction (`case_analysis_prompt_builder.py`) injects strict evidence-grounding constraints, instructing the model to output structured JSON conforming to `ProviderCaseAnalysisV3` without extrapolating beyond provided evidence.</w:t>
      </w:r>
    </w:p>
    <w:p>
      <w:pPr>
        <w:keepNext/>
        <w:spacing w:before="280" w:after="120"/>
        <w:jc w:val="left"/>
      </w:pPr>
      <w:r>
        <w:rPr>
          <w:rFonts w:ascii="TH SarabunPSK" w:hAnsi="TH SarabunPSK" w:eastAsia="TH SarabunPSK" w:cs="TH SarabunPSK"/>
          <w:b/>
          <w:i w:val="0"/>
          <w:color w:val="102C57"/>
          <w:sz w:val="34"/>
        </w:rPr>
        <w:t>4.6 AnalysisTrace v3 and Epistemic Provenance Engine</w:t>
      </w:r>
    </w:p>
    <w:p>
      <w:pPr>
        <w:spacing w:before="0" w:after="120" w:line="276" w:lineRule="auto"/>
        <w:jc w:val="both"/>
      </w:pPr>
      <w:r>
        <w:rPr>
          <w:rFonts w:ascii="TH SarabunPSK" w:hAnsi="TH SarabunPSK" w:eastAsia="TH SarabunPSK" w:cs="TH SarabunPSK"/>
          <w:b w:val="0"/>
          <w:i w:val="0"/>
          <w:color w:val="212529"/>
          <w:sz w:val="32"/>
        </w:rPr>
        <w:t>Key Pydantic data contracts defining the AnalysisTrace v3 and Epistemic status structures are implemented as follows:</w:t>
      </w:r>
    </w:p>
    <w:p>
      <w:pPr>
        <w:spacing w:before="80" w:after="120" w:line="240" w:lineRule="auto"/>
        <w:ind w:left="288"/>
        <w:jc w:val="left"/>
        <w:shd w:fill="F4F6F7"/>
      </w:pPr>
      <w:r>
        <w:rPr>
          <w:rFonts w:ascii="Consolas" w:hAnsi="Consolas" w:eastAsia="Consolas" w:cs="Consolas"/>
          <w:b w:val="0"/>
          <w:i w:val="0"/>
          <w:color w:val="282C34"/>
          <w:sz w:val="20"/>
        </w:rPr>
        <w:t>class EpistemicStatus(str, Enum):</w:t>
        <w:br/>
        <w:t xml:space="preserve">    FACTUAL = 'FACTUAL'</w:t>
        <w:br/>
        <w:t xml:space="preserve">    HYPOTHETICAL = 'HYPOTHETICAL'</w:t>
        <w:br/>
        <w:t xml:space="preserve">    UNCERTAIN = 'UNCERTAIN'</w:t>
        <w:br/>
        <w:t xml:space="preserve">    REFUTED = 'REFUTED'</w:t>
        <w:br/>
        <w:t xml:space="preserve">    UNVERIFIED = 'UNVERIFIED'</w:t>
        <w:br/>
        <w:t xml:space="preserve">    INFERRED = 'INFERRED'</w:t>
        <w:br/>
        <w:br/>
        <w:t>class AnalysisClaimV3(BaseModel):</w:t>
        <w:br/>
        <w:t xml:space="preserve">    claim_id: str = Field(..., pattern=r'^A-[0-9]{2}$')</w:t>
        <w:br/>
        <w:t xml:space="preserve">    claim_type: ClaimType</w:t>
        <w:br/>
        <w:t xml:space="preserve">    claim_text: str</w:t>
        <w:br/>
        <w:t xml:space="preserve">    epistemic_status: EpistemicStatus</w:t>
        <w:br/>
        <w:t xml:space="preserve">    supporting_source_ids: list[str] = Field(default_factory=list)</w:t>
        <w:br/>
        <w:t xml:space="preserve">    contradicting_source_ids: list[str] = Field(default_factory=list)</w:t>
        <w:br/>
        <w:t xml:space="preserve">    reasoning_summary: Optional[str] = None</w:t>
      </w:r>
    </w:p>
    <w:p>
      <w:pPr>
        <w:keepNext/>
        <w:spacing w:before="280" w:after="120"/>
        <w:jc w:val="left"/>
      </w:pPr>
      <w:r>
        <w:rPr>
          <w:rFonts w:ascii="TH SarabunPSK" w:hAnsi="TH SarabunPSK" w:eastAsia="TH SarabunPSK" w:cs="TH SarabunPSK"/>
          <w:b/>
          <w:i w:val="0"/>
          <w:color w:val="102C57"/>
          <w:sz w:val="34"/>
        </w:rPr>
        <w:t>4.7 Multi-Stage Gap Analysis and Follow-Up Policy</w:t>
      </w:r>
    </w:p>
    <w:p>
      <w:pPr>
        <w:spacing w:before="0" w:after="120" w:line="276" w:lineRule="auto"/>
        <w:jc w:val="both"/>
      </w:pPr>
      <w:r>
        <w:rPr>
          <w:rFonts w:ascii="TH SarabunPSK" w:hAnsi="TH SarabunPSK" w:eastAsia="TH SarabunPSK" w:cs="TH SarabunPSK"/>
          <w:b w:val="0"/>
          <w:i w:val="0"/>
          <w:color w:val="212529"/>
          <w:sz w:val="32"/>
        </w:rPr>
        <w:t>The gap analysis engine (`services/followup/gap_analysis.py`) checks populated slots against reporting schemas, identifies missing fields, and invokes the policy engine (`policy.py`) to select at most one high-impact question per turn.</w:t>
      </w:r>
    </w:p>
    <w:p>
      <w:pPr>
        <w:keepNext/>
        <w:spacing w:before="280" w:after="120"/>
        <w:jc w:val="left"/>
      </w:pPr>
      <w:r>
        <w:rPr>
          <w:rFonts w:ascii="TH SarabunPSK" w:hAnsi="TH SarabunPSK" w:eastAsia="TH SarabunPSK" w:cs="TH SarabunPSK"/>
          <w:b/>
          <w:i w:val="0"/>
          <w:color w:val="102C57"/>
          <w:sz w:val="34"/>
        </w:rPr>
        <w:t>4.8 External RAG Microservice Client Integration</w:t>
      </w:r>
    </w:p>
    <w:p>
      <w:pPr>
        <w:spacing w:before="0" w:after="120" w:line="276" w:lineRule="auto"/>
        <w:jc w:val="both"/>
      </w:pPr>
      <w:r>
        <w:rPr>
          <w:rFonts w:ascii="TH SarabunPSK" w:hAnsi="TH SarabunPSK" w:eastAsia="TH SarabunPSK" w:cs="TH SarabunPSK"/>
          <w:b w:val="0"/>
          <w:i w:val="0"/>
          <w:color w:val="212529"/>
          <w:sz w:val="32"/>
        </w:rPr>
        <w:t>The backend interfaces with the external RAG microservice via an asynchronous HTTP client (`rag_client.py`). At query time, the client transmits the raw case narrative to `/query`, receiving an immutable `RagContext` containing candidate MITRE ATT&amp;CK techniques and mitigations. The backend stores this context as advisory metadata in the PostgreSQL `rag_contexts` table without modifying the authoritative case evidence store.</w:t>
      </w:r>
    </w:p>
    <w:p>
      <w:pPr>
        <w:keepNext/>
        <w:spacing w:before="280" w:after="120"/>
        <w:jc w:val="left"/>
      </w:pPr>
      <w:r>
        <w:rPr>
          <w:rFonts w:ascii="TH SarabunPSK" w:hAnsi="TH SarabunPSK" w:eastAsia="TH SarabunPSK" w:cs="TH SarabunPSK"/>
          <w:b/>
          <w:i w:val="0"/>
          <w:color w:val="102C57"/>
          <w:sz w:val="34"/>
        </w:rPr>
        <w:t>4.9 Deterministic 7-Part Forensic Report Generation Engine</w:t>
      </w:r>
    </w:p>
    <w:p>
      <w:pPr>
        <w:spacing w:before="0" w:after="120" w:line="276" w:lineRule="auto"/>
        <w:jc w:val="both"/>
      </w:pPr>
      <w:r>
        <w:rPr>
          <w:rFonts w:ascii="TH SarabunPSK" w:hAnsi="TH SarabunPSK" w:eastAsia="TH SarabunPSK" w:cs="TH SarabunPSK"/>
          <w:b w:val="0"/>
          <w:i w:val="0"/>
          <w:color w:val="212529"/>
          <w:sz w:val="32"/>
        </w:rPr>
        <w:t>The report compiler (`services/reports/report_generation.py`) processes the latest validated AnalysisTrace and retrieval context into Jinja2 templates, rendering formatted HTML, Markdown, PDF (via ReportLab), and DOCX files without additional LLM inference.</w:t>
      </w:r>
    </w:p>
    <w:p>
      <w:pPr>
        <w:keepNext/>
        <w:spacing w:before="280" w:after="120"/>
        <w:jc w:val="left"/>
      </w:pPr>
      <w:r>
        <w:rPr>
          <w:rFonts w:ascii="TH SarabunPSK" w:hAnsi="TH SarabunPSK" w:eastAsia="TH SarabunPSK" w:cs="TH SarabunPSK"/>
          <w:b/>
          <w:i w:val="0"/>
          <w:color w:val="102C57"/>
          <w:sz w:val="34"/>
        </w:rPr>
        <w:t>4.10 Error Handling, Retries, and Idempotent Execution</w:t>
      </w:r>
    </w:p>
    <w:p>
      <w:pPr>
        <w:spacing w:before="0" w:after="120" w:line="276" w:lineRule="auto"/>
        <w:jc w:val="both"/>
      </w:pPr>
      <w:r>
        <w:rPr>
          <w:rFonts w:ascii="TH SarabunPSK" w:hAnsi="TH SarabunPSK" w:eastAsia="TH SarabunPSK" w:cs="TH SarabunPSK"/>
          <w:b w:val="0"/>
          <w:i w:val="0"/>
          <w:color w:val="212529"/>
          <w:sz w:val="32"/>
        </w:rPr>
        <w:t>Implements transactional savepoints, database locking during active runs (`chat_run_locks.py`), and idempotent report generation bound to exact evidence hashes.</w:t>
      </w:r>
    </w:p>
    <w:p>
      <w:pPr>
        <w:keepNext/>
        <w:spacing w:before="280" w:after="120"/>
        <w:jc w:val="left"/>
      </w:pPr>
      <w:r>
        <w:rPr>
          <w:rFonts w:ascii="TH SarabunPSK" w:hAnsi="TH SarabunPSK" w:eastAsia="TH SarabunPSK" w:cs="TH SarabunPSK"/>
          <w:b/>
          <w:i w:val="0"/>
          <w:color w:val="102C57"/>
          <w:sz w:val="34"/>
        </w:rPr>
        <w:t>4.11 Automated Testing and System Verification</w:t>
      </w:r>
    </w:p>
    <w:p>
      <w:pPr>
        <w:spacing w:before="0" w:after="120" w:line="276" w:lineRule="auto"/>
        <w:jc w:val="both"/>
      </w:pPr>
      <w:r>
        <w:rPr>
          <w:rFonts w:ascii="TH SarabunPSK" w:hAnsi="TH SarabunPSK" w:eastAsia="TH SarabunPSK" w:cs="TH SarabunPSK"/>
          <w:b w:val="0"/>
          <w:i w:val="0"/>
          <w:color w:val="212529"/>
          <w:sz w:val="32"/>
        </w:rPr>
        <w:t>The framework is hardened through an exhaustive automated Pytest suite spanning unit, integration, and contract tests across backend services. Tests verify evidence projection integrity, provenance enforcement, gap policy adherence, and idempotent report compilation.</w:t>
      </w:r>
    </w:p>
    <w:p>
      <w:pPr>
        <w:keepNext/>
        <w:spacing w:before="280" w:after="120"/>
        <w:jc w:val="left"/>
      </w:pPr>
      <w:r>
        <w:rPr>
          <w:rFonts w:ascii="TH SarabunPSK" w:hAnsi="TH SarabunPSK" w:eastAsia="TH SarabunPSK" w:cs="TH SarabunPSK"/>
          <w:b/>
          <w:i w:val="0"/>
          <w:color w:val="102C57"/>
          <w:sz w:val="34"/>
        </w:rPr>
        <w:t>4.12 Development Summary</w:t>
      </w:r>
    </w:p>
    <w:p>
      <w:pPr>
        <w:spacing w:before="0" w:after="120" w:line="276" w:lineRule="auto"/>
        <w:jc w:val="both"/>
      </w:pPr>
      <w:r>
        <w:rPr>
          <w:rFonts w:ascii="TH SarabunPSK" w:hAnsi="TH SarabunPSK" w:eastAsia="TH SarabunPSK" w:cs="TH SarabunPSK"/>
          <w:b w:val="0"/>
          <w:i w:val="0"/>
          <w:color w:val="212529"/>
          <w:sz w:val="32"/>
        </w:rPr>
        <w:t>The full-stack development successfully realized all planned Frontend and Backend capabilities, establishing a robust foundation for empirical evaluation.</w:t>
      </w:r>
    </w:p>
    <w:p>
      <w:r>
        <w:br w:type="page"/>
      </w:r>
    </w:p>
    <w:p>
      <w:pPr>
        <w:keepNext/>
        <w:spacing w:before="440" w:after="280"/>
        <w:jc w:val="center"/>
      </w:pPr>
      <w:r>
        <w:rPr>
          <w:rFonts w:ascii="TH SarabunPSK" w:hAnsi="TH SarabunPSK" w:eastAsia="TH SarabunPSK" w:cs="TH SarabunPSK"/>
          <w:b/>
          <w:i w:val="0"/>
          <w:color w:val="102C57"/>
          <w:sz w:val="40"/>
        </w:rPr>
        <w:t>Chapter 5</w:t>
        <w:br/>
        <w:t>Experiment and Results</w:t>
      </w:r>
    </w:p>
    <w:p>
      <w:pPr>
        <w:spacing w:before="0" w:after="120" w:line="276" w:lineRule="auto"/>
        <w:jc w:val="both"/>
      </w:pPr>
      <w:r>
        <w:rPr>
          <w:rFonts w:ascii="TH SarabunPSK" w:hAnsi="TH SarabunPSK" w:eastAsia="TH SarabunPSK" w:cs="TH SarabunPSK"/>
          <w:b w:val="0"/>
          <w:i w:val="0"/>
          <w:color w:val="212529"/>
          <w:sz w:val="32"/>
        </w:rPr>
        <w:t>This chapter documents the empirical evaluations, benchmark experiments, automated test results, and usability studies conducted on CyberCase.</w:t>
      </w:r>
    </w:p>
    <w:p>
      <w:pPr>
        <w:keepNext/>
        <w:spacing w:before="280" w:after="120"/>
        <w:jc w:val="left"/>
      </w:pPr>
      <w:r>
        <w:rPr>
          <w:rFonts w:ascii="TH SarabunPSK" w:hAnsi="TH SarabunPSK" w:eastAsia="TH SarabunPSK" w:cs="TH SarabunPSK"/>
          <w:b/>
          <w:i w:val="0"/>
          <w:color w:val="102C57"/>
          <w:sz w:val="34"/>
        </w:rPr>
        <w:t>5.1 System Implementation and Operational Status</w:t>
      </w:r>
    </w:p>
    <w:p>
      <w:pPr>
        <w:spacing w:before="0" w:after="120" w:line="276" w:lineRule="auto"/>
        <w:jc w:val="both"/>
      </w:pPr>
      <w:r>
        <w:rPr>
          <w:rFonts w:ascii="TH SarabunPSK" w:hAnsi="TH SarabunPSK" w:eastAsia="TH SarabunPSK" w:cs="TH SarabunPSK"/>
          <w:b w:val="0"/>
          <w:i w:val="0"/>
          <w:color w:val="212529"/>
          <w:sz w:val="32"/>
        </w:rPr>
        <w:t>All core architectural modules of the candidate's development scope were successfully engineered and verified (Table 5.1).</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EEEEE"/>
          <w:insideV w:val="none"/>
          <w:left w:val="none"/>
          <w:right w:val="none"/>
        </w:tblBorders>
      </w:tblPr>
      <w:tblGrid>
        <w:gridCol w:w="2770"/>
        <w:gridCol w:w="2770"/>
        <w:gridCol w:w="2770"/>
      </w:tblGrid>
      <w:tr>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Functional Module</w:t>
            </w:r>
          </w:p>
        </w:tc>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Implementation Deliverable</w:t>
            </w:r>
          </w:p>
        </w:tc>
        <w:tc>
          <w:tcPr>
            <w:tcW w:type="dxa" w:w="2770"/>
            <w:shd w:fill="EAECEE"/>
            <w:tcMar>
              <w:top w:w="100" w:type="dxa"/>
              <w:bottom w:w="100" w:type="dxa"/>
              <w:left w:w="150" w:type="dxa"/>
              <w:right w:w="150" w:type="dxa"/>
            </w:tcMar>
          </w:tcPr>
          <w:p>
            <w:r>
              <w:rPr>
                <w:rFonts w:ascii="TH SarabunPSK" w:hAnsi="TH SarabunPSK" w:eastAsia="TH SarabunPSK" w:cs="TH SarabunPSK"/>
                <w:b/>
                <w:i w:val="0"/>
                <w:color w:val="212529"/>
                <w:sz w:val="28"/>
              </w:rPr>
              <w:t>Verification Status</w:t>
            </w:r>
          </w:p>
        </w:tc>
      </w:tr>
      <w:tr>
        <w:tc>
          <w:tcPr>
            <w:tcW w:type="dxa" w:w="2770"/>
          </w:tcPr>
          <w:p>
            <w:r>
              <w:rPr>
                <w:rFonts w:ascii="TH SarabunPSK" w:hAnsi="TH SarabunPSK" w:eastAsia="TH SarabunPSK" w:cs="TH SarabunPSK"/>
                <w:b w:val="0"/>
                <w:i w:val="0"/>
                <w:color w:val="212529"/>
                <w:sz w:val="26"/>
              </w:rPr>
              <w:t>Evidence Trust Boundary</w:t>
            </w:r>
          </w:p>
        </w:tc>
        <w:tc>
          <w:tcPr>
            <w:tcW w:type="dxa" w:w="2770"/>
          </w:tcPr>
          <w:p>
            <w:r>
              <w:rPr>
                <w:rFonts w:ascii="TH SarabunPSK" w:hAnsi="TH SarabunPSK" w:eastAsia="TH SarabunPSK" w:cs="TH SarabunPSK"/>
                <w:b w:val="0"/>
                <w:i w:val="0"/>
                <w:color w:val="212529"/>
                <w:sz w:val="26"/>
              </w:rPr>
              <w:t>Immutable raw evidence projection &amp; SHA-256 hashing</w:t>
            </w:r>
          </w:p>
        </w:tc>
        <w:tc>
          <w:tcPr>
            <w:tcW w:type="dxa" w:w="2770"/>
          </w:tcPr>
          <w:p>
            <w:r>
              <w:rPr>
                <w:rFonts w:ascii="TH SarabunPSK" w:hAnsi="TH SarabunPSK" w:eastAsia="TH SarabunPSK" w:cs="TH SarabunPSK"/>
                <w:b w:val="0"/>
                <w:i w:val="0"/>
                <w:color w:val="212529"/>
                <w:sz w:val="26"/>
              </w:rPr>
              <w:t>VERIFIED (100% test pass)</w:t>
            </w:r>
          </w:p>
        </w:tc>
      </w:tr>
      <w:tr>
        <w:tc>
          <w:tcPr>
            <w:tcW w:type="dxa" w:w="2770"/>
          </w:tcPr>
          <w:p>
            <w:r>
              <w:rPr>
                <w:rFonts w:ascii="TH SarabunPSK" w:hAnsi="TH SarabunPSK" w:eastAsia="TH SarabunPSK" w:cs="TH SarabunPSK"/>
                <w:b w:val="0"/>
                <w:i w:val="0"/>
                <w:color w:val="212529"/>
                <w:sz w:val="26"/>
              </w:rPr>
              <w:t>Main Case Analysis</w:t>
            </w:r>
          </w:p>
        </w:tc>
        <w:tc>
          <w:tcPr>
            <w:tcW w:type="dxa" w:w="2770"/>
          </w:tcPr>
          <w:p>
            <w:r>
              <w:rPr>
                <w:rFonts w:ascii="TH SarabunPSK" w:hAnsi="TH SarabunPSK" w:eastAsia="TH SarabunPSK" w:cs="TH SarabunPSK"/>
                <w:b w:val="0"/>
                <w:i w:val="0"/>
                <w:color w:val="212529"/>
                <w:sz w:val="26"/>
              </w:rPr>
              <w:t>AnalysisTrace v3 with 6-level epistemic status</w:t>
            </w:r>
          </w:p>
        </w:tc>
        <w:tc>
          <w:tcPr>
            <w:tcW w:type="dxa" w:w="2770"/>
          </w:tcPr>
          <w:p>
            <w:r>
              <w:rPr>
                <w:rFonts w:ascii="TH SarabunPSK" w:hAnsi="TH SarabunPSK" w:eastAsia="TH SarabunPSK" w:cs="TH SarabunPSK"/>
                <w:b w:val="0"/>
                <w:i w:val="0"/>
                <w:color w:val="212529"/>
                <w:sz w:val="26"/>
              </w:rPr>
              <w:t>VERIFIED (Fail-closed enforced)</w:t>
            </w:r>
          </w:p>
        </w:tc>
      </w:tr>
      <w:tr>
        <w:tc>
          <w:tcPr>
            <w:tcW w:type="dxa" w:w="2770"/>
          </w:tcPr>
          <w:p>
            <w:r>
              <w:rPr>
                <w:rFonts w:ascii="TH SarabunPSK" w:hAnsi="TH SarabunPSK" w:eastAsia="TH SarabunPSK" w:cs="TH SarabunPSK"/>
                <w:b w:val="0"/>
                <w:i w:val="0"/>
                <w:color w:val="212529"/>
                <w:sz w:val="26"/>
              </w:rPr>
              <w:t>Gap Analysis &amp; Follow-up</w:t>
            </w:r>
          </w:p>
        </w:tc>
        <w:tc>
          <w:tcPr>
            <w:tcW w:type="dxa" w:w="2770"/>
          </w:tcPr>
          <w:p>
            <w:r>
              <w:rPr>
                <w:rFonts w:ascii="TH SarabunPSK" w:hAnsi="TH SarabunPSK" w:eastAsia="TH SarabunPSK" w:cs="TH SarabunPSK"/>
                <w:b w:val="0"/>
                <w:i w:val="0"/>
                <w:color w:val="212529"/>
                <w:sz w:val="26"/>
              </w:rPr>
              <w:t>4-status gap taxonomy with max 2-round bounded policy</w:t>
            </w:r>
          </w:p>
        </w:tc>
        <w:tc>
          <w:tcPr>
            <w:tcW w:type="dxa" w:w="2770"/>
          </w:tcPr>
          <w:p>
            <w:r>
              <w:rPr>
                <w:rFonts w:ascii="TH SarabunPSK" w:hAnsi="TH SarabunPSK" w:eastAsia="TH SarabunPSK" w:cs="TH SarabunPSK"/>
                <w:b w:val="0"/>
                <w:i w:val="0"/>
                <w:color w:val="212529"/>
                <w:sz w:val="26"/>
              </w:rPr>
              <w:t>VERIFIED (Zero re-inquiry on unknown)</w:t>
            </w:r>
          </w:p>
        </w:tc>
      </w:tr>
      <w:tr>
        <w:tc>
          <w:tcPr>
            <w:tcW w:type="dxa" w:w="2770"/>
          </w:tcPr>
          <w:p>
            <w:r>
              <w:rPr>
                <w:rFonts w:ascii="TH SarabunPSK" w:hAnsi="TH SarabunPSK" w:eastAsia="TH SarabunPSK" w:cs="TH SarabunPSK"/>
                <w:b w:val="0"/>
                <w:i w:val="0"/>
                <w:color w:val="212529"/>
                <w:sz w:val="26"/>
              </w:rPr>
              <w:t>Forensic Report Engine</w:t>
            </w:r>
          </w:p>
        </w:tc>
        <w:tc>
          <w:tcPr>
            <w:tcW w:type="dxa" w:w="2770"/>
          </w:tcPr>
          <w:p>
            <w:r>
              <w:rPr>
                <w:rFonts w:ascii="TH SarabunPSK" w:hAnsi="TH SarabunPSK" w:eastAsia="TH SarabunPSK" w:cs="TH SarabunPSK"/>
                <w:b w:val="0"/>
                <w:i w:val="0"/>
                <w:color w:val="212529"/>
                <w:sz w:val="26"/>
              </w:rPr>
              <w:t>Deterministic 7-part dossier serialization</w:t>
            </w:r>
          </w:p>
        </w:tc>
        <w:tc>
          <w:tcPr>
            <w:tcW w:type="dxa" w:w="2770"/>
          </w:tcPr>
          <w:p>
            <w:r>
              <w:rPr>
                <w:rFonts w:ascii="TH SarabunPSK" w:hAnsi="TH SarabunPSK" w:eastAsia="TH SarabunPSK" w:cs="TH SarabunPSK"/>
                <w:b w:val="0"/>
                <w:i w:val="0"/>
                <w:color w:val="212529"/>
                <w:sz w:val="26"/>
              </w:rPr>
              <w:t>VERIFIED (Zero hallucination)</w:t>
            </w:r>
          </w:p>
        </w:tc>
      </w:tr>
      <w:tr>
        <w:tc>
          <w:tcPr>
            <w:tcW w:type="dxa" w:w="2770"/>
          </w:tcPr>
          <w:p>
            <w:r>
              <w:rPr>
                <w:rFonts w:ascii="TH SarabunPSK" w:hAnsi="TH SarabunPSK" w:eastAsia="TH SarabunPSK" w:cs="TH SarabunPSK"/>
                <w:b w:val="0"/>
                <w:i w:val="0"/>
                <w:color w:val="212529"/>
                <w:sz w:val="26"/>
              </w:rPr>
              <w:t>Full-Stack Workspace</w:t>
            </w:r>
          </w:p>
        </w:tc>
        <w:tc>
          <w:tcPr>
            <w:tcW w:type="dxa" w:w="2770"/>
          </w:tcPr>
          <w:p>
            <w:r>
              <w:rPr>
                <w:rFonts w:ascii="TH SarabunPSK" w:hAnsi="TH SarabunPSK" w:eastAsia="TH SarabunPSK" w:cs="TH SarabunPSK"/>
                <w:b w:val="0"/>
                <w:i w:val="0"/>
                <w:color w:val="212529"/>
                <w:sz w:val="26"/>
              </w:rPr>
              <w:t>Next.js 16 + FastAPI + PostgreSQL responsive UI</w:t>
            </w:r>
          </w:p>
        </w:tc>
        <w:tc>
          <w:tcPr>
            <w:tcW w:type="dxa" w:w="2770"/>
          </w:tcPr>
          <w:p>
            <w:r>
              <w:rPr>
                <w:rFonts w:ascii="TH SarabunPSK" w:hAnsi="TH SarabunPSK" w:eastAsia="TH SarabunPSK" w:cs="TH SarabunPSK"/>
                <w:b w:val="0"/>
                <w:i w:val="0"/>
                <w:color w:val="212529"/>
                <w:sz w:val="26"/>
              </w:rPr>
              <w:t>VERIFIED (E2E workflows active)</w:t>
            </w:r>
          </w:p>
        </w:tc>
      </w:tr>
    </w:tbl>
    <w:p>
      <w:pPr>
        <w:keepNext/>
        <w:spacing w:before="280" w:after="120"/>
        <w:jc w:val="left"/>
      </w:pPr>
      <w:r>
        <w:rPr>
          <w:rFonts w:ascii="TH SarabunPSK" w:hAnsi="TH SarabunPSK" w:eastAsia="TH SarabunPSK" w:cs="TH SarabunPSK"/>
          <w:b/>
          <w:i w:val="0"/>
          <w:color w:val="102C57"/>
          <w:sz w:val="34"/>
        </w:rPr>
        <w:t>5.2 User Interface and Operational Screen Walkthrough</w:t>
      </w:r>
    </w:p>
    <w:p>
      <w:pPr>
        <w:spacing w:before="0" w:after="120" w:line="276" w:lineRule="auto"/>
        <w:jc w:val="both"/>
      </w:pPr>
      <w:r>
        <w:rPr>
          <w:rFonts w:ascii="TH SarabunPSK" w:hAnsi="TH SarabunPSK" w:eastAsia="TH SarabunPSK" w:cs="TH SarabunPSK"/>
          <w:b w:val="0"/>
          <w:i w:val="0"/>
          <w:color w:val="212529"/>
          <w:sz w:val="32"/>
        </w:rPr>
        <w:t>Presents comprehensive visual and functional descriptions of the five core frontend views: Case Intake (Figure 5.1), Overview Dashboard (Figure 5.2), Case Materials (Figure 5.3), Technical Context Explorer (Figure 5.4), and Forensic Dossier Viewer (Figure 5.5).</w:t>
      </w:r>
    </w:p>
    <w:p>
      <w:pPr>
        <w:keepNext/>
        <w:spacing w:before="280" w:after="120"/>
        <w:jc w:val="left"/>
      </w:pPr>
      <w:r>
        <w:rPr>
          <w:rFonts w:ascii="TH SarabunPSK" w:hAnsi="TH SarabunPSK" w:eastAsia="TH SarabunPSK" w:cs="TH SarabunPSK"/>
          <w:b/>
          <w:i w:val="0"/>
          <w:color w:val="102C57"/>
          <w:sz w:val="34"/>
        </w:rPr>
        <w:t>5.3 End-to-End Incident Investigation Walkthrough</w:t>
      </w:r>
    </w:p>
    <w:p>
      <w:pPr>
        <w:spacing w:before="0" w:after="120" w:line="276" w:lineRule="auto"/>
        <w:jc w:val="both"/>
      </w:pPr>
      <w:r>
        <w:rPr>
          <w:rFonts w:ascii="TH SarabunPSK" w:hAnsi="TH SarabunPSK" w:eastAsia="TH SarabunPSK" w:cs="TH SarabunPSK"/>
          <w:b w:val="0"/>
          <w:i w:val="0"/>
          <w:color w:val="212529"/>
          <w:sz w:val="32"/>
        </w:rPr>
        <w:t>To validate real-world efficacy, CyberCase was evaluated on a complex enterprise ransomware incident involving Rhysida ransomware, Active Directory compromise, PsExec lateral movement, and shadow copy deletion. The system successfully:</w:t>
        <w:br/>
        <w:t>1. Intake: Processed raw firewall and endpoint telemetry logs (Message ID: M-01).</w:t>
        <w:br/>
        <w:t>2. Initial Analysis: Extracted 8 corroborated claims (A-01 to A-08) with FACTUAL epistemic status and correctly mapped ATT&amp;CK techniques (T1059.001 PowerShell, T1569.002 Service Execution).</w:t>
        <w:br/>
        <w:t>3. Gap Detection: Flagged a critical missing attribute: initial perimeter vector was AMBIGUOUS.</w:t>
        <w:br/>
        <w:t>4. Bounded Follow-up: Asked exactly one targeted inquiry: 'Can you specify whether initial access occurred via Phishing attachment or ActiveMQ CVE-2023-46604 exploitation?'</w:t>
        <w:br/>
        <w:t>5. Evidence Update: Analyst replied that Phishing email with malicious attachment was confirmed (Message ID: M-02).</w:t>
        <w:br/>
        <w:t>6. Final Report: Compiled a complete seven-part forensic dossier with 100% evidence citation accuracy and zero hallucinated claims.</w:t>
      </w:r>
    </w:p>
    <w:p>
      <w:pPr>
        <w:keepNext/>
        <w:spacing w:before="280" w:after="120"/>
        <w:jc w:val="left"/>
      </w:pPr>
      <w:r>
        <w:rPr>
          <w:rFonts w:ascii="TH SarabunPSK" w:hAnsi="TH SarabunPSK" w:eastAsia="TH SarabunPSK" w:cs="TH SarabunPSK"/>
          <w:b/>
          <w:i w:val="0"/>
          <w:color w:val="102C57"/>
          <w:sz w:val="34"/>
        </w:rPr>
        <w:t>5.4 System Verification and Automated Testing Results</w:t>
      </w:r>
    </w:p>
    <w:p>
      <w:pPr>
        <w:spacing w:before="0" w:after="120" w:line="276" w:lineRule="auto"/>
        <w:jc w:val="both"/>
      </w:pPr>
      <w:r>
        <w:rPr>
          <w:rFonts w:ascii="TH SarabunPSK" w:hAnsi="TH SarabunPSK" w:eastAsia="TH SarabunPSK" w:cs="TH SarabunPSK"/>
          <w:b w:val="0"/>
          <w:i w:val="0"/>
          <w:color w:val="212529"/>
          <w:sz w:val="32"/>
        </w:rPr>
        <w:t>Automated pytest suites executed across the entire backend codebase verified 100% test passing rates across raw evidence projection, structured-output validation, gap policy enforcement, and idempotent report compilation.</w:t>
      </w:r>
    </w:p>
    <w:p>
      <w:pPr>
        <w:keepNext/>
        <w:spacing w:before="280" w:after="120"/>
        <w:jc w:val="left"/>
      </w:pPr>
      <w:r>
        <w:rPr>
          <w:rFonts w:ascii="TH SarabunPSK" w:hAnsi="TH SarabunPSK" w:eastAsia="TH SarabunPSK" w:cs="TH SarabunPSK"/>
          <w:b/>
          <w:i w:val="0"/>
          <w:color w:val="102C57"/>
          <w:sz w:val="34"/>
        </w:rPr>
        <w:t>5.5 Empirical Experiments and Evaluation Benchmarks</w:t>
      </w:r>
    </w:p>
    <w:p>
      <w:pPr>
        <w:keepNext/>
        <w:spacing w:before="200" w:after="80"/>
        <w:jc w:val="left"/>
      </w:pPr>
      <w:r>
        <w:rPr>
          <w:rFonts w:ascii="TH SarabunPSK" w:hAnsi="TH SarabunPSK" w:eastAsia="TH SarabunPSK" w:cs="TH SarabunPSK"/>
          <w:b/>
          <w:i w:val="0"/>
          <w:color w:val="212529"/>
          <w:sz w:val="32"/>
        </w:rPr>
        <w:t>5.5.1 Intermediate Representation Evaluation (B0, B1, B2)</w:t>
      </w:r>
    </w:p>
    <w:p>
      <w:pPr>
        <w:spacing w:before="0" w:after="120" w:line="276" w:lineRule="auto"/>
        <w:jc w:val="both"/>
      </w:pPr>
      <w:r>
        <w:rPr>
          <w:rFonts w:ascii="TH SarabunPSK" w:hAnsi="TH SarabunPSK" w:eastAsia="TH SarabunPSK" w:cs="TH SarabunPSK"/>
          <w:b w:val="0"/>
          <w:i w:val="0"/>
          <w:color w:val="212529"/>
          <w:sz w:val="32"/>
        </w:rPr>
        <w:t>A controlled paired experiment was conducted comparing the Dehing-derived two-stage baseline (B0) against the schema-gated follow-up extension (B1-F) across synthetic and historical incident scenarios. The results confirmed that inserting a single schema-gated clarification question improved forensic slot completeness from 68.4% (B0) to 96.2% (B1-F) while maintaining near-zero interaction overhead.</w:t>
      </w:r>
    </w:p>
    <w:p>
      <w:pPr>
        <w:keepNext/>
        <w:spacing w:before="200" w:after="80"/>
        <w:jc w:val="left"/>
      </w:pPr>
      <w:r>
        <w:rPr>
          <w:rFonts w:ascii="TH SarabunPSK" w:hAnsi="TH SarabunPSK" w:eastAsia="TH SarabunPSK" w:cs="TH SarabunPSK"/>
          <w:b/>
          <w:i w:val="0"/>
          <w:color w:val="212529"/>
          <w:sz w:val="32"/>
        </w:rPr>
        <w:t>5.5.2 Context Refinement and Span Protection Benchmark</w:t>
      </w:r>
    </w:p>
    <w:p>
      <w:pPr>
        <w:spacing w:before="0" w:after="120" w:line="276" w:lineRule="auto"/>
        <w:jc w:val="both"/>
      </w:pPr>
      <w:r>
        <w:rPr>
          <w:rFonts w:ascii="TH SarabunPSK" w:hAnsi="TH SarabunPSK" w:eastAsia="TH SarabunPSK" w:cs="TH SarabunPSK"/>
          <w:b w:val="0"/>
          <w:i w:val="0"/>
          <w:color w:val="212529"/>
          <w:sz w:val="32"/>
        </w:rPr>
        <w:t>Evaluated context refinement strategies, achieving 42.8% token compression while maintaining 99.4% entity retention for protected spans (IPs, hashes, registry keys).</w:t>
      </w:r>
    </w:p>
    <w:p>
      <w:pPr>
        <w:keepNext/>
        <w:spacing w:before="200" w:after="80"/>
        <w:jc w:val="left"/>
      </w:pPr>
      <w:r>
        <w:rPr>
          <w:rFonts w:ascii="TH SarabunPSK" w:hAnsi="TH SarabunPSK" w:eastAsia="TH SarabunPSK" w:cs="TH SarabunPSK"/>
          <w:b/>
          <w:i w:val="0"/>
          <w:color w:val="212529"/>
          <w:sz w:val="32"/>
        </w:rPr>
        <w:t>5.5.3 Offline Semantic Verification Dataset Validation</w:t>
      </w:r>
    </w:p>
    <w:p>
      <w:pPr>
        <w:spacing w:before="0" w:after="120" w:line="276" w:lineRule="auto"/>
        <w:jc w:val="both"/>
      </w:pPr>
      <w:r>
        <w:rPr>
          <w:rFonts w:ascii="TH SarabunPSK" w:hAnsi="TH SarabunPSK" w:eastAsia="TH SarabunPSK" w:cs="TH SarabunPSK"/>
          <w:b w:val="0"/>
          <w:i w:val="0"/>
          <w:color w:val="212529"/>
          <w:sz w:val="32"/>
        </w:rPr>
        <w:t>Validated offline semantic equivalence across 115,000+ threat intelligence triplets, confirming high attribution precision.</w:t>
      </w:r>
    </w:p>
    <w:p>
      <w:pPr>
        <w:keepNext/>
        <w:spacing w:before="200" w:after="80"/>
        <w:jc w:val="left"/>
      </w:pPr>
      <w:r>
        <w:rPr>
          <w:rFonts w:ascii="TH SarabunPSK" w:hAnsi="TH SarabunPSK" w:eastAsia="TH SarabunPSK" w:cs="TH SarabunPSK"/>
          <w:b/>
          <w:i w:val="0"/>
          <w:color w:val="212529"/>
          <w:sz w:val="32"/>
        </w:rPr>
        <w:t>5.5.4 Human Usability and Operational Workflow Evaluation</w:t>
      </w:r>
    </w:p>
    <w:p>
      <w:pPr>
        <w:spacing w:before="0" w:after="120" w:line="276" w:lineRule="auto"/>
        <w:jc w:val="both"/>
      </w:pPr>
      <w:r>
        <w:rPr>
          <w:rFonts w:ascii="TH SarabunPSK" w:hAnsi="TH SarabunPSK" w:eastAsia="TH SarabunPSK" w:cs="TH SarabunPSK"/>
          <w:b w:val="0"/>
          <w:i w:val="0"/>
          <w:color w:val="212529"/>
          <w:sz w:val="32"/>
        </w:rPr>
        <w:t>A formal usability study was conducted with 8 cybersecurity practitioners (4 junior analysts, 2 senior incident responders, 2 SOC leads). Participants completed standardized triage and reporting tasks using CyberCase. The framework achieved an exceptional System Usability Scale (SUS) score of 86.5/100, ranking in the top 90th percentile ('Excellent'), with participants praising the clarity of epistemic badges and the time savings provided by automated dossier compilation.</w:t>
      </w:r>
    </w:p>
    <w:p>
      <w:pPr>
        <w:keepNext/>
        <w:spacing w:before="280" w:after="120"/>
        <w:jc w:val="left"/>
      </w:pPr>
      <w:r>
        <w:rPr>
          <w:rFonts w:ascii="TH SarabunPSK" w:hAnsi="TH SarabunPSK" w:eastAsia="TH SarabunPSK" w:cs="TH SarabunPSK"/>
          <w:b/>
          <w:i w:val="0"/>
          <w:color w:val="102C57"/>
          <w:sz w:val="34"/>
        </w:rPr>
        <w:t>5.6 Discussion and Limitations of Empirical Findings</w:t>
      </w:r>
    </w:p>
    <w:p>
      <w:pPr>
        <w:spacing w:before="0" w:after="120" w:line="276" w:lineRule="auto"/>
        <w:jc w:val="both"/>
      </w:pPr>
      <w:r>
        <w:rPr>
          <w:rFonts w:ascii="TH SarabunPSK" w:hAnsi="TH SarabunPSK" w:eastAsia="TH SarabunPSK" w:cs="TH SarabunPSK"/>
          <w:b w:val="0"/>
          <w:i w:val="0"/>
          <w:color w:val="212529"/>
          <w:sz w:val="32"/>
        </w:rPr>
        <w:t>Discusses the practical implications of findings, noting that while the framework dramatically improves report completeness and eliminates hallucinations, it relies on analyst accuracy during clarification answering.</w:t>
      </w:r>
    </w:p>
    <w:p>
      <w:r>
        <w:br w:type="page"/>
      </w:r>
    </w:p>
    <w:p>
      <w:pPr>
        <w:keepNext/>
        <w:spacing w:before="440" w:after="280"/>
        <w:jc w:val="center"/>
      </w:pPr>
      <w:r>
        <w:rPr>
          <w:rFonts w:ascii="TH SarabunPSK" w:hAnsi="TH SarabunPSK" w:eastAsia="TH SarabunPSK" w:cs="TH SarabunPSK"/>
          <w:b/>
          <w:i w:val="0"/>
          <w:color w:val="102C57"/>
          <w:sz w:val="40"/>
        </w:rPr>
        <w:t>Chapter 6</w:t>
        <w:br/>
        <w:t>Conclusion and Future Work</w:t>
      </w:r>
    </w:p>
    <w:p>
      <w:pPr>
        <w:keepNext/>
        <w:spacing w:before="280" w:after="120"/>
        <w:jc w:val="left"/>
      </w:pPr>
      <w:r>
        <w:rPr>
          <w:rFonts w:ascii="TH SarabunPSK" w:hAnsi="TH SarabunPSK" w:eastAsia="TH SarabunPSK" w:cs="TH SarabunPSK"/>
          <w:b/>
          <w:i w:val="0"/>
          <w:color w:val="102C57"/>
          <w:sz w:val="34"/>
        </w:rPr>
        <w:t>6.1 Summary of Findings and Contributions</w:t>
      </w:r>
    </w:p>
    <w:p>
      <w:pPr>
        <w:spacing w:before="0" w:after="120" w:line="276" w:lineRule="auto"/>
        <w:jc w:val="both"/>
      </w:pPr>
      <w:r>
        <w:rPr>
          <w:rFonts w:ascii="TH SarabunPSK" w:hAnsi="TH SarabunPSK" w:eastAsia="TH SarabunPSK" w:cs="TH SarabunPSK"/>
          <w:b w:val="0"/>
          <w:i w:val="0"/>
          <w:color w:val="212529"/>
          <w:sz w:val="32"/>
        </w:rPr>
        <w:t>This research successfully conceptualized, engineered, and empirically validated the CyberCase Intelligence Framework with a specific focus on the full-stack web architecture and orchestration backend. The primary contributions of this work include:</w:t>
        <w:br/>
        <w:t>1. Architectural Evidence Trust Boundary: Established an impermeable separation between authoritative case evidence and advisory external context, preventing AI hallucinations in forensic analysis.</w:t>
        <w:br/>
        <w:t>2. Epistemic Provenance Modeling: Implemented the AnalysisTrace v3 schema with six granular epistemic states and strict message ID citations, ensuring total auditability.</w:t>
        <w:br/>
        <w:t>3. Bounded Schema-Gated Follow-Up: Developed a four-status gap taxonomy and policy engine that resolves critical forensic omissions through single, high-impact inquiries without conversational fatigue.</w:t>
        <w:br/>
        <w:t>4. Deterministic 7-Part Dossier Compiler: Engineered a template-first reporting engine that serializes comprehensive forensic summaries with zero generative drift.</w:t>
        <w:br/>
        <w:t>5. Production-Grade Full-Stack Workspace: Delivered an intuitive Next.js/FastAPI web platform validated by an 86.5 SUS usability rating.</w:t>
      </w:r>
    </w:p>
    <w:p>
      <w:pPr>
        <w:keepNext/>
        <w:spacing w:before="280" w:after="120"/>
        <w:jc w:val="left"/>
      </w:pPr>
      <w:r>
        <w:rPr>
          <w:rFonts w:ascii="TH SarabunPSK" w:hAnsi="TH SarabunPSK" w:eastAsia="TH SarabunPSK" w:cs="TH SarabunPSK"/>
          <w:b/>
          <w:i w:val="0"/>
          <w:color w:val="102C57"/>
          <w:sz w:val="34"/>
        </w:rPr>
        <w:t>6.2 Technical Obstacles and Encountered Challenges</w:t>
      </w:r>
    </w:p>
    <w:p>
      <w:pPr>
        <w:spacing w:before="0" w:after="120" w:line="276" w:lineRule="auto"/>
        <w:jc w:val="both"/>
      </w:pPr>
      <w:r>
        <w:rPr>
          <w:rFonts w:ascii="TH SarabunPSK" w:hAnsi="TH SarabunPSK" w:eastAsia="TH SarabunPSK" w:cs="TH SarabunPSK"/>
          <w:b w:val="0"/>
          <w:i w:val="0"/>
          <w:color w:val="212529"/>
          <w:sz w:val="32"/>
        </w:rPr>
        <w:t>During development, several complex challenges were encountered and resolved:</w:t>
        <w:br/>
        <w:t>• Structured Output Parsing Failures: Early LLM integrations suffered from JSON syntax truncation. Resolved by implementing Pydantic v2 fail-closed schema validators with automated retry mechanisms.</w:t>
        <w:br/>
        <w:t>• Context Pollution &amp; Authority Leaks: Models occasionally treated external MITRE descriptions as observed case facts. Resolved by enforcing strict prompt-level trust instructions and citation checking.</w:t>
        <w:br/>
        <w:t>• Conversational Fatigue in Gap Resolution: Open-ended clarification loops led to redundant questions. Resolved by introducing the four-status gap taxonomy with permanent blocking of EXPLICITLY_UNKNOWN attributes.</w:t>
      </w:r>
    </w:p>
    <w:p>
      <w:pPr>
        <w:keepNext/>
        <w:spacing w:before="280" w:after="120"/>
        <w:jc w:val="left"/>
      </w:pPr>
      <w:r>
        <w:rPr>
          <w:rFonts w:ascii="TH SarabunPSK" w:hAnsi="TH SarabunPSK" w:eastAsia="TH SarabunPSK" w:cs="TH SarabunPSK"/>
          <w:b/>
          <w:i w:val="0"/>
          <w:color w:val="102C57"/>
          <w:sz w:val="34"/>
        </w:rPr>
        <w:t>6.3 Practical Solutions to Encountered Obstacles</w:t>
      </w:r>
    </w:p>
    <w:p>
      <w:pPr>
        <w:spacing w:before="0" w:after="120" w:line="276" w:lineRule="auto"/>
        <w:jc w:val="both"/>
      </w:pPr>
      <w:r>
        <w:rPr>
          <w:rFonts w:ascii="TH SarabunPSK" w:hAnsi="TH SarabunPSK" w:eastAsia="TH SarabunPSK" w:cs="TH SarabunPSK"/>
          <w:b w:val="0"/>
          <w:i w:val="0"/>
          <w:color w:val="212529"/>
          <w:sz w:val="32"/>
        </w:rPr>
        <w:t>Practical engineering solutions included domain-neutral prompt restructuring, cryptographic SHA-256 evidence hashing, fail-closed Pydantic validation, and client-side streaming response renderers.</w:t>
      </w:r>
    </w:p>
    <w:p>
      <w:pPr>
        <w:keepNext/>
        <w:spacing w:before="280" w:after="120"/>
        <w:jc w:val="left"/>
      </w:pPr>
      <w:r>
        <w:rPr>
          <w:rFonts w:ascii="TH SarabunPSK" w:hAnsi="TH SarabunPSK" w:eastAsia="TH SarabunPSK" w:cs="TH SarabunPSK"/>
          <w:b/>
          <w:i w:val="0"/>
          <w:color w:val="102C57"/>
          <w:sz w:val="34"/>
        </w:rPr>
        <w:t>6.4 System Limitations</w:t>
      </w:r>
    </w:p>
    <w:p>
      <w:pPr>
        <w:spacing w:before="0" w:after="120" w:line="276" w:lineRule="auto"/>
        <w:jc w:val="both"/>
      </w:pPr>
      <w:r>
        <w:rPr>
          <w:rFonts w:ascii="TH SarabunPSK" w:hAnsi="TH SarabunPSK" w:eastAsia="TH SarabunPSK" w:cs="TH SarabunPSK"/>
          <w:b w:val="0"/>
          <w:i w:val="0"/>
          <w:color w:val="212529"/>
          <w:sz w:val="32"/>
        </w:rPr>
        <w:t>Identifies current limitations including single-analyst session scoping and manual log copying during case intake.</w:t>
      </w:r>
    </w:p>
    <w:p>
      <w:pPr>
        <w:keepNext/>
        <w:spacing w:before="280" w:after="120"/>
        <w:jc w:val="left"/>
      </w:pPr>
      <w:r>
        <w:rPr>
          <w:rFonts w:ascii="TH SarabunPSK" w:hAnsi="TH SarabunPSK" w:eastAsia="TH SarabunPSK" w:cs="TH SarabunPSK"/>
          <w:b/>
          <w:i w:val="0"/>
          <w:color w:val="102C57"/>
          <w:sz w:val="34"/>
        </w:rPr>
        <w:t>6.5 Future Development Roadmap</w:t>
      </w:r>
    </w:p>
    <w:p>
      <w:pPr>
        <w:spacing w:before="0" w:after="120" w:line="276" w:lineRule="auto"/>
        <w:jc w:val="both"/>
      </w:pPr>
      <w:r>
        <w:rPr>
          <w:rFonts w:ascii="TH SarabunPSK" w:hAnsi="TH SarabunPSK" w:eastAsia="TH SarabunPSK" w:cs="TH SarabunPSK"/>
          <w:b w:val="0"/>
          <w:i w:val="0"/>
          <w:color w:val="212529"/>
          <w:sz w:val="32"/>
        </w:rPr>
        <w:t>• Short-Term Roadmap: Integrate automated multi-format log ingestion (EVTX, PCAP, Syslog parsers) to directly ingest raw telemetry into the intake pipeline.</w:t>
        <w:br/>
        <w:t>• Long-Term Roadmap: Implement real-time STIX/TAXII threat feed synchronizers and multi-analyst collaborative workspaces with role-based access control (RBAC).</w:t>
      </w:r>
    </w:p>
    <w:p>
      <w:pPr>
        <w:keepNext/>
        <w:spacing w:before="280" w:after="120"/>
        <w:jc w:val="left"/>
      </w:pPr>
      <w:r>
        <w:rPr>
          <w:rFonts w:ascii="TH SarabunPSK" w:hAnsi="TH SarabunPSK" w:eastAsia="TH SarabunPSK" w:cs="TH SarabunPSK"/>
          <w:b/>
          <w:i w:val="0"/>
          <w:color w:val="102C57"/>
          <w:sz w:val="34"/>
        </w:rPr>
        <w:t>6.6 Personal Achievements and Professional Growth</w:t>
      </w:r>
    </w:p>
    <w:p>
      <w:pPr>
        <w:spacing w:before="0" w:after="120" w:line="276" w:lineRule="auto"/>
        <w:jc w:val="both"/>
      </w:pPr>
      <w:r>
        <w:rPr>
          <w:rFonts w:ascii="TH SarabunPSK" w:hAnsi="TH SarabunPSK" w:eastAsia="TH SarabunPSK" w:cs="TH SarabunPSK"/>
          <w:b w:val="0"/>
          <w:i w:val="0"/>
          <w:color w:val="212529"/>
          <w:sz w:val="32"/>
        </w:rPr>
        <w:t>Executing this thesis project afforded immense academic and professional growth across distributed systems architecture, full-stack Next.js/FastAPI engineering, relational database optimization, and modern AI/LLM safety techniques. The project deepened my understanding of incident response workflows, rigorous software validation, and human-computer interaction in mission-critical environments.</w:t>
      </w:r>
    </w:p>
    <w:p>
      <w:r>
        <w:br w:type="page"/>
      </w:r>
    </w:p>
    <w:p>
      <w:pPr>
        <w:keepNext/>
        <w:spacing w:before="440" w:after="280"/>
        <w:jc w:val="center"/>
      </w:pPr>
      <w:r>
        <w:rPr>
          <w:rFonts w:ascii="TH SarabunPSK" w:hAnsi="TH SarabunPSK" w:eastAsia="TH SarabunPSK" w:cs="TH SarabunPSK"/>
          <w:b/>
          <w:i w:val="0"/>
          <w:color w:val="102C57"/>
          <w:sz w:val="40"/>
        </w:rPr>
        <w:t>References</w:t>
      </w:r>
    </w:p>
    <w:p>
      <w:pPr>
        <w:spacing w:before="0" w:after="120" w:line="276" w:lineRule="auto"/>
        <w:ind w:left="720" w:hanging="720"/>
        <w:jc w:val="both"/>
      </w:pPr>
      <w:r>
        <w:rPr>
          <w:rFonts w:ascii="TH SarabunPSK" w:hAnsi="TH SarabunPSK" w:eastAsia="TH SarabunPSK" w:cs="TH SarabunPSK"/>
          <w:b w:val="0"/>
          <w:i w:val="0"/>
          <w:color w:val="212529"/>
          <w:sz w:val="28"/>
        </w:rPr>
        <w:t>[1] MITRE ATT&amp;CK Framework. Available: https://attack.mitre.org/</w:t>
      </w:r>
    </w:p>
    <w:p>
      <w:pPr>
        <w:spacing w:before="0" w:after="120" w:line="276" w:lineRule="auto"/>
        <w:ind w:left="720" w:hanging="720"/>
        <w:jc w:val="both"/>
      </w:pPr>
      <w:r>
        <w:rPr>
          <w:rFonts w:ascii="TH SarabunPSK" w:hAnsi="TH SarabunPSK" w:eastAsia="TH SarabunPSK" w:cs="TH SarabunPSK"/>
          <w:b w:val="0"/>
          <w:i w:val="0"/>
          <w:color w:val="212529"/>
          <w:sz w:val="28"/>
        </w:rPr>
        <w:t>[2] P. Rafiey and A. Namadchian, 'Mapping Vulnerability Description to MITRE ATT&amp;CK Framework by Large Language Models,' Research Square, 2025.</w:t>
      </w:r>
    </w:p>
    <w:p>
      <w:pPr>
        <w:spacing w:before="0" w:after="120" w:line="276" w:lineRule="auto"/>
        <w:ind w:left="720" w:hanging="720"/>
        <w:jc w:val="both"/>
      </w:pPr>
      <w:r>
        <w:rPr>
          <w:rFonts w:ascii="TH SarabunPSK" w:hAnsi="TH SarabunPSK" w:eastAsia="TH SarabunPSK" w:cs="TH SarabunPSK"/>
          <w:b w:val="0"/>
          <w:i w:val="0"/>
          <w:color w:val="212529"/>
          <w:sz w:val="28"/>
        </w:rPr>
        <w:t>[3] N. Daniel et al., 'Labeling Network Intrusion Detection System (NIDS) Rules with MITRE ATT&amp;CK Techniques: Machine Learning vs. Large Language Models,' Big Data and Cognitive Computing, vol. 9, no. 2, pp. 45-62, 2025.</w:t>
      </w:r>
    </w:p>
    <w:p>
      <w:pPr>
        <w:spacing w:before="0" w:after="120" w:line="276" w:lineRule="auto"/>
        <w:ind w:left="720" w:hanging="720"/>
        <w:jc w:val="both"/>
      </w:pPr>
      <w:r>
        <w:rPr>
          <w:rFonts w:ascii="TH SarabunPSK" w:hAnsi="TH SarabunPSK" w:eastAsia="TH SarabunPSK" w:cs="TH SarabunPSK"/>
          <w:b w:val="0"/>
          <w:i w:val="0"/>
          <w:color w:val="212529"/>
          <w:sz w:val="28"/>
        </w:rPr>
        <w:t>[4] A. A. Khan et al., 'Digital Forensics and Cyber Forensics Investigation: Security Challenges, Limitations, Open Issues, and Future Directions,' Int. J. of Electronic Security and Digital Forensics, vol. 14, no. 3, pp. 210-235, 2022.</w:t>
      </w:r>
    </w:p>
    <w:p>
      <w:pPr>
        <w:spacing w:before="0" w:after="120" w:line="276" w:lineRule="auto"/>
        <w:ind w:left="720" w:hanging="720"/>
        <w:jc w:val="both"/>
      </w:pPr>
      <w:r>
        <w:rPr>
          <w:rFonts w:ascii="TH SarabunPSK" w:hAnsi="TH SarabunPSK" w:eastAsia="TH SarabunPSK" w:cs="TH SarabunPSK"/>
          <w:b w:val="0"/>
          <w:i w:val="0"/>
          <w:color w:val="212529"/>
          <w:sz w:val="28"/>
        </w:rPr>
        <w:t>[5] A. Dimitriadis et al., 'D4I - A Digital Forensics Framework for Reviewing and Investigating Cyber Attacks,' Array, vol. 7, p. 100028, 2020.</w:t>
      </w:r>
    </w:p>
    <w:p>
      <w:pPr>
        <w:spacing w:before="0" w:after="120" w:line="276" w:lineRule="auto"/>
        <w:ind w:left="720" w:hanging="720"/>
        <w:jc w:val="both"/>
      </w:pPr>
      <w:r>
        <w:rPr>
          <w:rFonts w:ascii="TH SarabunPSK" w:hAnsi="TH SarabunPSK" w:eastAsia="TH SarabunPSK" w:cs="TH SarabunPSK"/>
          <w:b w:val="0"/>
          <w:i w:val="0"/>
          <w:color w:val="212529"/>
          <w:sz w:val="28"/>
        </w:rPr>
        <w:t>[6] A. A. Khan et al., 'Forensic Readiness and Incident Response Engineering in Enterprise Networks,' IEEE Access, vol. 10, pp. 54321-54338, 2022.</w:t>
      </w:r>
    </w:p>
    <w:p>
      <w:pPr>
        <w:spacing w:before="0" w:after="120" w:line="276" w:lineRule="auto"/>
        <w:ind w:left="720" w:hanging="720"/>
        <w:jc w:val="both"/>
      </w:pPr>
      <w:r>
        <w:rPr>
          <w:rFonts w:ascii="TH SarabunPSK" w:hAnsi="TH SarabunPSK" w:eastAsia="TH SarabunPSK" w:cs="TH SarabunPSK"/>
          <w:b w:val="0"/>
          <w:i w:val="0"/>
          <w:color w:val="212529"/>
          <w:sz w:val="28"/>
        </w:rPr>
        <w:t>[7] A. A. Khan et al., 'Evidence Integrity and Provenance Tracking in Cloud Forensic Investigations,' Computers &amp; Security, vol. 118, p. 102712, 2022.</w:t>
      </w:r>
    </w:p>
    <w:p>
      <w:pPr>
        <w:spacing w:before="0" w:after="120" w:line="276" w:lineRule="auto"/>
        <w:ind w:left="720" w:hanging="720"/>
        <w:jc w:val="both"/>
      </w:pPr>
      <w:r>
        <w:rPr>
          <w:rFonts w:ascii="TH SarabunPSK" w:hAnsi="TH SarabunPSK" w:eastAsia="TH SarabunPSK" w:cs="TH SarabunPSK"/>
          <w:b w:val="0"/>
          <w:i w:val="0"/>
          <w:color w:val="212529"/>
          <w:sz w:val="28"/>
        </w:rPr>
        <w:t>[8] L. Yue et al., 'Digital Forensics in Cybercrime Investigation: Methodologies, Tools, and Evidentiary Standards,' J. of Cybersecurity Technology, vol. 6, no. 1, pp. 12-34, 2022.</w:t>
      </w:r>
    </w:p>
    <w:p>
      <w:pPr>
        <w:spacing w:before="0" w:after="120" w:line="276" w:lineRule="auto"/>
        <w:ind w:left="720" w:hanging="720"/>
        <w:jc w:val="both"/>
      </w:pPr>
      <w:r>
        <w:rPr>
          <w:rFonts w:ascii="TH SarabunPSK" w:hAnsi="TH SarabunPSK" w:eastAsia="TH SarabunPSK" w:cs="TH SarabunPSK"/>
          <w:b w:val="0"/>
          <w:i w:val="0"/>
          <w:color w:val="212529"/>
          <w:sz w:val="28"/>
        </w:rPr>
        <w:t>[9] R. Jia et al., 'An Empirical Study of Large Language Models for Threat Intelligence Analysis and Incident Response,' arXiv preprint arXiv:2403.11204, 2024.</w:t>
      </w:r>
    </w:p>
    <w:p>
      <w:pPr>
        <w:spacing w:before="0" w:after="120" w:line="276" w:lineRule="auto"/>
        <w:ind w:left="720" w:hanging="720"/>
        <w:jc w:val="both"/>
      </w:pPr>
      <w:r>
        <w:rPr>
          <w:rFonts w:ascii="TH SarabunPSK" w:hAnsi="TH SarabunPSK" w:eastAsia="TH SarabunPSK" w:cs="TH SarabunPSK"/>
          <w:b w:val="0"/>
          <w:i w:val="0"/>
          <w:color w:val="212529"/>
          <w:sz w:val="28"/>
        </w:rPr>
        <w:t>[10] G. Jones et al., 'Analysing the Role of Large Language Models in Cybersecurity Incident Management,' Int. J. of Information Security, vol. 24, no. 1, pp. 101-119, 2025.</w:t>
      </w:r>
    </w:p>
    <w:p>
      <w:pPr>
        <w:spacing w:before="0" w:after="120" w:line="276" w:lineRule="auto"/>
        <w:ind w:left="720" w:hanging="720"/>
        <w:jc w:val="both"/>
      </w:pPr>
      <w:r>
        <w:rPr>
          <w:rFonts w:ascii="TH SarabunPSK" w:hAnsi="TH SarabunPSK" w:eastAsia="TH SarabunPSK" w:cs="TH SarabunPSK"/>
          <w:b w:val="0"/>
          <w:i w:val="0"/>
          <w:color w:val="212529"/>
          <w:sz w:val="28"/>
        </w:rPr>
        <w:t>[11] M. Dehing, F. Michelet, and F. Breitinger, 'Automated Synthesis of Digital Forensic Reports from Large Unstructured Chat Corpora Using Two-Stage LLM Pipelines,' Forensic Science International: Digital Investigation, vol. 48, p. 301680, 2024.</w:t>
      </w:r>
    </w:p>
    <w:p>
      <w:pPr>
        <w:spacing w:before="0" w:after="120" w:line="276" w:lineRule="auto"/>
        <w:ind w:left="720" w:hanging="720"/>
        <w:jc w:val="both"/>
      </w:pPr>
      <w:r>
        <w:rPr>
          <w:rFonts w:ascii="TH SarabunPSK" w:hAnsi="TH SarabunPSK" w:eastAsia="TH SarabunPSK" w:cs="TH SarabunPSK"/>
          <w:b w:val="0"/>
          <w:i w:val="0"/>
          <w:color w:val="212529"/>
          <w:sz w:val="28"/>
        </w:rPr>
        <w:t>[12] S. Srinivas et al., 'AI-Augmented Security Operations Centers: A Comprehensive Survey of LLMs and Autonomous Agents for Security Automation,' J. of Cybersecurity and Privacy, vol. 5, no. 2, pp. 312-339, 2025.</w:t>
      </w:r>
    </w:p>
    <w:p>
      <w:pPr>
        <w:spacing w:before="0" w:after="120" w:line="276" w:lineRule="auto"/>
        <w:ind w:left="720" w:hanging="720"/>
        <w:jc w:val="both"/>
      </w:pPr>
      <w:r>
        <w:rPr>
          <w:rFonts w:ascii="TH SarabunPSK" w:hAnsi="TH SarabunPSK" w:eastAsia="TH SarabunPSK" w:cs="TH SarabunPSK"/>
          <w:b w:val="0"/>
          <w:i w:val="0"/>
          <w:color w:val="212529"/>
          <w:sz w:val="28"/>
        </w:rPr>
        <w:t>[13] P.-C. Huang et al., 'AegisGuard: A Context-Aware Framework for Semantic Vulnerability Detection and Risk Stratification,' IEEE Access, vol. 14, pp. 12450-12468, 2026.</w:t>
      </w:r>
    </w:p>
    <w:p>
      <w:pPr>
        <w:spacing w:before="0" w:after="120" w:line="276" w:lineRule="auto"/>
        <w:ind w:left="720" w:hanging="720"/>
        <w:jc w:val="both"/>
      </w:pPr>
      <w:r>
        <w:rPr>
          <w:rFonts w:ascii="TH SarabunPSK" w:hAnsi="TH SarabunPSK" w:eastAsia="TH SarabunPSK" w:cs="TH SarabunPSK"/>
          <w:b w:val="0"/>
          <w:i w:val="0"/>
          <w:color w:val="212529"/>
          <w:sz w:val="28"/>
        </w:rPr>
        <w:t>[14] S. Kumar et al., 'Applications, Challenges, and Future Directions of Human-in-the-Loop Learning,' IEEE Access, vol. 12, pp. 89201-89225, 2024.</w:t>
      </w:r>
    </w:p>
    <w:p>
      <w:pPr>
        <w:spacing w:before="0" w:after="120" w:line="276" w:lineRule="auto"/>
        <w:ind w:left="720" w:hanging="720"/>
        <w:jc w:val="both"/>
      </w:pPr>
      <w:r>
        <w:rPr>
          <w:rFonts w:ascii="TH SarabunPSK" w:hAnsi="TH SarabunPSK" w:eastAsia="TH SarabunPSK" w:cs="TH SarabunPSK"/>
          <w:b w:val="0"/>
          <w:i w:val="0"/>
          <w:color w:val="212529"/>
          <w:sz w:val="28"/>
        </w:rPr>
        <w:t>[15] A. R. Vieira et al., 'A Multifaceted Vision of Human-AI Collaboration: A Comprehensive Review,' IEEE Access, vol. 13, pp. 45102-45130, 2025.</w:t>
      </w:r>
    </w:p>
    <w:p>
      <w:pPr>
        <w:spacing w:before="0" w:after="120" w:line="276" w:lineRule="auto"/>
        <w:ind w:left="720" w:hanging="720"/>
        <w:jc w:val="both"/>
      </w:pPr>
      <w:r>
        <w:rPr>
          <w:rFonts w:ascii="TH SarabunPSK" w:hAnsi="TH SarabunPSK" w:eastAsia="TH SarabunPSK" w:cs="TH SarabunPSK"/>
          <w:b w:val="0"/>
          <w:i w:val="0"/>
          <w:color w:val="212529"/>
          <w:sz w:val="28"/>
        </w:rPr>
        <w:t>[16] M. A. Bari et al., 'X-SIEM: Integrating Rule-Based Systems, Machine Learning, and Large Language Models for Automated Threat Intelligence,' IEEE Trans. on Dependable and Secure Computing, 2025.</w:t>
      </w:r>
    </w:p>
    <w:p>
      <w:pPr>
        <w:spacing w:before="0" w:after="120" w:line="276" w:lineRule="auto"/>
        <w:ind w:left="720" w:hanging="720"/>
        <w:jc w:val="both"/>
      </w:pPr>
      <w:r>
        <w:rPr>
          <w:rFonts w:ascii="TH SarabunPSK" w:hAnsi="TH SarabunPSK" w:eastAsia="TH SarabunPSK" w:cs="TH SarabunPSK"/>
          <w:b w:val="0"/>
          <w:i w:val="0"/>
          <w:color w:val="212529"/>
          <w:sz w:val="28"/>
        </w:rPr>
        <w:t>[17] S. Es, J. James, L. Espinosa Anke, and S. Schockaert, 'RAGAs: Automated Evaluation of Retrieval Augmented Generation,' in Proc. of EACL 2024, pp. 150-158, 2024.</w:t>
      </w:r>
    </w:p>
    <w:sectPr w:rsidR="00FC693F" w:rsidRPr="0006063C" w:rsidSect="00034616">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