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005F02"/>
          <w:sz w:val="72"/>
          <w:szCs w:val="72"/>
        </w:rPr>
        <w:t xml:space="preserve">CANOPIX</w:t>
      </w:r>
    </w:p>
    <w:p>
      <w:pPr>
        <w:spacing w:before="0" w:after="80"/>
        <w:jc w:val="center"/>
      </w:pPr>
      <w:r>
        <w:rPr>
          <w:rFonts w:ascii="Arial" w:cs="Arial" w:eastAsia="Arial" w:hAnsi="Arial"/>
          <w:i/>
          <w:iCs/>
          <w:color w:val="427A43"/>
          <w:sz w:val="30"/>
          <w:szCs w:val="30"/>
        </w:rPr>
        <w:t xml:space="preserve">Deforestation Detection &amp; NGO Alert System</w:t>
      </w:r>
    </w:p>
    <w:p>
      <w:pPr>
        <w:spacing w:before="0" w:after="80"/>
        <w:jc w:val="center"/>
      </w:pPr>
      <w:r>
        <w:rPr>
          <w:rFonts w:ascii="Arial" w:cs="Arial" w:eastAsia="Arial" w:hAnsi="Arial"/>
          <w:color w:val="5E8A5F"/>
          <w:sz w:val="20"/>
          <w:szCs w:val="20"/>
        </w:rPr>
        <w:t xml:space="preserve">Product Requirements Document  |  v1.0  |  February 2026</w:t>
      </w:r>
    </w:p>
    <w:p>
      <w:pPr>
        <w:spacing w:before="0" w:after="80"/>
        <w:jc w:val="center"/>
      </w:pPr>
      <w:r>
        <w:rPr>
          <w:rFonts w:ascii="Arial" w:cs="Arial" w:eastAsia="Arial" w:hAnsi="Arial"/>
          <w:b/>
          <w:bCs/>
          <w:color w:val="C0B87A"/>
          <w:sz w:val="20"/>
          <w:szCs w:val="20"/>
        </w:rPr>
        <w:t xml:space="preserve">Hack for Humanity 2026</w:t>
      </w:r>
    </w:p>
    <w:p>
      <w:pPr>
        <w:pBdr>
          <w:bottom w:val="single" w:color="005F02" w:sz="12" w:space="4"/>
        </w:pBdr>
        <w:spacing w:before="0" w:after="600"/>
        <w:jc w:val="center"/>
      </w:pPr>
      <w:r>
        <w:rPr>
          <w:rFonts w:ascii="Arial" w:cs="Arial" w:eastAsia="Arial" w:hAnsi="Arial"/>
          <w:i/>
          <w:iCs/>
          <w:color w:val="5E8A5F"/>
          <w:sz w:val="22"/>
          <w:szCs w:val="22"/>
        </w:rPr>
        <w:t xml:space="preserve">"Every pixel protects a forest."</w:t>
      </w:r>
    </w:p>
    <w:p>
      <w:pPr>
        <w:pStyle w:val="Heading1"/>
        <w:pBdr>
          <w:bottom w:val="single" w:color="C0B87A" w:sz="8" w:space="4"/>
        </w:pBdr>
        <w:spacing w:before="360" w:after="160"/>
      </w:pPr>
      <w:r>
        <w:rPr>
          <w:rFonts w:ascii="Arial" w:cs="Arial" w:eastAsia="Arial" w:hAnsi="Arial"/>
          <w:b/>
          <w:bCs/>
          <w:color w:val="005F02"/>
          <w:sz w:val="36"/>
          <w:szCs w:val="36"/>
        </w:rPr>
        <w:t xml:space="preserve">1. Executive Summary</w:t>
      </w:r>
    </w:p>
    <w:p>
      <w:pPr>
        <w:spacing w:before="60" w:after="80"/>
      </w:pPr>
      <w:r>
        <w:rPr>
          <w:rFonts w:ascii="Arial" w:cs="Arial" w:eastAsia="Arial" w:hAnsi="Arial"/>
          <w:color w:val="333333"/>
          <w:sz w:val="20"/>
          <w:szCs w:val="20"/>
        </w:rPr>
        <w:t xml:space="preserve">Canopix is a focused web platform that uses free satellite data APIs to detect illegal deforestation in near real-time and automatically alerts registered conservation NGOs within their monitored regions. Built for the Hack for Humanity 2026 hackathon, the entire system runs at zero infrastructure cost using publicly available data sources.</w:t>
      </w:r>
    </w:p>
    <w:p/>
    <w:p>
      <w:pPr>
        <w:spacing w:before="60" w:after="80"/>
      </w:pPr>
      <w:r>
        <w:rPr>
          <w:rFonts w:ascii="Arial" w:cs="Arial" w:eastAsia="Arial" w:hAnsi="Arial"/>
          <w:b/>
          <w:bCs/>
          <w:color w:val="333333"/>
          <w:sz w:val="20"/>
          <w:szCs w:val="20"/>
        </w:rPr>
        <w:t xml:space="preserve">This PRD covers the two core features in scope for the hackathon submission:</w:t>
      </w:r>
    </w:p>
    <w:p>
      <w:pPr>
        <w:pStyle w:val="ListParagraph"/>
        <w:numPr>
          <w:ilvl w:val="0"/>
          <w:numId w:val="2"/>
        </w:numPr>
        <w:spacing w:before="50" w:after="50"/>
      </w:pPr>
      <w:r>
        <w:rPr>
          <w:rFonts w:ascii="Arial" w:cs="Arial" w:eastAsia="Arial" w:hAnsi="Arial"/>
          <w:b/>
          <w:bCs/>
          <w:color w:val="005F02"/>
          <w:sz w:val="20"/>
          <w:szCs w:val="20"/>
        </w:rPr>
        <w:t xml:space="preserve">Deforestation Detection: </w:t>
      </w:r>
      <w:r>
        <w:rPr>
          <w:rFonts w:ascii="Arial" w:cs="Arial" w:eastAsia="Arial" w:hAnsi="Arial"/>
          <w:color w:val="333333"/>
          <w:sz w:val="20"/>
          <w:szCs w:val="20"/>
        </w:rPr>
        <w:t xml:space="preserve">satellite change analysis that identifies illegal forest clearing and plots alerts on an interactive map.</w:t>
      </w:r>
    </w:p>
    <w:p>
      <w:pPr>
        <w:pStyle w:val="ListParagraph"/>
        <w:numPr>
          <w:ilvl w:val="0"/>
          <w:numId w:val="2"/>
        </w:numPr>
        <w:spacing w:before="50" w:after="50"/>
      </w:pPr>
      <w:r>
        <w:rPr>
          <w:rFonts w:ascii="Arial" w:cs="Arial" w:eastAsia="Arial" w:hAnsi="Arial"/>
          <w:b/>
          <w:bCs/>
          <w:color w:val="005F02"/>
          <w:sz w:val="20"/>
          <w:szCs w:val="20"/>
        </w:rPr>
        <w:t xml:space="preserve">NGO Alert System: </w:t>
      </w:r>
      <w:r>
        <w:rPr>
          <w:rFonts w:ascii="Arial" w:cs="Arial" w:eastAsia="Arial" w:hAnsi="Arial"/>
          <w:color w:val="333333"/>
          <w:sz w:val="20"/>
          <w:szCs w:val="20"/>
        </w:rPr>
        <w:t xml:space="preserve">automated email and WhatsApp notifications dispatched to conservation organizations when a threat is detected inside their registered region.</w:t>
      </w:r>
    </w:p>
    <w:p>
      <w:pPr>
        <w:pBdr>
          <w:bottom w:val="single" w:color="C0B87A" w:sz="4" w:space="1"/>
        </w:pBdr>
        <w:spacing w:before="200" w:after="200"/>
      </w:pPr>
    </w:p>
    <w:p>
      <w:pPr>
        <w:pStyle w:val="Heading1"/>
        <w:pBdr>
          <w:bottom w:val="single" w:color="C0B87A" w:sz="8" w:space="4"/>
        </w:pBdr>
        <w:spacing w:before="360" w:after="160"/>
      </w:pPr>
      <w:r>
        <w:rPr>
          <w:rFonts w:ascii="Arial" w:cs="Arial" w:eastAsia="Arial" w:hAnsi="Arial"/>
          <w:b/>
          <w:bCs/>
          <w:color w:val="005F02"/>
          <w:sz w:val="36"/>
          <w:szCs w:val="36"/>
        </w:rPr>
        <w:t xml:space="preserve">2. Problem Statement</w:t>
      </w:r>
    </w:p>
    <w:p>
      <w:pPr>
        <w:spacing w:before="60" w:after="80"/>
      </w:pPr>
      <w:r>
        <w:rPr>
          <w:rFonts w:ascii="Arial" w:cs="Arial" w:eastAsia="Arial" w:hAnsi="Arial"/>
          <w:color w:val="333333"/>
          <w:sz w:val="20"/>
          <w:szCs w:val="20"/>
        </w:rPr>
        <w:t xml:space="preserve">Illegal deforestation destroys an estimated 10 million hectares of forest every year. The three critical gaps in current monitoring are:</w:t>
      </w:r>
    </w:p>
    <w:p/>
    <w:p>
      <w:pPr>
        <w:pStyle w:val="ListParagraph"/>
        <w:numPr>
          <w:ilvl w:val="0"/>
          <w:numId w:val="2"/>
        </w:numPr>
        <w:spacing w:before="50" w:after="50"/>
      </w:pPr>
      <w:r>
        <w:rPr>
          <w:rFonts w:ascii="Arial" w:cs="Arial" w:eastAsia="Arial" w:hAnsi="Arial"/>
          <w:b/>
          <w:bCs/>
          <w:color w:val="005F02"/>
          <w:sz w:val="20"/>
          <w:szCs w:val="20"/>
        </w:rPr>
        <w:t xml:space="preserve">Speed: </w:t>
      </w:r>
      <w:r>
        <w:rPr>
          <w:rFonts w:ascii="Arial" w:cs="Arial" w:eastAsia="Arial" w:hAnsi="Arial"/>
          <w:color w:val="333333"/>
          <w:sz w:val="20"/>
          <w:szCs w:val="20"/>
        </w:rPr>
        <w:t xml:space="preserve">manual monitoring means NGOs and rangers often discover clearing weeks after it happens, when intervention is too late.</w:t>
      </w:r>
    </w:p>
    <w:p>
      <w:pPr>
        <w:pStyle w:val="ListParagraph"/>
        <w:numPr>
          <w:ilvl w:val="0"/>
          <w:numId w:val="2"/>
        </w:numPr>
        <w:spacing w:before="50" w:after="50"/>
      </w:pPr>
      <w:r>
        <w:rPr>
          <w:rFonts w:ascii="Arial" w:cs="Arial" w:eastAsia="Arial" w:hAnsi="Arial"/>
          <w:b/>
          <w:bCs/>
          <w:color w:val="005F02"/>
          <w:sz w:val="20"/>
          <w:szCs w:val="20"/>
        </w:rPr>
        <w:t xml:space="preserve">Fragmentation: </w:t>
      </w:r>
      <w:r>
        <w:rPr>
          <w:rFonts w:ascii="Arial" w:cs="Arial" w:eastAsia="Arial" w:hAnsi="Arial"/>
          <w:color w:val="333333"/>
          <w:sz w:val="20"/>
          <w:szCs w:val="20"/>
        </w:rPr>
        <w:t xml:space="preserve">satellite data, ground reports, and alert systems exist in separate silos with no unified interface.</w:t>
      </w:r>
    </w:p>
    <w:p>
      <w:pPr>
        <w:pStyle w:val="ListParagraph"/>
        <w:numPr>
          <w:ilvl w:val="0"/>
          <w:numId w:val="2"/>
        </w:numPr>
        <w:spacing w:before="50" w:after="50"/>
      </w:pPr>
      <w:r>
        <w:rPr>
          <w:rFonts w:ascii="Arial" w:cs="Arial" w:eastAsia="Arial" w:hAnsi="Arial"/>
          <w:b/>
          <w:bCs/>
          <w:color w:val="005F02"/>
          <w:sz w:val="20"/>
          <w:szCs w:val="20"/>
        </w:rPr>
        <w:t xml:space="preserve">No automated action: </w:t>
      </w:r>
      <w:r>
        <w:rPr>
          <w:rFonts w:ascii="Arial" w:cs="Arial" w:eastAsia="Arial" w:hAnsi="Arial"/>
          <w:color w:val="333333"/>
          <w:sz w:val="20"/>
          <w:szCs w:val="20"/>
        </w:rPr>
        <w:t xml:space="preserve">existing dashboards display data but do not notify the people who can stop the damage.</w:t>
      </w:r>
    </w:p>
    <w:p/>
    <w:p>
      <w:pPr>
        <w:spacing w:before="60" w:after="80"/>
      </w:pPr>
      <w:r>
        <w:rPr>
          <w:rFonts w:ascii="Arial" w:cs="Arial" w:eastAsia="Arial" w:hAnsi="Arial"/>
          <w:color w:val="333333"/>
          <w:sz w:val="20"/>
          <w:szCs w:val="20"/>
        </w:rPr>
        <w:t xml:space="preserve">Canopix closes all three gaps. It watches continuously, detects automatically, and alerts instantly.</w:t>
      </w:r>
    </w:p>
    <w:p>
      <w:pPr>
        <w:pBdr>
          <w:bottom w:val="single" w:color="C0B87A" w:sz="4" w:space="1"/>
        </w:pBdr>
        <w:spacing w:before="200" w:after="200"/>
      </w:pPr>
    </w:p>
    <w:p>
      <w:pPr>
        <w:pStyle w:val="Heading1"/>
        <w:pBdr>
          <w:bottom w:val="single" w:color="C0B87A" w:sz="8" w:space="4"/>
        </w:pBdr>
        <w:spacing w:before="360" w:after="160"/>
      </w:pPr>
      <w:r>
        <w:rPr>
          <w:rFonts w:ascii="Arial" w:cs="Arial" w:eastAsia="Arial" w:hAnsi="Arial"/>
          <w:b/>
          <w:bCs/>
          <w:color w:val="005F02"/>
          <w:sz w:val="36"/>
          <w:szCs w:val="36"/>
        </w:rPr>
        <w:t xml:space="preserve">3. Goals &amp; Success Metrics</w:t>
      </w:r>
    </w:p>
    <w:p>
      <w:pPr>
        <w:pStyle w:val="Heading2"/>
        <w:spacing w:before="260" w:after="120"/>
      </w:pPr>
      <w:r>
        <w:rPr>
          <w:rFonts w:ascii="Arial" w:cs="Arial" w:eastAsia="Arial" w:hAnsi="Arial"/>
          <w:b/>
          <w:bCs/>
          <w:color w:val="427A43"/>
          <w:sz w:val="26"/>
          <w:szCs w:val="26"/>
        </w:rPr>
        <w:t xml:space="preserve">3.1 Primary Goals</w:t>
      </w:r>
    </w:p>
    <w:p>
      <w:pPr>
        <w:pStyle w:val="ListParagraph"/>
        <w:numPr>
          <w:ilvl w:val="0"/>
          <w:numId w:val="2"/>
        </w:numPr>
        <w:spacing w:before="50" w:after="50"/>
      </w:pPr>
      <w:r>
        <w:rPr>
          <w:rFonts w:ascii="Arial" w:cs="Arial" w:eastAsia="Arial" w:hAnsi="Arial"/>
          <w:color w:val="333333"/>
          <w:sz w:val="20"/>
          <w:szCs w:val="20"/>
        </w:rPr>
        <w:t xml:space="preserve">Detect deforestation events within 48 hours of new satellite imagery becoming available.</w:t>
      </w:r>
    </w:p>
    <w:p>
      <w:pPr>
        <w:pStyle w:val="ListParagraph"/>
        <w:numPr>
          <w:ilvl w:val="0"/>
          <w:numId w:val="2"/>
        </w:numPr>
        <w:spacing w:before="50" w:after="50"/>
      </w:pPr>
      <w:r>
        <w:rPr>
          <w:rFonts w:ascii="Arial" w:cs="Arial" w:eastAsia="Arial" w:hAnsi="Arial"/>
          <w:color w:val="333333"/>
          <w:sz w:val="20"/>
          <w:szCs w:val="20"/>
        </w:rPr>
        <w:t xml:space="preserve">Deliver automated NGO alerts within 10 minutes of a threat being flagged.</w:t>
      </w:r>
    </w:p>
    <w:p>
      <w:pPr>
        <w:pStyle w:val="ListParagraph"/>
        <w:numPr>
          <w:ilvl w:val="0"/>
          <w:numId w:val="2"/>
        </w:numPr>
        <w:spacing w:before="50" w:after="50"/>
      </w:pPr>
      <w:r>
        <w:rPr>
          <w:rFonts w:ascii="Arial" w:cs="Arial" w:eastAsia="Arial" w:hAnsi="Arial"/>
          <w:color w:val="333333"/>
          <w:sz w:val="20"/>
          <w:szCs w:val="20"/>
        </w:rPr>
        <w:t xml:space="preserve">Quantify carbon impact for every detected event in human-relatable terms.</w:t>
      </w:r>
    </w:p>
    <w:p>
      <w:pPr>
        <w:pStyle w:val="ListParagraph"/>
        <w:numPr>
          <w:ilvl w:val="0"/>
          <w:numId w:val="2"/>
        </w:numPr>
        <w:spacing w:before="50" w:after="50"/>
      </w:pPr>
      <w:r>
        <w:rPr>
          <w:rFonts w:ascii="Arial" w:cs="Arial" w:eastAsia="Arial" w:hAnsi="Arial"/>
          <w:color w:val="333333"/>
          <w:sz w:val="20"/>
          <w:szCs w:val="20"/>
        </w:rPr>
        <w:t xml:space="preserve">Allow NGOs to register, draw their region, and manage alerts with no technical knowledge.</w:t>
      </w:r>
    </w:p>
    <w:p>
      <w:pPr>
        <w:pStyle w:val="ListParagraph"/>
        <w:numPr>
          <w:ilvl w:val="0"/>
          <w:numId w:val="2"/>
        </w:numPr>
        <w:spacing w:before="50" w:after="50"/>
      </w:pPr>
      <w:r>
        <w:rPr>
          <w:rFonts w:ascii="Arial" w:cs="Arial" w:eastAsia="Arial" w:hAnsi="Arial"/>
          <w:color w:val="333333"/>
          <w:sz w:val="20"/>
          <w:szCs w:val="20"/>
        </w:rPr>
        <w:t xml:space="preserve">Operate at zero cost using only free-tier APIs and services.</w:t>
      </w:r>
    </w:p>
    <w:p/>
    <w:p>
      <w:pPr>
        <w:pStyle w:val="Heading2"/>
        <w:spacing w:before="260" w:after="120"/>
      </w:pPr>
      <w:r>
        <w:rPr>
          <w:rFonts w:ascii="Arial" w:cs="Arial" w:eastAsia="Arial" w:hAnsi="Arial"/>
          <w:b/>
          <w:bCs/>
          <w:color w:val="427A43"/>
          <w:sz w:val="26"/>
          <w:szCs w:val="26"/>
        </w:rPr>
        <w:t xml:space="preserve">3.2 Success Metrics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Metric</w:t>
            </w:r>
          </w:p>
        </w:tc>
        <w:tc>
          <w:tcPr>
            <w:tcW w:type="dxa" w:w="396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Target</w:t>
            </w:r>
          </w:p>
        </w:tc>
      </w:tr>
      <w:tr>
        <w:tc>
          <w:tcPr>
            <w:tcW w:type="dxa" w:w="54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Alert delivery time after detection</w:t>
            </w:r>
          </w:p>
        </w:tc>
        <w:tc>
          <w:tcPr>
            <w:tcW w:type="dxa" w:w="39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Under 10 minutes</w:t>
            </w:r>
          </w:p>
        </w:tc>
      </w:tr>
      <w:tr>
        <w:tc>
          <w:tcPr>
            <w:tcW w:type="dxa" w:w="54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False positive rate</w:t>
            </w:r>
          </w:p>
        </w:tc>
        <w:tc>
          <w:tcPr>
            <w:tcW w:type="dxa" w:w="39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Under 25%</w:t>
            </w:r>
          </w:p>
        </w:tc>
      </w:tr>
      <w:tr>
        <w:tc>
          <w:tcPr>
            <w:tcW w:type="dxa" w:w="54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NGO registration to first alert</w:t>
            </w:r>
          </w:p>
        </w:tc>
        <w:tc>
          <w:tcPr>
            <w:tcW w:type="dxa" w:w="39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Under 5 minutes</w:t>
            </w:r>
          </w:p>
        </w:tc>
      </w:tr>
      <w:tr>
        <w:tc>
          <w:tcPr>
            <w:tcW w:type="dxa" w:w="54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Geographic coverage</w:t>
            </w:r>
          </w:p>
        </w:tc>
        <w:tc>
          <w:tcPr>
            <w:tcW w:type="dxa" w:w="39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Pan-tropical (Amazon, Congo, SE Asia)</w:t>
            </w:r>
          </w:p>
        </w:tc>
      </w:tr>
      <w:tr>
        <w:tc>
          <w:tcPr>
            <w:tcW w:type="dxa" w:w="54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infrastructure cost</w:t>
            </w:r>
          </w:p>
        </w:tc>
        <w:tc>
          <w:tcPr>
            <w:tcW w:type="dxa" w:w="39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USD $0</w:t>
            </w:r>
          </w:p>
        </w:tc>
      </w:tr>
      <w:tr>
        <w:tc>
          <w:tcPr>
            <w:tcW w:type="dxa" w:w="54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Simultaneous NGO regions supported</w:t>
            </w:r>
          </w:p>
        </w:tc>
        <w:tc>
          <w:tcPr>
            <w:tcW w:type="dxa" w:w="39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 to 50 at demo</w:t>
            </w:r>
          </w:p>
        </w:tc>
      </w:tr>
    </w:tbl>
    <w:p>
      <w:pPr>
        <w:pBdr>
          <w:bottom w:val="single" w:color="C0B87A" w:sz="4" w:space="1"/>
        </w:pBdr>
        <w:spacing w:before="200" w:after="200"/>
      </w:pPr>
    </w:p>
    <w:p>
      <w:pPr>
        <w:pStyle w:val="Heading1"/>
        <w:pBdr>
          <w:bottom w:val="single" w:color="C0B87A" w:sz="8" w:space="4"/>
        </w:pBdr>
        <w:spacing w:before="360" w:after="160"/>
      </w:pPr>
      <w:r>
        <w:rPr>
          <w:rFonts w:ascii="Arial" w:cs="Arial" w:eastAsia="Arial" w:hAnsi="Arial"/>
          <w:b/>
          <w:bCs/>
          <w:color w:val="005F02"/>
          <w:sz w:val="36"/>
          <w:szCs w:val="36"/>
        </w:rPr>
        <w:t xml:space="preserve">4. Features in Scope</w:t>
      </w:r>
    </w:p>
    <w:p>
      <w:pPr>
        <w:pStyle w:val="Heading2"/>
        <w:spacing w:before="260" w:after="120"/>
      </w:pPr>
      <w:r>
        <w:rPr>
          <w:rFonts w:ascii="Arial" w:cs="Arial" w:eastAsia="Arial" w:hAnsi="Arial"/>
          <w:b/>
          <w:bCs/>
          <w:color w:val="427A43"/>
          <w:sz w:val="26"/>
          <w:szCs w:val="26"/>
        </w:rPr>
        <w:t xml:space="preserve">4.1 Live Deforestation Threat Map</w:t>
      </w:r>
    </w:p>
    <w:p>
      <w:pPr>
        <w:spacing w:before="60" w:after="80"/>
      </w:pPr>
      <w:r>
        <w:rPr>
          <w:rFonts w:ascii="Arial" w:cs="Arial" w:eastAsia="Arial" w:hAnsi="Arial"/>
          <w:color w:val="333333"/>
          <w:sz w:val="20"/>
          <w:szCs w:val="20"/>
        </w:rPr>
        <w:t xml:space="preserve">An interactive map dashboard showing deforestation alerts as targeting reticle markers on a world map focused on the tropical belt.</w:t>
      </w:r>
    </w:p>
    <w:p>
      <w:pPr>
        <w:pStyle w:val="ListParagraph"/>
        <w:numPr>
          <w:ilvl w:val="0"/>
          <w:numId w:val="2"/>
        </w:numPr>
        <w:spacing w:before="50" w:after="50"/>
      </w:pPr>
      <w:r>
        <w:rPr>
          <w:rFonts w:ascii="Arial" w:cs="Arial" w:eastAsia="Arial" w:hAnsi="Arial"/>
          <w:color w:val="333333"/>
          <w:sz w:val="20"/>
          <w:szCs w:val="20"/>
        </w:rPr>
        <w:t xml:space="preserve">Color-coded alert markers — red for deforestation, with severity levels: CRITICAL, HIGH, MED.</w:t>
      </w:r>
    </w:p>
    <w:p>
      <w:pPr>
        <w:pStyle w:val="ListParagraph"/>
        <w:numPr>
          <w:ilvl w:val="0"/>
          <w:numId w:val="2"/>
        </w:numPr>
        <w:spacing w:before="50" w:after="50"/>
      </w:pPr>
      <w:r>
        <w:rPr>
          <w:rFonts w:ascii="Arial" w:cs="Arial" w:eastAsia="Arial" w:hAnsi="Arial"/>
          <w:color w:val="333333"/>
          <w:sz w:val="20"/>
          <w:szCs w:val="20"/>
        </w:rPr>
        <w:t xml:space="preserve">Clicking a marker opens a detail panel showing: location name, coordinates, area affected in hectares, detection timestamp, carbon impact estimate, and which NGOs have been alerted.</w:t>
      </w:r>
    </w:p>
    <w:p>
      <w:pPr>
        <w:pStyle w:val="ListParagraph"/>
        <w:numPr>
          <w:ilvl w:val="0"/>
          <w:numId w:val="2"/>
        </w:numPr>
        <w:spacing w:before="50" w:after="50"/>
      </w:pPr>
      <w:r>
        <w:rPr>
          <w:rFonts w:ascii="Arial" w:cs="Arial" w:eastAsia="Arial" w:hAnsi="Arial"/>
          <w:color w:val="333333"/>
          <w:sz w:val="20"/>
          <w:szCs w:val="20"/>
        </w:rPr>
        <w:t xml:space="preserve">Map layer toggle to show/hide deforestation alerts.</w:t>
      </w:r>
    </w:p>
    <w:p>
      <w:pPr>
        <w:pStyle w:val="ListParagraph"/>
        <w:numPr>
          <w:ilvl w:val="0"/>
          <w:numId w:val="2"/>
        </w:numPr>
        <w:spacing w:before="50" w:after="50"/>
      </w:pPr>
      <w:r>
        <w:rPr>
          <w:rFonts w:ascii="Arial" w:cs="Arial" w:eastAsia="Arial" w:hAnsi="Arial"/>
          <w:color w:val="333333"/>
          <w:sz w:val="20"/>
          <w:szCs w:val="20"/>
        </w:rPr>
        <w:t xml:space="preserve">Animated satellite scanning line across the map to indicate active monitoring.</w:t>
      </w:r>
    </w:p>
    <w:p>
      <w:pPr>
        <w:pStyle w:val="ListParagraph"/>
        <w:numPr>
          <w:ilvl w:val="0"/>
          <w:numId w:val="2"/>
        </w:numPr>
        <w:spacing w:before="50" w:after="50"/>
      </w:pPr>
      <w:r>
        <w:rPr>
          <w:rFonts w:ascii="Arial" w:cs="Arial" w:eastAsia="Arial" w:hAnsi="Arial"/>
          <w:color w:val="333333"/>
          <w:sz w:val="20"/>
          <w:szCs w:val="20"/>
        </w:rPr>
        <w:t xml:space="preserve">Coordinate display updates dynamically when a marker is selected.</w:t>
      </w:r>
    </w:p>
    <w:p/>
    <w:p>
      <w:pPr>
        <w:pStyle w:val="Heading2"/>
        <w:spacing w:before="260" w:after="120"/>
      </w:pPr>
      <w:r>
        <w:rPr>
          <w:rFonts w:ascii="Arial" w:cs="Arial" w:eastAsia="Arial" w:hAnsi="Arial"/>
          <w:b/>
          <w:bCs/>
          <w:color w:val="427A43"/>
          <w:sz w:val="26"/>
          <w:szCs w:val="26"/>
        </w:rPr>
        <w:t xml:space="preserve">4.2 Deforestation Change Detection Engine</w:t>
      </w:r>
    </w:p>
    <w:p>
      <w:pPr>
        <w:spacing w:before="60" w:after="80"/>
      </w:pPr>
      <w:r>
        <w:rPr>
          <w:rFonts w:ascii="Arial" w:cs="Arial" w:eastAsia="Arial" w:hAnsi="Arial"/>
          <w:color w:val="333333"/>
          <w:sz w:val="20"/>
          <w:szCs w:val="20"/>
        </w:rPr>
        <w:t xml:space="preserve">The backend processing layer that ingests satellite data and classifies deforestation events.</w:t>
      </w:r>
    </w:p>
    <w:p>
      <w:pPr>
        <w:pStyle w:val="ListParagraph"/>
        <w:numPr>
          <w:ilvl w:val="0"/>
          <w:numId w:val="2"/>
        </w:numPr>
        <w:spacing w:before="50" w:after="50"/>
      </w:pPr>
      <w:r>
        <w:rPr>
          <w:rFonts w:ascii="Arial" w:cs="Arial" w:eastAsia="Arial" w:hAnsi="Arial"/>
          <w:color w:val="333333"/>
          <w:sz w:val="20"/>
          <w:szCs w:val="20"/>
        </w:rPr>
        <w:t xml:space="preserve">Ingest GLAD weekly deforestation alerts from the Global Forest Watch API.</w:t>
      </w:r>
    </w:p>
    <w:p>
      <w:pPr>
        <w:pStyle w:val="ListParagraph"/>
        <w:numPr>
          <w:ilvl w:val="0"/>
          <w:numId w:val="2"/>
        </w:numPr>
        <w:spacing w:before="50" w:after="50"/>
      </w:pPr>
      <w:r>
        <w:rPr>
          <w:rFonts w:ascii="Arial" w:cs="Arial" w:eastAsia="Arial" w:hAnsi="Arial"/>
          <w:color w:val="333333"/>
          <w:sz w:val="20"/>
          <w:szCs w:val="20"/>
        </w:rPr>
        <w:t xml:space="preserve">Cross-reference with NASA FIRMS active fire and burn area data for the same coordinates.</w:t>
      </w:r>
    </w:p>
    <w:p>
      <w:pPr>
        <w:pStyle w:val="ListParagraph"/>
        <w:numPr>
          <w:ilvl w:val="0"/>
          <w:numId w:val="2"/>
        </w:numPr>
        <w:spacing w:before="50" w:after="50"/>
      </w:pPr>
      <w:r>
        <w:rPr>
          <w:rFonts w:ascii="Arial" w:cs="Arial" w:eastAsia="Arial" w:hAnsi="Arial"/>
          <w:color w:val="333333"/>
          <w:sz w:val="20"/>
          <w:szCs w:val="20"/>
        </w:rPr>
        <w:t xml:space="preserve">Pull Sentinel-2 imagery for flagged coordinates via Sentinel Hub API to visually confirm clearing.</w:t>
      </w:r>
    </w:p>
    <w:p>
      <w:pPr>
        <w:pStyle w:val="ListParagraph"/>
        <w:numPr>
          <w:ilvl w:val="0"/>
          <w:numId w:val="2"/>
        </w:numPr>
        <w:spacing w:before="50" w:after="50"/>
      </w:pPr>
      <w:r>
        <w:rPr>
          <w:rFonts w:ascii="Arial" w:cs="Arial" w:eastAsia="Arial" w:hAnsi="Arial"/>
          <w:color w:val="333333"/>
          <w:sz w:val="20"/>
          <w:szCs w:val="20"/>
        </w:rPr>
        <w:t xml:space="preserve">Classify events by severity based on area cleared, rate of change, and forest type.</w:t>
      </w:r>
    </w:p>
    <w:p>
      <w:pPr>
        <w:pStyle w:val="ListParagraph"/>
        <w:numPr>
          <w:ilvl w:val="0"/>
          <w:numId w:val="2"/>
        </w:numPr>
        <w:spacing w:before="50" w:after="50"/>
      </w:pPr>
      <w:r>
        <w:rPr>
          <w:rFonts w:ascii="Arial" w:cs="Arial" w:eastAsia="Arial" w:hAnsi="Arial"/>
          <w:color w:val="333333"/>
          <w:sz w:val="20"/>
          <w:szCs w:val="20"/>
        </w:rPr>
        <w:t xml:space="preserve">Store confirmed alerts with coordinates, area, forest type, timestamp, and carbon estimate in a PostgreSQL database.</w:t>
      </w:r>
    </w:p>
    <w:p>
      <w:pPr>
        <w:pStyle w:val="ListParagraph"/>
        <w:numPr>
          <w:ilvl w:val="0"/>
          <w:numId w:val="2"/>
        </w:numPr>
        <w:spacing w:before="50" w:after="50"/>
      </w:pPr>
      <w:r>
        <w:rPr>
          <w:rFonts w:ascii="Arial" w:cs="Arial" w:eastAsia="Arial" w:hAnsi="Arial"/>
          <w:color w:val="333333"/>
          <w:sz w:val="20"/>
          <w:szCs w:val="20"/>
        </w:rPr>
        <w:t xml:space="preserve">Scheduled job runs every 24 hours to pull fresh data from all APIs.</w:t>
      </w:r>
    </w:p>
    <w:p/>
    <w:p>
      <w:pPr>
        <w:pStyle w:val="Heading2"/>
        <w:spacing w:before="260" w:after="120"/>
      </w:pPr>
      <w:r>
        <w:rPr>
          <w:rFonts w:ascii="Arial" w:cs="Arial" w:eastAsia="Arial" w:hAnsi="Arial"/>
          <w:b/>
          <w:bCs/>
          <w:color w:val="427A43"/>
          <w:sz w:val="26"/>
          <w:szCs w:val="26"/>
        </w:rPr>
        <w:t xml:space="preserve">4.3 Carbon Impact Calculator</w:t>
      </w:r>
    </w:p>
    <w:p>
      <w:pPr>
        <w:spacing w:before="60" w:after="80"/>
      </w:pPr>
      <w:r>
        <w:rPr>
          <w:rFonts w:ascii="Arial" w:cs="Arial" w:eastAsia="Arial" w:hAnsi="Arial"/>
          <w:color w:val="333333"/>
          <w:sz w:val="20"/>
          <w:szCs w:val="20"/>
        </w:rPr>
        <w:t xml:space="preserve">Every confirmed deforestation alert automatically calculates and stores an estimated carbon release figure.</w:t>
      </w:r>
    </w:p>
    <w:p>
      <w:pPr>
        <w:pStyle w:val="ListParagraph"/>
        <w:numPr>
          <w:ilvl w:val="0"/>
          <w:numId w:val="2"/>
        </w:numPr>
        <w:spacing w:before="50" w:after="50"/>
      </w:pPr>
      <w:r>
        <w:rPr>
          <w:rFonts w:ascii="Arial" w:cs="Arial" w:eastAsia="Arial" w:hAnsi="Arial"/>
          <w:color w:val="333333"/>
          <w:sz w:val="20"/>
          <w:szCs w:val="20"/>
        </w:rPr>
        <w:t xml:space="preserve">Formula: area cleared (ha) multiplied by average above-ground carbon density for the detected forest type (tropical = 200 t/ha, temperate = 120 t/ha).</w:t>
      </w:r>
    </w:p>
    <w:p>
      <w:pPr>
        <w:pStyle w:val="ListParagraph"/>
        <w:numPr>
          <w:ilvl w:val="0"/>
          <w:numId w:val="2"/>
        </w:numPr>
        <w:spacing w:before="50" w:after="50"/>
      </w:pPr>
      <w:r>
        <w:rPr>
          <w:rFonts w:ascii="Arial" w:cs="Arial" w:eastAsia="Arial" w:hAnsi="Arial"/>
          <w:color w:val="333333"/>
          <w:sz w:val="20"/>
          <w:szCs w:val="20"/>
        </w:rPr>
        <w:t xml:space="preserve">Output stored as tonnes of CO2 equivalent per alert.</w:t>
      </w:r>
    </w:p>
    <w:p>
      <w:pPr>
        <w:pStyle w:val="ListParagraph"/>
        <w:numPr>
          <w:ilvl w:val="0"/>
          <w:numId w:val="2"/>
        </w:numPr>
        <w:spacing w:before="50" w:after="50"/>
      </w:pPr>
      <w:r>
        <w:rPr>
          <w:rFonts w:ascii="Arial" w:cs="Arial" w:eastAsia="Arial" w:hAnsi="Arial"/>
          <w:color w:val="333333"/>
          <w:sz w:val="20"/>
          <w:szCs w:val="20"/>
        </w:rPr>
        <w:t xml:space="preserve">Displayed in the UI alongside a human-equivalent figure (e.g. equivalent to X cars driven for one year, calculated as tonnes divided by 4.6).</w:t>
      </w:r>
    </w:p>
    <w:p>
      <w:pPr>
        <w:pStyle w:val="ListParagraph"/>
        <w:numPr>
          <w:ilvl w:val="0"/>
          <w:numId w:val="2"/>
        </w:numPr>
        <w:spacing w:before="50" w:after="50"/>
      </w:pPr>
      <w:r>
        <w:rPr>
          <w:rFonts w:ascii="Arial" w:cs="Arial" w:eastAsia="Arial" w:hAnsi="Arial"/>
          <w:color w:val="333333"/>
          <w:sz w:val="20"/>
          <w:szCs w:val="20"/>
        </w:rPr>
        <w:t xml:space="preserve">Forest type classification inferred from coordinates and Sentinel-2 spectral signature.</w:t>
      </w:r>
    </w:p>
    <w:p/>
    <w:p>
      <w:pPr>
        <w:pStyle w:val="Heading2"/>
        <w:spacing w:before="260" w:after="120"/>
      </w:pPr>
      <w:r>
        <w:rPr>
          <w:rFonts w:ascii="Arial" w:cs="Arial" w:eastAsia="Arial" w:hAnsi="Arial"/>
          <w:b/>
          <w:bCs/>
          <w:color w:val="427A43"/>
          <w:sz w:val="26"/>
          <w:szCs w:val="26"/>
        </w:rPr>
        <w:t xml:space="preserve">4.4 NGO Registration &amp; Region Management</w:t>
      </w:r>
    </w:p>
    <w:p>
      <w:pPr>
        <w:spacing w:before="60" w:after="80"/>
      </w:pPr>
      <w:r>
        <w:rPr>
          <w:rFonts w:ascii="Arial" w:cs="Arial" w:eastAsia="Arial" w:hAnsi="Arial"/>
          <w:color w:val="333333"/>
          <w:sz w:val="20"/>
          <w:szCs w:val="20"/>
        </w:rPr>
        <w:t xml:space="preserve">Conservation organizations can self-register on the platform and define the geographic regions they want to monitor.</w:t>
      </w:r>
    </w:p>
    <w:p>
      <w:pPr>
        <w:pStyle w:val="ListParagraph"/>
        <w:numPr>
          <w:ilvl w:val="0"/>
          <w:numId w:val="2"/>
        </w:numPr>
        <w:spacing w:before="50" w:after="50"/>
      </w:pPr>
      <w:r>
        <w:rPr>
          <w:rFonts w:ascii="Arial" w:cs="Arial" w:eastAsia="Arial" w:hAnsi="Arial"/>
          <w:color w:val="333333"/>
          <w:sz w:val="20"/>
          <w:szCs w:val="20"/>
        </w:rPr>
        <w:t xml:space="preserve">Registration form: Organization Name, Contact Email, WhatsApp Number (optional), Region of Interest drawn on embedded map.</w:t>
      </w:r>
    </w:p>
    <w:p>
      <w:pPr>
        <w:pStyle w:val="ListParagraph"/>
        <w:numPr>
          <w:ilvl w:val="0"/>
          <w:numId w:val="2"/>
        </w:numPr>
        <w:spacing w:before="50" w:after="50"/>
      </w:pPr>
      <w:r>
        <w:rPr>
          <w:rFonts w:ascii="Arial" w:cs="Arial" w:eastAsia="Arial" w:hAnsi="Arial"/>
          <w:color w:val="333333"/>
          <w:sz w:val="20"/>
          <w:szCs w:val="20"/>
        </w:rPr>
        <w:t xml:space="preserve">Region of Interest stored as a GeoJSON polygon in the database.</w:t>
      </w:r>
    </w:p>
    <w:p>
      <w:pPr>
        <w:pStyle w:val="ListParagraph"/>
        <w:numPr>
          <w:ilvl w:val="0"/>
          <w:numId w:val="2"/>
        </w:numPr>
        <w:spacing w:before="50" w:after="50"/>
      </w:pPr>
      <w:r>
        <w:rPr>
          <w:rFonts w:ascii="Arial" w:cs="Arial" w:eastAsia="Arial" w:hAnsi="Arial"/>
          <w:color w:val="333333"/>
          <w:sz w:val="20"/>
          <w:szCs w:val="20"/>
        </w:rPr>
        <w:t xml:space="preserve">NGOs can edit their region and contact details at any time via a simple dashboard.</w:t>
      </w:r>
    </w:p>
    <w:p>
      <w:pPr>
        <w:pStyle w:val="ListParagraph"/>
        <w:numPr>
          <w:ilvl w:val="0"/>
          <w:numId w:val="2"/>
        </w:numPr>
        <w:spacing w:before="50" w:after="50"/>
      </w:pPr>
      <w:r>
        <w:rPr>
          <w:rFonts w:ascii="Arial" w:cs="Arial" w:eastAsia="Arial" w:hAnsi="Arial"/>
          <w:color w:val="333333"/>
          <w:sz w:val="20"/>
          <w:szCs w:val="20"/>
        </w:rPr>
        <w:t xml:space="preserve">Each NGO account receives a unique ID used to filter alerts and track dispatch history.</w:t>
      </w:r>
    </w:p>
    <w:p/>
    <w:p>
      <w:pPr>
        <w:pStyle w:val="Heading2"/>
        <w:spacing w:before="260" w:after="120"/>
      </w:pPr>
      <w:r>
        <w:rPr>
          <w:rFonts w:ascii="Arial" w:cs="Arial" w:eastAsia="Arial" w:hAnsi="Arial"/>
          <w:b/>
          <w:bCs/>
          <w:color w:val="427A43"/>
          <w:sz w:val="26"/>
          <w:szCs w:val="26"/>
        </w:rPr>
        <w:t xml:space="preserve">4.5 Automated NGO Alert Dispatch</w:t>
      </w:r>
    </w:p>
    <w:p>
      <w:pPr>
        <w:spacing w:before="60" w:after="80"/>
      </w:pPr>
      <w:r>
        <w:rPr>
          <w:rFonts w:ascii="Arial" w:cs="Arial" w:eastAsia="Arial" w:hAnsi="Arial"/>
          <w:color w:val="333333"/>
          <w:sz w:val="20"/>
          <w:szCs w:val="20"/>
        </w:rPr>
        <w:t xml:space="preserve">The most critical feature. When a deforestation alert is confirmed inside an NGO's registered region, the system dispatches an alert automatically with no human intervention required.</w:t>
      </w:r>
    </w:p>
    <w:p>
      <w:pPr>
        <w:pStyle w:val="ListParagraph"/>
        <w:numPr>
          <w:ilvl w:val="0"/>
          <w:numId w:val="2"/>
        </w:numPr>
        <w:spacing w:before="50" w:after="50"/>
      </w:pPr>
      <w:r>
        <w:rPr>
          <w:rFonts w:ascii="Arial" w:cs="Arial" w:eastAsia="Arial" w:hAnsi="Arial"/>
          <w:color w:val="333333"/>
          <w:sz w:val="20"/>
          <w:szCs w:val="20"/>
        </w:rPr>
        <w:t xml:space="preserve">System checks all registered NGO regions against every new confirmed alert using PostGIS geographic intersection.</w:t>
      </w:r>
    </w:p>
    <w:p>
      <w:pPr>
        <w:pStyle w:val="ListParagraph"/>
        <w:numPr>
          <w:ilvl w:val="0"/>
          <w:numId w:val="2"/>
        </w:numPr>
        <w:spacing w:before="50" w:after="50"/>
      </w:pPr>
      <w:r>
        <w:rPr>
          <w:rFonts w:ascii="Arial" w:cs="Arial" w:eastAsia="Arial" w:hAnsi="Arial"/>
          <w:color w:val="333333"/>
          <w:sz w:val="20"/>
          <w:szCs w:val="20"/>
        </w:rPr>
        <w:t xml:space="preserve">Matching NGOs receive an email alert via SendGrid containing: threat type, coordinates, area affected, carbon impact, severity level, and a direct link to the alert on the map.</w:t>
      </w:r>
    </w:p>
    <w:p>
      <w:pPr>
        <w:pStyle w:val="ListParagraph"/>
        <w:numPr>
          <w:ilvl w:val="0"/>
          <w:numId w:val="2"/>
        </w:numPr>
        <w:spacing w:before="50" w:after="50"/>
      </w:pPr>
      <w:r>
        <w:rPr>
          <w:rFonts w:ascii="Arial" w:cs="Arial" w:eastAsia="Arial" w:hAnsi="Arial"/>
          <w:color w:val="333333"/>
          <w:sz w:val="20"/>
          <w:szCs w:val="20"/>
        </w:rPr>
        <w:t xml:space="preserve">Optional WhatsApp alert sent via Twilio free tier to NGOs who registered a phone number.</w:t>
      </w:r>
    </w:p>
    <w:p>
      <w:pPr>
        <w:pStyle w:val="ListParagraph"/>
        <w:numPr>
          <w:ilvl w:val="0"/>
          <w:numId w:val="2"/>
        </w:numPr>
        <w:spacing w:before="50" w:after="50"/>
      </w:pPr>
      <w:r>
        <w:rPr>
          <w:rFonts w:ascii="Arial" w:cs="Arial" w:eastAsia="Arial" w:hAnsi="Arial"/>
          <w:color w:val="333333"/>
          <w:sz w:val="20"/>
          <w:szCs w:val="20"/>
        </w:rPr>
        <w:t xml:space="preserve">Alert dispatch logged in database with timestamp, NGO ID, alert ID, and delivery status.</w:t>
      </w:r>
    </w:p>
    <w:p>
      <w:pPr>
        <w:pStyle w:val="ListParagraph"/>
        <w:numPr>
          <w:ilvl w:val="0"/>
          <w:numId w:val="2"/>
        </w:numPr>
        <w:spacing w:before="50" w:after="50"/>
      </w:pPr>
      <w:r>
        <w:rPr>
          <w:rFonts w:ascii="Arial" w:cs="Arial" w:eastAsia="Arial" w:hAnsi="Arial"/>
          <w:color w:val="333333"/>
          <w:sz w:val="20"/>
          <w:szCs w:val="20"/>
        </w:rPr>
        <w:t xml:space="preserve">NGOs can re-trigger alerts manually from the dashboard at any time.</w:t>
      </w:r>
    </w:p>
    <w:p>
      <w:pPr>
        <w:pStyle w:val="ListParagraph"/>
        <w:numPr>
          <w:ilvl w:val="0"/>
          <w:numId w:val="2"/>
        </w:numPr>
        <w:spacing w:before="50" w:after="50"/>
      </w:pPr>
      <w:r>
        <w:rPr>
          <w:rFonts w:ascii="Arial" w:cs="Arial" w:eastAsia="Arial" w:hAnsi="Arial"/>
          <w:color w:val="333333"/>
          <w:sz w:val="20"/>
          <w:szCs w:val="20"/>
        </w:rPr>
        <w:t xml:space="preserve">System prevents duplicate alerts within a 24-hour window for the same event and NGO.</w:t>
      </w:r>
    </w:p>
    <w:p>
      <w:pPr>
        <w:pBdr>
          <w:bottom w:val="single" w:color="C0B87A" w:sz="4" w:space="1"/>
        </w:pBdr>
        <w:spacing w:before="200" w:after="200"/>
      </w:pPr>
    </w:p>
    <w:p>
      <w:r>
        <w:br w:type="page"/>
      </w:r>
    </w:p>
    <w:p>
      <w:pPr>
        <w:pStyle w:val="Heading1"/>
        <w:pBdr>
          <w:bottom w:val="single" w:color="C0B87A" w:sz="8" w:space="4"/>
        </w:pBdr>
        <w:spacing w:before="360" w:after="160"/>
      </w:pPr>
      <w:r>
        <w:rPr>
          <w:rFonts w:ascii="Arial" w:cs="Arial" w:eastAsia="Arial" w:hAnsi="Arial"/>
          <w:b/>
          <w:bCs/>
          <w:color w:val="005F02"/>
          <w:sz w:val="36"/>
          <w:szCs w:val="36"/>
        </w:rPr>
        <w:t xml:space="preserve">5. Complete Technology Stack</w:t>
      </w:r>
    </w:p>
    <w:p>
      <w:pPr>
        <w:pStyle w:val="Heading2"/>
        <w:spacing w:before="260" w:after="120"/>
      </w:pPr>
      <w:r>
        <w:rPr>
          <w:rFonts w:ascii="Arial" w:cs="Arial" w:eastAsia="Arial" w:hAnsi="Arial"/>
          <w:b/>
          <w:bCs/>
          <w:color w:val="427A43"/>
          <w:sz w:val="26"/>
          <w:szCs w:val="26"/>
        </w:rPr>
        <w:t xml:space="preserve">5.1 Frontend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800"/>
        <w:gridCol w:w="2360"/>
      </w:tblGrid>
      <w:tr>
        <w:trPr>
          <w:tblHeader/>
        </w:trPr>
        <w:tc>
          <w:tcPr>
            <w:tcW w:type="dxa" w:w="22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Technology</w:t>
            </w:r>
          </w:p>
        </w:tc>
        <w:tc>
          <w:tcPr>
            <w:tcW w:type="dxa" w:w="10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Version</w:t>
            </w:r>
          </w:p>
        </w:tc>
        <w:tc>
          <w:tcPr>
            <w:tcW w:type="dxa" w:w="38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Purpose</w:t>
            </w:r>
          </w:p>
        </w:tc>
        <w:tc>
          <w:tcPr>
            <w:tcW w:type="dxa" w:w="236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Cost</w:t>
            </w:r>
          </w:p>
        </w:tc>
      </w:tr>
      <w:tr>
        <w:tc>
          <w:tcPr>
            <w:tcW w:type="dxa" w:w="2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React</w:t>
            </w:r>
          </w:p>
        </w:tc>
        <w:tc>
          <w:tcPr>
            <w:tcW w:type="dxa" w:w="10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18.x</w:t>
            </w:r>
          </w:p>
        </w:tc>
        <w:tc>
          <w:tcPr>
            <w:tcW w:type="dxa" w:w="38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UI framework and component architecture</w:t>
            </w:r>
          </w:p>
        </w:tc>
        <w:tc>
          <w:tcPr>
            <w:tcW w:type="dxa" w:w="23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 Open Source</w:t>
            </w:r>
          </w:p>
        </w:tc>
      </w:tr>
      <w:tr>
        <w:tc>
          <w:tcPr>
            <w:tcW w:type="dxa" w:w="22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Leaflet.js</w:t>
            </w:r>
          </w:p>
        </w:tc>
        <w:tc>
          <w:tcPr>
            <w:tcW w:type="dxa" w:w="10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1.9.x</w:t>
            </w:r>
          </w:p>
        </w:tc>
        <w:tc>
          <w:tcPr>
            <w:tcW w:type="dxa" w:w="38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Interactive map rendering with custom markers</w:t>
            </w:r>
          </w:p>
        </w:tc>
        <w:tc>
          <w:tcPr>
            <w:tcW w:type="dxa" w:w="23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 Open Source</w:t>
            </w:r>
          </w:p>
        </w:tc>
      </w:tr>
      <w:tr>
        <w:tc>
          <w:tcPr>
            <w:tcW w:type="dxa" w:w="2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React-Leaflet</w:t>
            </w:r>
          </w:p>
        </w:tc>
        <w:tc>
          <w:tcPr>
            <w:tcW w:type="dxa" w:w="10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4.x</w:t>
            </w:r>
          </w:p>
        </w:tc>
        <w:tc>
          <w:tcPr>
            <w:tcW w:type="dxa" w:w="38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React wrapper for Leaflet maps</w:t>
            </w:r>
          </w:p>
        </w:tc>
        <w:tc>
          <w:tcPr>
            <w:tcW w:type="dxa" w:w="23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 Open Source</w:t>
            </w:r>
          </w:p>
        </w:tc>
      </w:tr>
      <w:tr>
        <w:tc>
          <w:tcPr>
            <w:tcW w:type="dxa" w:w="22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Axios</w:t>
            </w:r>
          </w:p>
        </w:tc>
        <w:tc>
          <w:tcPr>
            <w:tcW w:type="dxa" w:w="10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1.x</w:t>
            </w:r>
          </w:p>
        </w:tc>
        <w:tc>
          <w:tcPr>
            <w:tcW w:type="dxa" w:w="38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HTTP requests from frontend to backend API</w:t>
            </w:r>
          </w:p>
        </w:tc>
        <w:tc>
          <w:tcPr>
            <w:tcW w:type="dxa" w:w="23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 Open Source</w:t>
            </w:r>
          </w:p>
        </w:tc>
      </w:tr>
      <w:tr>
        <w:tc>
          <w:tcPr>
            <w:tcW w:type="dxa" w:w="2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TailwindCSS</w:t>
            </w:r>
          </w:p>
        </w:tc>
        <w:tc>
          <w:tcPr>
            <w:tcW w:type="dxa" w:w="10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3.x</w:t>
            </w:r>
          </w:p>
        </w:tc>
        <w:tc>
          <w:tcPr>
            <w:tcW w:type="dxa" w:w="38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Utility CSS styling</w:t>
            </w:r>
          </w:p>
        </w:tc>
        <w:tc>
          <w:tcPr>
            <w:tcW w:type="dxa" w:w="23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 Open Source</w:t>
            </w:r>
          </w:p>
        </w:tc>
      </w:tr>
      <w:tr>
        <w:tc>
          <w:tcPr>
            <w:tcW w:type="dxa" w:w="22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Vite</w:t>
            </w:r>
          </w:p>
        </w:tc>
        <w:tc>
          <w:tcPr>
            <w:tcW w:type="dxa" w:w="10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5.x</w:t>
            </w:r>
          </w:p>
        </w:tc>
        <w:tc>
          <w:tcPr>
            <w:tcW w:type="dxa" w:w="38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Frontend build tool and dev server</w:t>
            </w:r>
          </w:p>
        </w:tc>
        <w:tc>
          <w:tcPr>
            <w:tcW w:type="dxa" w:w="23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 Open Source</w:t>
            </w:r>
          </w:p>
        </w:tc>
      </w:tr>
    </w:tbl>
    <w:p/>
    <w:p>
      <w:pPr>
        <w:pStyle w:val="Heading2"/>
        <w:spacing w:before="260" w:after="120"/>
      </w:pPr>
      <w:r>
        <w:rPr>
          <w:rFonts w:ascii="Arial" w:cs="Arial" w:eastAsia="Arial" w:hAnsi="Arial"/>
          <w:b/>
          <w:bCs/>
          <w:color w:val="427A43"/>
          <w:sz w:val="26"/>
          <w:szCs w:val="26"/>
        </w:rPr>
        <w:t xml:space="preserve">5.2 Backend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800"/>
        <w:gridCol w:w="2360"/>
      </w:tblGrid>
      <w:tr>
        <w:trPr>
          <w:tblHeader/>
        </w:trPr>
        <w:tc>
          <w:tcPr>
            <w:tcW w:type="dxa" w:w="22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Technology</w:t>
            </w:r>
          </w:p>
        </w:tc>
        <w:tc>
          <w:tcPr>
            <w:tcW w:type="dxa" w:w="10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Version</w:t>
            </w:r>
          </w:p>
        </w:tc>
        <w:tc>
          <w:tcPr>
            <w:tcW w:type="dxa" w:w="38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Purpose</w:t>
            </w:r>
          </w:p>
        </w:tc>
        <w:tc>
          <w:tcPr>
            <w:tcW w:type="dxa" w:w="236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Cost</w:t>
            </w:r>
          </w:p>
        </w:tc>
      </w:tr>
      <w:tr>
        <w:tc>
          <w:tcPr>
            <w:tcW w:type="dxa" w:w="2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Python</w:t>
            </w:r>
          </w:p>
        </w:tc>
        <w:tc>
          <w:tcPr>
            <w:tcW w:type="dxa" w:w="10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3.11+</w:t>
            </w:r>
          </w:p>
        </w:tc>
        <w:tc>
          <w:tcPr>
            <w:tcW w:type="dxa" w:w="38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Primary backend language</w:t>
            </w:r>
          </w:p>
        </w:tc>
        <w:tc>
          <w:tcPr>
            <w:tcW w:type="dxa" w:w="23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 Open Source</w:t>
            </w:r>
          </w:p>
        </w:tc>
      </w:tr>
      <w:tr>
        <w:tc>
          <w:tcPr>
            <w:tcW w:type="dxa" w:w="22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FastAPI</w:t>
            </w:r>
          </w:p>
        </w:tc>
        <w:tc>
          <w:tcPr>
            <w:tcW w:type="dxa" w:w="10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0.110+</w:t>
            </w:r>
          </w:p>
        </w:tc>
        <w:tc>
          <w:tcPr>
            <w:tcW w:type="dxa" w:w="38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REST API framework, fast and async-ready</w:t>
            </w:r>
          </w:p>
        </w:tc>
        <w:tc>
          <w:tcPr>
            <w:tcW w:type="dxa" w:w="23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 Open Source</w:t>
            </w:r>
          </w:p>
        </w:tc>
      </w:tr>
      <w:tr>
        <w:tc>
          <w:tcPr>
            <w:tcW w:type="dxa" w:w="2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SQLAlchemy</w:t>
            </w:r>
          </w:p>
        </w:tc>
        <w:tc>
          <w:tcPr>
            <w:tcW w:type="dxa" w:w="10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2.x</w:t>
            </w:r>
          </w:p>
        </w:tc>
        <w:tc>
          <w:tcPr>
            <w:tcW w:type="dxa" w:w="38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ORM for database models and queries</w:t>
            </w:r>
          </w:p>
        </w:tc>
        <w:tc>
          <w:tcPr>
            <w:tcW w:type="dxa" w:w="23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 Open Source</w:t>
            </w:r>
          </w:p>
        </w:tc>
      </w:tr>
      <w:tr>
        <w:tc>
          <w:tcPr>
            <w:tcW w:type="dxa" w:w="22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Alembic</w:t>
            </w:r>
          </w:p>
        </w:tc>
        <w:tc>
          <w:tcPr>
            <w:tcW w:type="dxa" w:w="10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1.x</w:t>
            </w:r>
          </w:p>
        </w:tc>
        <w:tc>
          <w:tcPr>
            <w:tcW w:type="dxa" w:w="38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Database migration management</w:t>
            </w:r>
          </w:p>
        </w:tc>
        <w:tc>
          <w:tcPr>
            <w:tcW w:type="dxa" w:w="23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 Open Source</w:t>
            </w:r>
          </w:p>
        </w:tc>
      </w:tr>
      <w:tr>
        <w:tc>
          <w:tcPr>
            <w:tcW w:type="dxa" w:w="2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APScheduler</w:t>
            </w:r>
          </w:p>
        </w:tc>
        <w:tc>
          <w:tcPr>
            <w:tcW w:type="dxa" w:w="10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3.x</w:t>
            </w:r>
          </w:p>
        </w:tc>
        <w:tc>
          <w:tcPr>
            <w:tcW w:type="dxa" w:w="38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Scheduled jobs for satellite data ingestion every 24 hrs</w:t>
            </w:r>
          </w:p>
        </w:tc>
        <w:tc>
          <w:tcPr>
            <w:tcW w:type="dxa" w:w="23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 Open Source</w:t>
            </w:r>
          </w:p>
        </w:tc>
      </w:tr>
      <w:tr>
        <w:tc>
          <w:tcPr>
            <w:tcW w:type="dxa" w:w="22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Shapely + GeoJSON</w:t>
            </w:r>
          </w:p>
        </w:tc>
        <w:tc>
          <w:tcPr>
            <w:tcW w:type="dxa" w:w="10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2.x</w:t>
            </w:r>
          </w:p>
        </w:tc>
        <w:tc>
          <w:tcPr>
            <w:tcW w:type="dxa" w:w="38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Geographic polygon operations for region matching</w:t>
            </w:r>
          </w:p>
        </w:tc>
        <w:tc>
          <w:tcPr>
            <w:tcW w:type="dxa" w:w="23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 Open Source</w:t>
            </w:r>
          </w:p>
        </w:tc>
      </w:tr>
      <w:tr>
        <w:tc>
          <w:tcPr>
            <w:tcW w:type="dxa" w:w="2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Requests / HTTPX</w:t>
            </w:r>
          </w:p>
        </w:tc>
        <w:tc>
          <w:tcPr>
            <w:tcW w:type="dxa" w:w="10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latest</w:t>
            </w:r>
          </w:p>
        </w:tc>
        <w:tc>
          <w:tcPr>
            <w:tcW w:type="dxa" w:w="38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HTTP client for API calls to satellite services</w:t>
            </w:r>
          </w:p>
        </w:tc>
        <w:tc>
          <w:tcPr>
            <w:tcW w:type="dxa" w:w="23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 Open Source</w:t>
            </w:r>
          </w:p>
        </w:tc>
      </w:tr>
      <w:tr>
        <w:tc>
          <w:tcPr>
            <w:tcW w:type="dxa" w:w="22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Pillow</w:t>
            </w:r>
          </w:p>
        </w:tc>
        <w:tc>
          <w:tcPr>
            <w:tcW w:type="dxa" w:w="10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10.x</w:t>
            </w:r>
          </w:p>
        </w:tc>
        <w:tc>
          <w:tcPr>
            <w:tcW w:type="dxa" w:w="38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Image processing for satellite thumbnails</w:t>
            </w:r>
          </w:p>
        </w:tc>
        <w:tc>
          <w:tcPr>
            <w:tcW w:type="dxa" w:w="23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 Open Source</w:t>
            </w:r>
          </w:p>
        </w:tc>
      </w:tr>
      <w:tr>
        <w:tc>
          <w:tcPr>
            <w:tcW w:type="dxa" w:w="2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Pydantic</w:t>
            </w:r>
          </w:p>
        </w:tc>
        <w:tc>
          <w:tcPr>
            <w:tcW w:type="dxa" w:w="10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2.x</w:t>
            </w:r>
          </w:p>
        </w:tc>
        <w:tc>
          <w:tcPr>
            <w:tcW w:type="dxa" w:w="38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Data validation and serialization</w:t>
            </w:r>
          </w:p>
        </w:tc>
        <w:tc>
          <w:tcPr>
            <w:tcW w:type="dxa" w:w="23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 Open Source</w:t>
            </w:r>
          </w:p>
        </w:tc>
      </w:tr>
      <w:tr>
        <w:tc>
          <w:tcPr>
            <w:tcW w:type="dxa" w:w="22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Uvicorn</w:t>
            </w:r>
          </w:p>
        </w:tc>
        <w:tc>
          <w:tcPr>
            <w:tcW w:type="dxa" w:w="10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0.27+</w:t>
            </w:r>
          </w:p>
        </w:tc>
        <w:tc>
          <w:tcPr>
            <w:tcW w:type="dxa" w:w="38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ASGI server to run FastAPI</w:t>
            </w:r>
          </w:p>
        </w:tc>
        <w:tc>
          <w:tcPr>
            <w:tcW w:type="dxa" w:w="23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 Open Source</w:t>
            </w:r>
          </w:p>
        </w:tc>
      </w:tr>
    </w:tbl>
    <w:p/>
    <w:p>
      <w:pPr>
        <w:pStyle w:val="Heading2"/>
        <w:spacing w:before="260" w:after="120"/>
      </w:pPr>
      <w:r>
        <w:rPr>
          <w:rFonts w:ascii="Arial" w:cs="Arial" w:eastAsia="Arial" w:hAnsi="Arial"/>
          <w:b/>
          <w:bCs/>
          <w:color w:val="427A43"/>
          <w:sz w:val="26"/>
          <w:szCs w:val="26"/>
        </w:rPr>
        <w:t xml:space="preserve">5.3 Database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tblHeader/>
        </w:trPr>
        <w:tc>
          <w:tcPr>
            <w:tcW w:type="dxa" w:w="22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Technology</w:t>
            </w:r>
          </w:p>
        </w:tc>
        <w:tc>
          <w:tcPr>
            <w:tcW w:type="dxa" w:w="46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Purpose</w:t>
            </w:r>
          </w:p>
        </w:tc>
        <w:tc>
          <w:tcPr>
            <w:tcW w:type="dxa" w:w="256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Cost</w:t>
            </w:r>
          </w:p>
        </w:tc>
      </w:tr>
      <w:tr>
        <w:tc>
          <w:tcPr>
            <w:tcW w:type="dxa" w:w="2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PostgreSQL 16</w:t>
            </w:r>
          </w:p>
        </w:tc>
        <w:tc>
          <w:tcPr>
            <w:tcW w:type="dxa" w:w="46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Primary relational database for alerts, NGO accounts, region polygons, dispatch logs</w:t>
            </w:r>
          </w:p>
        </w:tc>
        <w:tc>
          <w:tcPr>
            <w:tcW w:type="dxa" w:w="25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 Open Source</w:t>
            </w:r>
          </w:p>
        </w:tc>
      </w:tr>
      <w:tr>
        <w:tc>
          <w:tcPr>
            <w:tcW w:type="dxa" w:w="22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PostGIS extension</w:t>
            </w:r>
          </w:p>
        </w:tc>
        <w:tc>
          <w:tcPr>
            <w:tcW w:type="dxa" w:w="46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Geographic queries — point-in-polygon intersection for NGO region matching</w:t>
            </w:r>
          </w:p>
        </w:tc>
        <w:tc>
          <w:tcPr>
            <w:tcW w:type="dxa" w:w="25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 Open Source</w:t>
            </w:r>
          </w:p>
        </w:tc>
      </w:tr>
      <w:tr>
        <w:tc>
          <w:tcPr>
            <w:tcW w:type="dxa" w:w="2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Supabase (free tier)</w:t>
            </w:r>
          </w:p>
        </w:tc>
        <w:tc>
          <w:tcPr>
            <w:tcW w:type="dxa" w:w="46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Hosted PostgreSQL with PostGIS, 500MB storage, REST API included</w:t>
            </w:r>
          </w:p>
        </w:tc>
        <w:tc>
          <w:tcPr>
            <w:tcW w:type="dxa" w:w="25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(500MB limit)</w:t>
            </w:r>
          </w:p>
        </w:tc>
      </w:tr>
    </w:tbl>
    <w:p/>
    <w:p>
      <w:pPr>
        <w:pStyle w:val="Heading2"/>
        <w:spacing w:before="260" w:after="120"/>
      </w:pPr>
      <w:r>
        <w:rPr>
          <w:rFonts w:ascii="Arial" w:cs="Arial" w:eastAsia="Arial" w:hAnsi="Arial"/>
          <w:b/>
          <w:bCs/>
          <w:color w:val="427A43"/>
          <w:sz w:val="26"/>
          <w:szCs w:val="26"/>
        </w:rPr>
        <w:t xml:space="preserve">5.4 Hosting &amp; Infrastructure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400"/>
        <w:gridCol w:w="1760"/>
      </w:tblGrid>
      <w:tr>
        <w:trPr>
          <w:tblHeader/>
        </w:trPr>
        <w:tc>
          <w:tcPr>
            <w:tcW w:type="dxa" w:w="22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Service</w:t>
            </w:r>
          </w:p>
        </w:tc>
        <w:tc>
          <w:tcPr>
            <w:tcW w:type="dxa" w:w="30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What it hosts</w:t>
            </w:r>
          </w:p>
        </w:tc>
        <w:tc>
          <w:tcPr>
            <w:tcW w:type="dxa" w:w="24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Free Tier Limits</w:t>
            </w:r>
          </w:p>
        </w:tc>
        <w:tc>
          <w:tcPr>
            <w:tcW w:type="dxa" w:w="176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Cost</w:t>
            </w:r>
          </w:p>
        </w:tc>
      </w:tr>
      <w:tr>
        <w:tc>
          <w:tcPr>
            <w:tcW w:type="dxa" w:w="2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Render.com</w:t>
            </w:r>
          </w:p>
        </w:tc>
        <w:tc>
          <w:tcPr>
            <w:tcW w:type="dxa" w:w="30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FastAPI backend (Web Service)</w:t>
            </w:r>
          </w:p>
        </w:tc>
        <w:tc>
          <w:tcPr>
            <w:tcW w:type="dxa" w:w="24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750 hrs/month, sleeps after 15 min inactivity</w:t>
            </w:r>
          </w:p>
        </w:tc>
        <w:tc>
          <w:tcPr>
            <w:tcW w:type="dxa" w:w="17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w:t>
            </w:r>
          </w:p>
        </w:tc>
      </w:tr>
      <w:tr>
        <w:tc>
          <w:tcPr>
            <w:tcW w:type="dxa" w:w="22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Vercel</w:t>
            </w:r>
          </w:p>
        </w:tc>
        <w:tc>
          <w:tcPr>
            <w:tcW w:type="dxa" w:w="30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React frontend</w:t>
            </w:r>
          </w:p>
        </w:tc>
        <w:tc>
          <w:tcPr>
            <w:tcW w:type="dxa" w:w="24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Unlimited deployments, 100GB bandwidth/month</w:t>
            </w:r>
          </w:p>
        </w:tc>
        <w:tc>
          <w:tcPr>
            <w:tcW w:type="dxa" w:w="17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w:t>
            </w:r>
          </w:p>
        </w:tc>
      </w:tr>
      <w:tr>
        <w:tc>
          <w:tcPr>
            <w:tcW w:type="dxa" w:w="2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Supabase</w:t>
            </w:r>
          </w:p>
        </w:tc>
        <w:tc>
          <w:tcPr>
            <w:tcW w:type="dxa" w:w="30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PostgreSQL + PostGIS database</w:t>
            </w:r>
          </w:p>
        </w:tc>
        <w:tc>
          <w:tcPr>
            <w:tcW w:type="dxa" w:w="24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500MB storage, 2GB bandwidth/month</w:t>
            </w:r>
          </w:p>
        </w:tc>
        <w:tc>
          <w:tcPr>
            <w:tcW w:type="dxa" w:w="17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w:t>
            </w:r>
          </w:p>
        </w:tc>
      </w:tr>
      <w:tr>
        <w:tc>
          <w:tcPr>
            <w:tcW w:type="dxa" w:w="22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GitHub</w:t>
            </w:r>
          </w:p>
        </w:tc>
        <w:tc>
          <w:tcPr>
            <w:tcW w:type="dxa" w:w="30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Source code repository</w:t>
            </w:r>
          </w:p>
        </w:tc>
        <w:tc>
          <w:tcPr>
            <w:tcW w:type="dxa" w:w="24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Unlimited public repos</w:t>
            </w:r>
          </w:p>
        </w:tc>
        <w:tc>
          <w:tcPr>
            <w:tcW w:type="dxa" w:w="17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w:t>
            </w:r>
          </w:p>
        </w:tc>
      </w:tr>
    </w:tbl>
    <w:p/>
    <w:p>
      <w:pPr>
        <w:spacing w:before="60" w:after="80"/>
      </w:pPr>
      <w:r>
        <w:rPr>
          <w:rFonts w:ascii="Arial" w:cs="Arial" w:eastAsia="Arial" w:hAnsi="Arial"/>
          <w:b/>
          <w:bCs/>
          <w:color w:val="005F02"/>
          <w:sz w:val="20"/>
          <w:szCs w:val="20"/>
        </w:rPr>
        <w:t xml:space="preserve">Total monthly infrastructure cost: USD $0</w:t>
      </w:r>
    </w:p>
    <w:p>
      <w:pPr>
        <w:pBdr>
          <w:bottom w:val="single" w:color="C0B87A" w:sz="4" w:space="1"/>
        </w:pBdr>
        <w:spacing w:before="200" w:after="200"/>
      </w:pPr>
    </w:p>
    <w:p>
      <w:pPr>
        <w:pStyle w:val="Heading1"/>
        <w:pBdr>
          <w:bottom w:val="single" w:color="C0B87A" w:sz="8" w:space="4"/>
        </w:pBdr>
        <w:spacing w:before="360" w:after="160"/>
      </w:pPr>
      <w:r>
        <w:rPr>
          <w:rFonts w:ascii="Arial" w:cs="Arial" w:eastAsia="Arial" w:hAnsi="Arial"/>
          <w:b/>
          <w:bCs/>
          <w:color w:val="005F02"/>
          <w:sz w:val="36"/>
          <w:szCs w:val="36"/>
        </w:rPr>
        <w:t xml:space="preserve">6. External APIs — All Free</w:t>
      </w:r>
    </w:p>
    <w:p>
      <w:pPr>
        <w:pStyle w:val="Heading2"/>
        <w:spacing w:before="260" w:after="120"/>
      </w:pPr>
      <w:r>
        <w:rPr>
          <w:rFonts w:ascii="Arial" w:cs="Arial" w:eastAsia="Arial" w:hAnsi="Arial"/>
          <w:b/>
          <w:bCs/>
          <w:color w:val="427A43"/>
          <w:sz w:val="26"/>
          <w:szCs w:val="26"/>
        </w:rPr>
        <w:t xml:space="preserve">6.1 Satellite &amp; Deforestation Data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1400"/>
        <w:gridCol w:w="1160"/>
      </w:tblGrid>
      <w:tr>
        <w:trPr>
          <w:tblHeader/>
        </w:trPr>
        <w:tc>
          <w:tcPr>
            <w:tcW w:type="dxa" w:w="18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API / Service</w:t>
            </w:r>
          </w:p>
        </w:tc>
        <w:tc>
          <w:tcPr>
            <w:tcW w:type="dxa" w:w="28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Data Provided</w:t>
            </w:r>
          </w:p>
        </w:tc>
        <w:tc>
          <w:tcPr>
            <w:tcW w:type="dxa" w:w="22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Registration</w:t>
            </w:r>
          </w:p>
        </w:tc>
        <w:tc>
          <w:tcPr>
            <w:tcW w:type="dxa" w:w="14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Rate Limits</w:t>
            </w:r>
          </w:p>
        </w:tc>
        <w:tc>
          <w:tcPr>
            <w:tcW w:type="dxa" w:w="116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Cost</w:t>
            </w:r>
          </w:p>
        </w:tc>
      </w:tr>
      <w:tr>
        <w:tc>
          <w:tcPr>
            <w:tcW w:type="dxa" w:w="18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NASA FIRMS</w:t>
            </w:r>
          </w:p>
        </w:tc>
        <w:tc>
          <w:tcPr>
            <w:tcW w:type="dxa" w:w="28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Active fire and burn area data, near real-time, global coverage</w:t>
            </w:r>
          </w:p>
        </w:tc>
        <w:tc>
          <w:tcPr>
            <w:tcW w:type="dxa" w:w="2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API key at firms.modaps.eosdis.nasa.gov</w:t>
            </w:r>
          </w:p>
        </w:tc>
        <w:tc>
          <w:tcPr>
            <w:tcW w:type="dxa" w:w="14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10,000 requests/day</w:t>
            </w:r>
          </w:p>
        </w:tc>
        <w:tc>
          <w:tcPr>
            <w:tcW w:type="dxa" w:w="11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w:t>
            </w:r>
          </w:p>
        </w:tc>
      </w:tr>
      <w:tr>
        <w:tc>
          <w:tcPr>
            <w:tcW w:type="dxa" w:w="18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Global Forest Watch (GFW)</w:t>
            </w:r>
          </w:p>
        </w:tc>
        <w:tc>
          <w:tcPr>
            <w:tcW w:type="dxa" w:w="28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GLAD deforestation alerts updated weekly, tree cover loss data</w:t>
            </w:r>
          </w:p>
        </w:tc>
        <w:tc>
          <w:tcPr>
            <w:tcW w:type="dxa" w:w="22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at globalforestwatch.org/api</w:t>
            </w:r>
          </w:p>
        </w:tc>
        <w:tc>
          <w:tcPr>
            <w:tcW w:type="dxa" w:w="14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hard limit for standard use</w:t>
            </w:r>
          </w:p>
        </w:tc>
        <w:tc>
          <w:tcPr>
            <w:tcW w:type="dxa" w:w="11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w:t>
            </w:r>
          </w:p>
        </w:tc>
      </w:tr>
      <w:tr>
        <w:tc>
          <w:tcPr>
            <w:tcW w:type="dxa" w:w="18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Sentinel Hub</w:t>
            </w:r>
          </w:p>
        </w:tc>
        <w:tc>
          <w:tcPr>
            <w:tcW w:type="dxa" w:w="28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Sentinel-2 satellite imagery, spectral band analysis, WMS endpoints</w:t>
            </w:r>
          </w:p>
        </w:tc>
        <w:tc>
          <w:tcPr>
            <w:tcW w:type="dxa" w:w="2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trial at sentinel-hub.com — 30,000 processing units/month</w:t>
            </w:r>
          </w:p>
        </w:tc>
        <w:tc>
          <w:tcPr>
            <w:tcW w:type="dxa" w:w="14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30K units/month free tier</w:t>
            </w:r>
          </w:p>
        </w:tc>
        <w:tc>
          <w:tcPr>
            <w:tcW w:type="dxa" w:w="11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tier</w:t>
            </w:r>
          </w:p>
        </w:tc>
      </w:tr>
      <w:tr>
        <w:tc>
          <w:tcPr>
            <w:tcW w:type="dxa" w:w="18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USGS Earth Explorer</w:t>
            </w:r>
          </w:p>
        </w:tc>
        <w:tc>
          <w:tcPr>
            <w:tcW w:type="dxa" w:w="28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Landsat imagery archive as fallback source</w:t>
            </w:r>
          </w:p>
        </w:tc>
        <w:tc>
          <w:tcPr>
            <w:tcW w:type="dxa" w:w="22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account at earthexplorer.usgs.gov</w:t>
            </w:r>
          </w:p>
        </w:tc>
        <w:tc>
          <w:tcPr>
            <w:tcW w:type="dxa" w:w="14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Unlimited downloads</w:t>
            </w:r>
          </w:p>
        </w:tc>
        <w:tc>
          <w:tcPr>
            <w:tcW w:type="dxa" w:w="11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w:t>
            </w:r>
          </w:p>
        </w:tc>
      </w:tr>
      <w:tr>
        <w:tc>
          <w:tcPr>
            <w:tcW w:type="dxa" w:w="18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Open-Meteo</w:t>
            </w:r>
          </w:p>
        </w:tc>
        <w:tc>
          <w:tcPr>
            <w:tcW w:type="dxa" w:w="28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Weather and wind data for fire risk correlation</w:t>
            </w:r>
          </w:p>
        </w:tc>
        <w:tc>
          <w:tcPr>
            <w:tcW w:type="dxa" w:w="2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key required, open API</w:t>
            </w:r>
          </w:p>
        </w:tc>
        <w:tc>
          <w:tcPr>
            <w:tcW w:type="dxa" w:w="14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10,000 requests/day</w:t>
            </w:r>
          </w:p>
        </w:tc>
        <w:tc>
          <w:tcPr>
            <w:tcW w:type="dxa" w:w="11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w:t>
            </w:r>
          </w:p>
        </w:tc>
      </w:tr>
    </w:tbl>
    <w:p/>
    <w:p>
      <w:pPr>
        <w:pStyle w:val="Heading2"/>
        <w:spacing w:before="260" w:after="120"/>
      </w:pPr>
      <w:r>
        <w:rPr>
          <w:rFonts w:ascii="Arial" w:cs="Arial" w:eastAsia="Arial" w:hAnsi="Arial"/>
          <w:b/>
          <w:bCs/>
          <w:color w:val="427A43"/>
          <w:sz w:val="26"/>
          <w:szCs w:val="26"/>
        </w:rPr>
        <w:t xml:space="preserve">6.2 Alert Dispatch APIs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2000"/>
        <w:gridCol w:w="1360"/>
      </w:tblGrid>
      <w:tr>
        <w:trPr>
          <w:tblHeader/>
        </w:trPr>
        <w:tc>
          <w:tcPr>
            <w:tcW w:type="dxa" w:w="18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API / Service</w:t>
            </w:r>
          </w:p>
        </w:tc>
        <w:tc>
          <w:tcPr>
            <w:tcW w:type="dxa" w:w="24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Purpose</w:t>
            </w:r>
          </w:p>
        </w:tc>
        <w:tc>
          <w:tcPr>
            <w:tcW w:type="dxa" w:w="18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Free Tier</w:t>
            </w:r>
          </w:p>
        </w:tc>
        <w:tc>
          <w:tcPr>
            <w:tcW w:type="dxa" w:w="20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Registration</w:t>
            </w:r>
          </w:p>
        </w:tc>
        <w:tc>
          <w:tcPr>
            <w:tcW w:type="dxa" w:w="136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Cost</w:t>
            </w:r>
          </w:p>
        </w:tc>
      </w:tr>
      <w:tr>
        <w:tc>
          <w:tcPr>
            <w:tcW w:type="dxa" w:w="18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SendGrid</w:t>
            </w:r>
          </w:p>
        </w:tc>
        <w:tc>
          <w:tcPr>
            <w:tcW w:type="dxa" w:w="24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Automated email alerts to NGOs with full HTML templates</w:t>
            </w:r>
          </w:p>
        </w:tc>
        <w:tc>
          <w:tcPr>
            <w:tcW w:type="dxa" w:w="18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100 emails/day free forever</w:t>
            </w:r>
          </w:p>
        </w:tc>
        <w:tc>
          <w:tcPr>
            <w:tcW w:type="dxa" w:w="20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sendgrid.com — verify sender email</w:t>
            </w:r>
          </w:p>
        </w:tc>
        <w:tc>
          <w:tcPr>
            <w:tcW w:type="dxa" w:w="13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w:t>
            </w:r>
          </w:p>
        </w:tc>
      </w:tr>
      <w:tr>
        <w:tc>
          <w:tcPr>
            <w:tcW w:type="dxa" w:w="18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Twilio</w:t>
            </w:r>
          </w:p>
        </w:tc>
        <w:tc>
          <w:tcPr>
            <w:tcW w:type="dxa" w:w="24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WhatsApp alerts to NGO phone numbers</w:t>
            </w:r>
          </w:p>
        </w:tc>
        <w:tc>
          <w:tcPr>
            <w:tcW w:type="dxa" w:w="18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 free trial credit (approx. 1,000 messages)</w:t>
            </w:r>
          </w:p>
        </w:tc>
        <w:tc>
          <w:tcPr>
            <w:tcW w:type="dxa" w:w="20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twilio.com — WhatsApp sandbox for testing</w:t>
            </w:r>
          </w:p>
        </w:tc>
        <w:tc>
          <w:tcPr>
            <w:tcW w:type="dxa" w:w="13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trial</w:t>
            </w:r>
          </w:p>
        </w:tc>
      </w:tr>
      <w:tr>
        <w:tc>
          <w:tcPr>
            <w:tcW w:type="dxa" w:w="18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Twilio SendGrid (alternative)</w:t>
            </w:r>
          </w:p>
        </w:tc>
        <w:tc>
          <w:tcPr>
            <w:tcW w:type="dxa" w:w="24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Bulk email if SendGrid daily limit is hit</w:t>
            </w:r>
          </w:p>
        </w:tc>
        <w:tc>
          <w:tcPr>
            <w:tcW w:type="dxa" w:w="18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100/day same account</w:t>
            </w:r>
          </w:p>
        </w:tc>
        <w:tc>
          <w:tcPr>
            <w:tcW w:type="dxa" w:w="20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Same account as SendGrid</w:t>
            </w:r>
          </w:p>
        </w:tc>
        <w:tc>
          <w:tcPr>
            <w:tcW w:type="dxa" w:w="13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w:t>
            </w:r>
          </w:p>
        </w:tc>
      </w:tr>
    </w:tbl>
    <w:p/>
    <w:p>
      <w:pPr>
        <w:pStyle w:val="Heading2"/>
        <w:spacing w:before="260" w:after="120"/>
      </w:pPr>
      <w:r>
        <w:rPr>
          <w:rFonts w:ascii="Arial" w:cs="Arial" w:eastAsia="Arial" w:hAnsi="Arial"/>
          <w:b/>
          <w:bCs/>
          <w:color w:val="427A43"/>
          <w:sz w:val="26"/>
          <w:szCs w:val="26"/>
        </w:rPr>
        <w:t xml:space="preserve">6.3 Mapping APIs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60"/>
      </w:tblGrid>
      <w:tr>
        <w:trPr>
          <w:tblHeader/>
        </w:trPr>
        <w:tc>
          <w:tcPr>
            <w:tcW w:type="dxa" w:w="22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API / Service</w:t>
            </w:r>
          </w:p>
        </w:tc>
        <w:tc>
          <w:tcPr>
            <w:tcW w:type="dxa" w:w="32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Purpose</w:t>
            </w:r>
          </w:p>
        </w:tc>
        <w:tc>
          <w:tcPr>
            <w:tcW w:type="dxa" w:w="22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Free Tier</w:t>
            </w:r>
          </w:p>
        </w:tc>
        <w:tc>
          <w:tcPr>
            <w:tcW w:type="dxa" w:w="176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Cost</w:t>
            </w:r>
          </w:p>
        </w:tc>
      </w:tr>
      <w:tr>
        <w:tc>
          <w:tcPr>
            <w:tcW w:type="dxa" w:w="2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Leaflet.js</w:t>
            </w:r>
          </w:p>
        </w:tc>
        <w:tc>
          <w:tcPr>
            <w:tcW w:type="dxa" w:w="3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Interactive map rendering — no API key needed, fully open source</w:t>
            </w:r>
          </w:p>
        </w:tc>
        <w:tc>
          <w:tcPr>
            <w:tcW w:type="dxa" w:w="2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Unlimited</w:t>
            </w:r>
          </w:p>
        </w:tc>
        <w:tc>
          <w:tcPr>
            <w:tcW w:type="dxa" w:w="17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w:t>
            </w:r>
          </w:p>
        </w:tc>
      </w:tr>
      <w:tr>
        <w:tc>
          <w:tcPr>
            <w:tcW w:type="dxa" w:w="22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OpenStreetMap Tiles</w:t>
            </w:r>
          </w:p>
        </w:tc>
        <w:tc>
          <w:tcPr>
            <w:tcW w:type="dxa" w:w="32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Base map tiles for Leaflet — no key required</w:t>
            </w:r>
          </w:p>
        </w:tc>
        <w:tc>
          <w:tcPr>
            <w:tcW w:type="dxa" w:w="22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Reasonable use policy — fine for hackathon</w:t>
            </w:r>
          </w:p>
        </w:tc>
        <w:tc>
          <w:tcPr>
            <w:tcW w:type="dxa" w:w="17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w:t>
            </w:r>
          </w:p>
        </w:tc>
      </w:tr>
      <w:tr>
        <w:tc>
          <w:tcPr>
            <w:tcW w:type="dxa" w:w="2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Nominatim (OSM)</w:t>
            </w:r>
          </w:p>
        </w:tc>
        <w:tc>
          <w:tcPr>
            <w:tcW w:type="dxa" w:w="3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Reverse geocoding — coordinates to place name for alert descriptions</w:t>
            </w:r>
          </w:p>
        </w:tc>
        <w:tc>
          <w:tcPr>
            <w:tcW w:type="dxa" w:w="2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request/second, no key required</w:t>
            </w:r>
          </w:p>
        </w:tc>
        <w:tc>
          <w:tcPr>
            <w:tcW w:type="dxa" w:w="17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w:t>
            </w:r>
          </w:p>
        </w:tc>
      </w:tr>
      <w:tr>
        <w:tc>
          <w:tcPr>
            <w:tcW w:type="dxa" w:w="22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GeoJSON.io</w:t>
            </w:r>
          </w:p>
        </w:tc>
        <w:tc>
          <w:tcPr>
            <w:tcW w:type="dxa" w:w="32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Tool for NGOs to draw and export region polygons during registration</w:t>
            </w:r>
          </w:p>
        </w:tc>
        <w:tc>
          <w:tcPr>
            <w:tcW w:type="dxa" w:w="22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 web tool</w:t>
            </w:r>
          </w:p>
        </w:tc>
        <w:tc>
          <w:tcPr>
            <w:tcW w:type="dxa" w:w="17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w:t>
            </w:r>
          </w:p>
        </w:tc>
      </w:tr>
    </w:tbl>
    <w:p/>
    <w:p>
      <w:pPr>
        <w:pStyle w:val="Heading2"/>
        <w:spacing w:before="260" w:after="120"/>
      </w:pPr>
      <w:r>
        <w:rPr>
          <w:rFonts w:ascii="Arial" w:cs="Arial" w:eastAsia="Arial" w:hAnsi="Arial"/>
          <w:b/>
          <w:bCs/>
          <w:color w:val="427A43"/>
          <w:sz w:val="26"/>
          <w:szCs w:val="26"/>
        </w:rPr>
        <w:t xml:space="preserve">6.4 Authentication &amp; Utilities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gridCol w:w="1760"/>
      </w:tblGrid>
      <w:tr>
        <w:trPr>
          <w:tblHeader/>
        </w:trPr>
        <w:tc>
          <w:tcPr>
            <w:tcW w:type="dxa" w:w="24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Service</w:t>
            </w:r>
          </w:p>
        </w:tc>
        <w:tc>
          <w:tcPr>
            <w:tcW w:type="dxa" w:w="32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Purpose</w:t>
            </w:r>
          </w:p>
        </w:tc>
        <w:tc>
          <w:tcPr>
            <w:tcW w:type="dxa" w:w="20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Free Tier</w:t>
            </w:r>
          </w:p>
        </w:tc>
        <w:tc>
          <w:tcPr>
            <w:tcW w:type="dxa" w:w="176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Cost</w:t>
            </w:r>
          </w:p>
        </w:tc>
      </w:tr>
      <w:tr>
        <w:tc>
          <w:tcPr>
            <w:tcW w:type="dxa" w:w="24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Supabase Auth</w:t>
            </w:r>
          </w:p>
        </w:tc>
        <w:tc>
          <w:tcPr>
            <w:tcW w:type="dxa" w:w="3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NGO user accounts, login, session management — built into Supabase</w:t>
            </w:r>
          </w:p>
        </w:tc>
        <w:tc>
          <w:tcPr>
            <w:tcW w:type="dxa" w:w="20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50,000 monthly active users</w:t>
            </w:r>
          </w:p>
        </w:tc>
        <w:tc>
          <w:tcPr>
            <w:tcW w:type="dxa" w:w="17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w:t>
            </w:r>
          </w:p>
        </w:tc>
      </w:tr>
      <w:tr>
        <w:tc>
          <w:tcPr>
            <w:tcW w:type="dxa" w:w="24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Python-Jose / JWT</w:t>
            </w:r>
          </w:p>
        </w:tc>
        <w:tc>
          <w:tcPr>
            <w:tcW w:type="dxa" w:w="32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 token generation for API authentication</w:t>
            </w:r>
          </w:p>
        </w:tc>
        <w:tc>
          <w:tcPr>
            <w:tcW w:type="dxa" w:w="20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Open source library</w:t>
            </w:r>
          </w:p>
        </w:tc>
        <w:tc>
          <w:tcPr>
            <w:tcW w:type="dxa" w:w="17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w:t>
            </w:r>
          </w:p>
        </w:tc>
      </w:tr>
      <w:tr>
        <w:tc>
          <w:tcPr>
            <w:tcW w:type="dxa" w:w="24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Python-dotenv</w:t>
            </w:r>
          </w:p>
        </w:tc>
        <w:tc>
          <w:tcPr>
            <w:tcW w:type="dxa" w:w="3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Environment variable management for API keys</w:t>
            </w:r>
          </w:p>
        </w:tc>
        <w:tc>
          <w:tcPr>
            <w:tcW w:type="dxa" w:w="20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Open source library</w:t>
            </w:r>
          </w:p>
        </w:tc>
        <w:tc>
          <w:tcPr>
            <w:tcW w:type="dxa" w:w="17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Free</w:t>
            </w:r>
          </w:p>
        </w:tc>
      </w:tr>
    </w:tbl>
    <w:p>
      <w:pPr>
        <w:pBdr>
          <w:bottom w:val="single" w:color="C0B87A" w:sz="4" w:space="1"/>
        </w:pBdr>
        <w:spacing w:before="200" w:after="200"/>
      </w:pPr>
    </w:p>
    <w:p>
      <w:pPr>
        <w:pStyle w:val="Heading1"/>
        <w:pBdr>
          <w:bottom w:val="single" w:color="C0B87A" w:sz="8" w:space="4"/>
        </w:pBdr>
        <w:spacing w:before="360" w:after="160"/>
      </w:pPr>
      <w:r>
        <w:rPr>
          <w:rFonts w:ascii="Arial" w:cs="Arial" w:eastAsia="Arial" w:hAnsi="Arial"/>
          <w:b/>
          <w:bCs/>
          <w:color w:val="005F02"/>
          <w:sz w:val="36"/>
          <w:szCs w:val="36"/>
        </w:rPr>
        <w:t xml:space="preserve">7. System Architecture</w:t>
      </w:r>
    </w:p>
    <w:p>
      <w:pPr>
        <w:pStyle w:val="Heading2"/>
        <w:spacing w:before="260" w:after="120"/>
      </w:pPr>
      <w:r>
        <w:rPr>
          <w:rFonts w:ascii="Arial" w:cs="Arial" w:eastAsia="Arial" w:hAnsi="Arial"/>
          <w:b/>
          <w:bCs/>
          <w:color w:val="427A43"/>
          <w:sz w:val="26"/>
          <w:szCs w:val="26"/>
        </w:rPr>
        <w:t xml:space="preserve">7.1 High-Level Data Flow</w:t>
      </w:r>
    </w:p>
    <w:p/>
    <w:p>
      <w:pPr>
        <w:spacing w:before="60" w:after="80"/>
      </w:pPr>
      <w:r>
        <w:rPr>
          <w:rFonts w:ascii="Arial" w:cs="Arial" w:eastAsia="Arial" w:hAnsi="Arial"/>
          <w:color w:val="333333"/>
          <w:sz w:val="20"/>
          <w:szCs w:val="20"/>
        </w:rPr>
        <w:t xml:space="preserve">The complete data flow from satellite to NGO alert in 6 steps:</w:t>
      </w:r>
    </w:p>
    <w:p>
      <w:pPr>
        <w:pStyle w:val="ListParagraph"/>
        <w:numPr>
          <w:ilvl w:val="0"/>
          <w:numId w:val="3"/>
        </w:numPr>
        <w:spacing w:before="60" w:after="60"/>
      </w:pPr>
      <w:r>
        <w:rPr>
          <w:rFonts w:ascii="Arial" w:cs="Arial" w:eastAsia="Arial" w:hAnsi="Arial"/>
          <w:color w:val="333333"/>
          <w:sz w:val="20"/>
          <w:szCs w:val="20"/>
        </w:rPr>
        <w:t xml:space="preserve">INGEST: Scheduled Python job (APScheduler) queries NASA FIRMS and GFW APIs every 24 hours for new deforestation alerts in the tropical belt.</w:t>
      </w:r>
    </w:p>
    <w:p>
      <w:pPr>
        <w:pStyle w:val="ListParagraph"/>
        <w:numPr>
          <w:ilvl w:val="0"/>
          <w:numId w:val="3"/>
        </w:numPr>
        <w:spacing w:before="60" w:after="60"/>
      </w:pPr>
      <w:r>
        <w:rPr>
          <w:rFonts w:ascii="Arial" w:cs="Arial" w:eastAsia="Arial" w:hAnsi="Arial"/>
          <w:color w:val="333333"/>
          <w:sz w:val="20"/>
          <w:szCs w:val="20"/>
        </w:rPr>
        <w:t xml:space="preserve">CONFIRM: New alerts are cross-referenced with Sentinel Hub WMS to pull a satellite thumbnail and confirm visible land clearing at the flagged coordinates.</w:t>
      </w:r>
    </w:p>
    <w:p>
      <w:pPr>
        <w:pStyle w:val="ListParagraph"/>
        <w:numPr>
          <w:ilvl w:val="0"/>
          <w:numId w:val="3"/>
        </w:numPr>
        <w:spacing w:before="60" w:after="60"/>
      </w:pPr>
      <w:r>
        <w:rPr>
          <w:rFonts w:ascii="Arial" w:cs="Arial" w:eastAsia="Arial" w:hAnsi="Arial"/>
          <w:color w:val="333333"/>
          <w:sz w:val="20"/>
          <w:szCs w:val="20"/>
        </w:rPr>
        <w:t xml:space="preserve">CLASSIFY: Alert severity is assigned (CRITICAL / HIGH / MED) based on area cleared, forest type, and rate of change. Carbon impact is calculated and stored.</w:t>
      </w:r>
    </w:p>
    <w:p>
      <w:pPr>
        <w:pStyle w:val="ListParagraph"/>
        <w:numPr>
          <w:ilvl w:val="0"/>
          <w:numId w:val="3"/>
        </w:numPr>
        <w:spacing w:before="60" w:after="60"/>
      </w:pPr>
      <w:r>
        <w:rPr>
          <w:rFonts w:ascii="Arial" w:cs="Arial" w:eastAsia="Arial" w:hAnsi="Arial"/>
          <w:color w:val="333333"/>
          <w:sz w:val="20"/>
          <w:szCs w:val="20"/>
        </w:rPr>
        <w:t xml:space="preserve">MATCH: PostGIS ST_Contains() query checks whether the alert coordinates fall inside any registered NGO region polygon. All matching NGOs are identified.</w:t>
      </w:r>
    </w:p>
    <w:p>
      <w:pPr>
        <w:pStyle w:val="ListParagraph"/>
        <w:numPr>
          <w:ilvl w:val="0"/>
          <w:numId w:val="3"/>
        </w:numPr>
        <w:spacing w:before="60" w:after="60"/>
      </w:pPr>
      <w:r>
        <w:rPr>
          <w:rFonts w:ascii="Arial" w:cs="Arial" w:eastAsia="Arial" w:hAnsi="Arial"/>
          <w:color w:val="333333"/>
          <w:sz w:val="20"/>
          <w:szCs w:val="20"/>
        </w:rPr>
        <w:t xml:space="preserve">DISPATCH: SendGrid sends an HTML email alert to each matched NGO. If a WhatsApp number is registered, Twilio sends a concise WhatsApp message simultaneously.</w:t>
      </w:r>
    </w:p>
    <w:p>
      <w:pPr>
        <w:pStyle w:val="ListParagraph"/>
        <w:numPr>
          <w:ilvl w:val="0"/>
          <w:numId w:val="3"/>
        </w:numPr>
        <w:spacing w:before="60" w:after="60"/>
      </w:pPr>
      <w:r>
        <w:rPr>
          <w:rFonts w:ascii="Arial" w:cs="Arial" w:eastAsia="Arial" w:hAnsi="Arial"/>
          <w:color w:val="333333"/>
          <w:sz w:val="20"/>
          <w:szCs w:val="20"/>
        </w:rPr>
        <w:t xml:space="preserve">LOG: Dispatch event is recorded in the database with timestamp, NGO ID, alert ID, channel used, and delivery status. Duplicate alerts within 24 hours are suppressed.</w:t>
      </w:r>
    </w:p>
    <w:p/>
    <w:p>
      <w:pPr>
        <w:pStyle w:val="Heading2"/>
        <w:spacing w:before="260" w:after="120"/>
      </w:pPr>
      <w:r>
        <w:rPr>
          <w:rFonts w:ascii="Arial" w:cs="Arial" w:eastAsia="Arial" w:hAnsi="Arial"/>
          <w:b/>
          <w:bCs/>
          <w:color w:val="427A43"/>
          <w:sz w:val="26"/>
          <w:szCs w:val="26"/>
        </w:rPr>
        <w:t xml:space="preserve">7.2 Database Schema (Key Tables)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Table</w:t>
            </w:r>
          </w:p>
        </w:tc>
        <w:tc>
          <w:tcPr>
            <w:tcW w:type="dxa" w:w="42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Key Columns</w:t>
            </w:r>
          </w:p>
        </w:tc>
        <w:tc>
          <w:tcPr>
            <w:tcW w:type="dxa" w:w="336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Purpose</w:t>
            </w:r>
          </w:p>
        </w:tc>
      </w:tr>
      <w:tr>
        <w:tc>
          <w:tcPr>
            <w:tcW w:type="dxa" w:w="18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alerts</w:t>
            </w:r>
          </w:p>
        </w:tc>
        <w:tc>
          <w:tcPr>
            <w:tcW w:type="dxa" w:w="4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id, lat, lon, area_ha, severity, forest_type, carbon_tonnes, detected_at, source_api</w:t>
            </w:r>
          </w:p>
        </w:tc>
        <w:tc>
          <w:tcPr>
            <w:tcW w:type="dxa" w:w="33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Stores all confirmed deforestation events</w:t>
            </w:r>
          </w:p>
        </w:tc>
      </w:tr>
      <w:tr>
        <w:tc>
          <w:tcPr>
            <w:tcW w:type="dxa" w:w="18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ngos</w:t>
            </w:r>
          </w:p>
        </w:tc>
        <w:tc>
          <w:tcPr>
            <w:tcW w:type="dxa" w:w="42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id, name, email, whatsapp, region_geojson, created_at, active</w:t>
            </w:r>
          </w:p>
        </w:tc>
        <w:tc>
          <w:tcPr>
            <w:tcW w:type="dxa" w:w="33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Registered NGO accounts and their monitoring regions</w:t>
            </w:r>
          </w:p>
        </w:tc>
      </w:tr>
      <w:tr>
        <w:tc>
          <w:tcPr>
            <w:tcW w:type="dxa" w:w="18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dispatches</w:t>
            </w:r>
          </w:p>
        </w:tc>
        <w:tc>
          <w:tcPr>
            <w:tcW w:type="dxa" w:w="4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id, alert_id, ngo_id, channel, sent_at, status</w:t>
            </w:r>
          </w:p>
        </w:tc>
        <w:tc>
          <w:tcPr>
            <w:tcW w:type="dxa" w:w="33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Log of every alert sent — prevents duplicates</w:t>
            </w:r>
          </w:p>
        </w:tc>
      </w:tr>
      <w:tr>
        <w:tc>
          <w:tcPr>
            <w:tcW w:type="dxa" w:w="18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sessions</w:t>
            </w:r>
          </w:p>
        </w:tc>
        <w:tc>
          <w:tcPr>
            <w:tcW w:type="dxa" w:w="42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id, ngo_id, token, expires_at</w:t>
            </w:r>
          </w:p>
        </w:tc>
        <w:tc>
          <w:tcPr>
            <w:tcW w:type="dxa" w:w="33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Authentication sessions for NGO dashboard login</w:t>
            </w:r>
          </w:p>
        </w:tc>
      </w:tr>
    </w:tbl>
    <w:p/>
    <w:p>
      <w:pPr>
        <w:pStyle w:val="Heading2"/>
        <w:spacing w:before="260" w:after="120"/>
      </w:pPr>
      <w:r>
        <w:rPr>
          <w:rFonts w:ascii="Arial" w:cs="Arial" w:eastAsia="Arial" w:hAnsi="Arial"/>
          <w:b/>
          <w:bCs/>
          <w:color w:val="427A43"/>
          <w:sz w:val="26"/>
          <w:szCs w:val="26"/>
        </w:rPr>
        <w:t xml:space="preserve">7.3 API Endpoints</w:t>
      </w:r>
    </w:p>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4200"/>
        <w:gridCol w:w="1040"/>
      </w:tblGrid>
      <w:tr>
        <w:trPr>
          <w:tblHeader/>
        </w:trPr>
        <w:tc>
          <w:tcPr>
            <w:tcW w:type="dxa" w:w="72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Method</w:t>
            </w:r>
          </w:p>
        </w:tc>
        <w:tc>
          <w:tcPr>
            <w:tcW w:type="dxa" w:w="24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Endpoint</w:t>
            </w:r>
          </w:p>
        </w:tc>
        <w:tc>
          <w:tcPr>
            <w:tcW w:type="dxa" w:w="42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Description</w:t>
            </w:r>
          </w:p>
        </w:tc>
        <w:tc>
          <w:tcPr>
            <w:tcW w:type="dxa" w:w="104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Auth</w:t>
            </w:r>
          </w:p>
        </w:tc>
      </w:tr>
      <w:tr>
        <w:tc>
          <w:tcPr>
            <w:tcW w:type="dxa" w:w="72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24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/api/alerts</w:t>
            </w:r>
          </w:p>
        </w:tc>
        <w:tc>
          <w:tcPr>
            <w:tcW w:type="dxa" w:w="4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Return all active deforestation alerts with coordinates and metadata</w:t>
            </w:r>
          </w:p>
        </w:tc>
        <w:tc>
          <w:tcPr>
            <w:tcW w:type="dxa" w:w="104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Public</w:t>
            </w:r>
          </w:p>
        </w:tc>
      </w:tr>
      <w:tr>
        <w:tc>
          <w:tcPr>
            <w:tcW w:type="dxa" w:w="72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24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/api/alerts/:id</w:t>
            </w:r>
          </w:p>
        </w:tc>
        <w:tc>
          <w:tcPr>
            <w:tcW w:type="dxa" w:w="42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Return full detail for a single alert including carbon data</w:t>
            </w:r>
          </w:p>
        </w:tc>
        <w:tc>
          <w:tcPr>
            <w:tcW w:type="dxa" w:w="104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Public</w:t>
            </w:r>
          </w:p>
        </w:tc>
      </w:tr>
      <w:tr>
        <w:tc>
          <w:tcPr>
            <w:tcW w:type="dxa" w:w="72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w:t>
            </w:r>
          </w:p>
        </w:tc>
        <w:tc>
          <w:tcPr>
            <w:tcW w:type="dxa" w:w="24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/api/ngos/register</w:t>
            </w:r>
          </w:p>
        </w:tc>
        <w:tc>
          <w:tcPr>
            <w:tcW w:type="dxa" w:w="4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Register a new NGO account with email and region polygon</w:t>
            </w:r>
          </w:p>
        </w:tc>
        <w:tc>
          <w:tcPr>
            <w:tcW w:type="dxa" w:w="104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Public</w:t>
            </w:r>
          </w:p>
        </w:tc>
      </w:tr>
      <w:tr>
        <w:tc>
          <w:tcPr>
            <w:tcW w:type="dxa" w:w="72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w:t>
            </w:r>
          </w:p>
        </w:tc>
        <w:tc>
          <w:tcPr>
            <w:tcW w:type="dxa" w:w="24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/api/ngos/login</w:t>
            </w:r>
          </w:p>
        </w:tc>
        <w:tc>
          <w:tcPr>
            <w:tcW w:type="dxa" w:w="42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Authenticate NGO and return JWT session token</w:t>
            </w:r>
          </w:p>
        </w:tc>
        <w:tc>
          <w:tcPr>
            <w:tcW w:type="dxa" w:w="104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Public</w:t>
            </w:r>
          </w:p>
        </w:tc>
      </w:tr>
      <w:tr>
        <w:tc>
          <w:tcPr>
            <w:tcW w:type="dxa" w:w="72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24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/api/ngos/me</w:t>
            </w:r>
          </w:p>
        </w:tc>
        <w:tc>
          <w:tcPr>
            <w:tcW w:type="dxa" w:w="4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Return current NGO profile and region</w:t>
            </w:r>
          </w:p>
        </w:tc>
        <w:tc>
          <w:tcPr>
            <w:tcW w:type="dxa" w:w="104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w:t>
            </w:r>
          </w:p>
        </w:tc>
      </w:tr>
      <w:tr>
        <w:tc>
          <w:tcPr>
            <w:tcW w:type="dxa" w:w="72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PUT</w:t>
            </w:r>
          </w:p>
        </w:tc>
        <w:tc>
          <w:tcPr>
            <w:tcW w:type="dxa" w:w="24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/api/ngos/me</w:t>
            </w:r>
          </w:p>
        </w:tc>
        <w:tc>
          <w:tcPr>
            <w:tcW w:type="dxa" w:w="42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Update NGO contact details or region polygon</w:t>
            </w:r>
          </w:p>
        </w:tc>
        <w:tc>
          <w:tcPr>
            <w:tcW w:type="dxa" w:w="104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w:t>
            </w:r>
          </w:p>
        </w:tc>
      </w:tr>
      <w:tr>
        <w:tc>
          <w:tcPr>
            <w:tcW w:type="dxa" w:w="72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24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/api/ngos/me/dispatches</w:t>
            </w:r>
          </w:p>
        </w:tc>
        <w:tc>
          <w:tcPr>
            <w:tcW w:type="dxa" w:w="4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Return history of alerts sent to this NGO</w:t>
            </w:r>
          </w:p>
        </w:tc>
        <w:tc>
          <w:tcPr>
            <w:tcW w:type="dxa" w:w="104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w:t>
            </w:r>
          </w:p>
        </w:tc>
      </w:tr>
      <w:tr>
        <w:tc>
          <w:tcPr>
            <w:tcW w:type="dxa" w:w="72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w:t>
            </w:r>
          </w:p>
        </w:tc>
        <w:tc>
          <w:tcPr>
            <w:tcW w:type="dxa" w:w="24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/api/ngos/me/realert/:id</w:t>
            </w:r>
          </w:p>
        </w:tc>
        <w:tc>
          <w:tcPr>
            <w:tcW w:type="dxa" w:w="42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Manually re-trigger alert dispatch for a specific event</w:t>
            </w:r>
          </w:p>
        </w:tc>
        <w:tc>
          <w:tcPr>
            <w:tcW w:type="dxa" w:w="104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w:t>
            </w:r>
          </w:p>
        </w:tc>
      </w:tr>
      <w:tr>
        <w:tc>
          <w:tcPr>
            <w:tcW w:type="dxa" w:w="72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w:t>
            </w:r>
          </w:p>
        </w:tc>
        <w:tc>
          <w:tcPr>
            <w:tcW w:type="dxa" w:w="24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/api/internal/ingest</w:t>
            </w:r>
          </w:p>
        </w:tc>
        <w:tc>
          <w:tcPr>
            <w:tcW w:type="dxa" w:w="42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Trigger manual satellite data ingestion cycle</w:t>
            </w:r>
          </w:p>
        </w:tc>
        <w:tc>
          <w:tcPr>
            <w:tcW w:type="dxa" w:w="104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Internal key</w:t>
            </w:r>
          </w:p>
        </w:tc>
      </w:tr>
    </w:tbl>
    <w:p>
      <w:pPr>
        <w:pBdr>
          <w:bottom w:val="single" w:color="C0B87A" w:sz="4" w:space="1"/>
        </w:pBdr>
        <w:spacing w:before="200" w:after="200"/>
      </w:pPr>
    </w:p>
    <w:p>
      <w:r>
        <w:br w:type="page"/>
      </w:r>
    </w:p>
    <w:p>
      <w:pPr>
        <w:pStyle w:val="Heading1"/>
        <w:pBdr>
          <w:bottom w:val="single" w:color="C0B87A" w:sz="8" w:space="4"/>
        </w:pBdr>
        <w:spacing w:before="360" w:after="160"/>
      </w:pPr>
      <w:r>
        <w:rPr>
          <w:rFonts w:ascii="Arial" w:cs="Arial" w:eastAsia="Arial" w:hAnsi="Arial"/>
          <w:b/>
          <w:bCs/>
          <w:color w:val="005F02"/>
          <w:sz w:val="36"/>
          <w:szCs w:val="36"/>
        </w:rPr>
        <w:t xml:space="preserve">8. Development Timeline — 4 Days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rPr>
          <w:tblHeader/>
        </w:trPr>
        <w:tc>
          <w:tcPr>
            <w:tcW w:type="dxa" w:w="72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Day</w:t>
            </w:r>
          </w:p>
        </w:tc>
        <w:tc>
          <w:tcPr>
            <w:tcW w:type="dxa" w:w="24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Focus</w:t>
            </w:r>
          </w:p>
        </w:tc>
        <w:tc>
          <w:tcPr>
            <w:tcW w:type="dxa" w:w="624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Key Deliverables</w:t>
            </w:r>
          </w:p>
        </w:tc>
      </w:tr>
      <w:tr>
        <w:tc>
          <w:tcPr>
            <w:tcW w:type="dxa" w:w="72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Day 1</w:t>
            </w:r>
          </w:p>
        </w:tc>
        <w:tc>
          <w:tcPr>
            <w:tcW w:type="dxa" w:w="24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Backend Foundation</w:t>
            </w:r>
          </w:p>
        </w:tc>
        <w:tc>
          <w:tcPr>
            <w:tcW w:type="dxa" w:w="624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FastAPI project setup, PostgreSQL + PostGIS on Supabase, database schema, NASA FIRMS + GFW API integration, basic alert ingestion pipeline</w:t>
            </w:r>
          </w:p>
        </w:tc>
      </w:tr>
      <w:tr>
        <w:tc>
          <w:tcPr>
            <w:tcW w:type="dxa" w:w="72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Day 2</w:t>
            </w:r>
          </w:p>
        </w:tc>
        <w:tc>
          <w:tcPr>
            <w:tcW w:type="dxa" w:w="24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Frontend + Map</w:t>
            </w:r>
          </w:p>
        </w:tc>
        <w:tc>
          <w:tcPr>
            <w:tcW w:type="dxa" w:w="624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React + Vite setup, Leaflet map with alert markers, alert feed sidebar, alert detail panel, NGO registration form connected to backend</w:t>
            </w:r>
          </w:p>
        </w:tc>
      </w:tr>
      <w:tr>
        <w:tc>
          <w:tcPr>
            <w:tcW w:type="dxa" w:w="72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Day 3</w:t>
            </w:r>
          </w:p>
        </w:tc>
        <w:tc>
          <w:tcPr>
            <w:tcW w:type="dxa" w:w="24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Alert Dispatch + NGO System</w:t>
            </w:r>
          </w:p>
        </w:tc>
        <w:tc>
          <w:tcPr>
            <w:tcW w:type="dxa" w:w="624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SendGrid email integration, Twilio WhatsApp integration, PostGIS region matching, NGO login dashboard, dispatch log, duplicate suppression</w:t>
            </w:r>
          </w:p>
        </w:tc>
      </w:tr>
      <w:tr>
        <w:tc>
          <w:tcPr>
            <w:tcW w:type="dxa" w:w="72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Day 4</w:t>
            </w:r>
          </w:p>
        </w:tc>
        <w:tc>
          <w:tcPr>
            <w:tcW w:type="dxa" w:w="24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Polish + Video</w:t>
            </w:r>
          </w:p>
        </w:tc>
        <w:tc>
          <w:tcPr>
            <w:tcW w:type="dxa" w:w="624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Sentinel Hub thumbnail integration, carbon calculator display, UI polish with forest palette, bug fixes, demo data seeding, 4-minute video recording</w:t>
            </w:r>
          </w:p>
        </w:tc>
      </w:tr>
    </w:tbl>
    <w:p>
      <w:pPr>
        <w:pBdr>
          <w:bottom w:val="single" w:color="C0B87A" w:sz="4" w:space="1"/>
        </w:pBdr>
        <w:spacing w:before="200" w:after="200"/>
      </w:pPr>
    </w:p>
    <w:p>
      <w:pPr>
        <w:pStyle w:val="Heading1"/>
        <w:pBdr>
          <w:bottom w:val="single" w:color="C0B87A" w:sz="8" w:space="4"/>
        </w:pBdr>
        <w:spacing w:before="360" w:after="160"/>
      </w:pPr>
      <w:r>
        <w:rPr>
          <w:rFonts w:ascii="Arial" w:cs="Arial" w:eastAsia="Arial" w:hAnsi="Arial"/>
          <w:b/>
          <w:bCs/>
          <w:color w:val="005F02"/>
          <w:sz w:val="36"/>
          <w:szCs w:val="36"/>
        </w:rPr>
        <w:t xml:space="preserve">9. Required Environment Variables</w:t>
      </w:r>
    </w:p>
    <w:p>
      <w:pPr>
        <w:spacing w:before="60" w:after="80"/>
      </w:pPr>
      <w:r>
        <w:rPr>
          <w:rFonts w:ascii="Arial" w:cs="Arial" w:eastAsia="Arial" w:hAnsi="Arial"/>
          <w:color w:val="333333"/>
          <w:sz w:val="20"/>
          <w:szCs w:val="20"/>
        </w:rPr>
        <w:t xml:space="preserve">All keys are free to obtain. Store in a .env file — never commit to GitHub.</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Variable</w:t>
            </w:r>
          </w:p>
        </w:tc>
        <w:tc>
          <w:tcPr>
            <w:tcW w:type="dxa" w:w="200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Service</w:t>
            </w:r>
          </w:p>
        </w:tc>
        <w:tc>
          <w:tcPr>
            <w:tcW w:type="dxa" w:w="4560"/>
            <w:tcBorders>
              <w:top w:val="single" w:color="C0B87A" w:sz="1"/>
              <w:left w:val="single" w:color="C0B87A" w:sz="1"/>
              <w:bottom w:val="single" w:color="C0B87A" w:sz="1"/>
              <w:right w:val="single" w:color="C0B87A" w:sz="1"/>
            </w:tcBorders>
            <w:shd w:fill="005F02" w:val="clear"/>
            <w:tcMar>
              <w:top w:type="dxa" w:w="80"/>
              <w:left w:type="dxa" w:w="120"/>
              <w:bottom w:type="dxa" w:w="80"/>
              <w:right w:type="dxa" w:w="120"/>
            </w:tcMar>
          </w:tcPr>
          <w:p>
            <w:pPr>
              <w:jc w:val="left"/>
            </w:pPr>
            <w:r>
              <w:rPr>
                <w:rFonts w:ascii="Arial" w:cs="Arial" w:eastAsia="Arial" w:hAnsi="Arial"/>
                <w:b/>
                <w:bCs/>
                <w:color w:val="F2E3BB"/>
                <w:sz w:val="18"/>
                <w:szCs w:val="18"/>
              </w:rPr>
              <w:t xml:space="preserve">How to Get It</w:t>
            </w:r>
          </w:p>
        </w:tc>
      </w:tr>
      <w:tr>
        <w:tc>
          <w:tcPr>
            <w:tcW w:type="dxa" w:w="28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NASA_FIRMS_API_KEY</w:t>
            </w:r>
          </w:p>
        </w:tc>
        <w:tc>
          <w:tcPr>
            <w:tcW w:type="dxa" w:w="20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NASA FIRMS</w:t>
            </w:r>
          </w:p>
        </w:tc>
        <w:tc>
          <w:tcPr>
            <w:tcW w:type="dxa" w:w="45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Register at firms.modaps.eosdis.nasa.gov/api/area/</w:t>
            </w:r>
          </w:p>
        </w:tc>
      </w:tr>
      <w:tr>
        <w:tc>
          <w:tcPr>
            <w:tcW w:type="dxa" w:w="28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GFW_API_KEY</w:t>
            </w:r>
          </w:p>
        </w:tc>
        <w:tc>
          <w:tcPr>
            <w:tcW w:type="dxa" w:w="20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Global Forest Watch</w:t>
            </w:r>
          </w:p>
        </w:tc>
        <w:tc>
          <w:tcPr>
            <w:tcW w:type="dxa" w:w="45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Register at globalforestwatch.org — free account</w:t>
            </w:r>
          </w:p>
        </w:tc>
      </w:tr>
      <w:tr>
        <w:tc>
          <w:tcPr>
            <w:tcW w:type="dxa" w:w="28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SENTINEL_HUB_CLIENT_ID</w:t>
            </w:r>
          </w:p>
        </w:tc>
        <w:tc>
          <w:tcPr>
            <w:tcW w:type="dxa" w:w="20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Sentinel Hub</w:t>
            </w:r>
          </w:p>
        </w:tc>
        <w:tc>
          <w:tcPr>
            <w:tcW w:type="dxa" w:w="45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Register at sentinel-hub.com — free trial account</w:t>
            </w:r>
          </w:p>
        </w:tc>
      </w:tr>
      <w:tr>
        <w:tc>
          <w:tcPr>
            <w:tcW w:type="dxa" w:w="28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SENTINEL_HUB_SECRET</w:t>
            </w:r>
          </w:p>
        </w:tc>
        <w:tc>
          <w:tcPr>
            <w:tcW w:type="dxa" w:w="20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Sentinel Hub</w:t>
            </w:r>
          </w:p>
        </w:tc>
        <w:tc>
          <w:tcPr>
            <w:tcW w:type="dxa" w:w="45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Generated alongside Client ID in Sentinel Hub dashboard</w:t>
            </w:r>
          </w:p>
        </w:tc>
      </w:tr>
      <w:tr>
        <w:tc>
          <w:tcPr>
            <w:tcW w:type="dxa" w:w="28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SENDGRID_API_KEY</w:t>
            </w:r>
          </w:p>
        </w:tc>
        <w:tc>
          <w:tcPr>
            <w:tcW w:type="dxa" w:w="20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SendGrid</w:t>
            </w:r>
          </w:p>
        </w:tc>
        <w:tc>
          <w:tcPr>
            <w:tcW w:type="dxa" w:w="45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Register at sendgrid.com — verify sender, get key</w:t>
            </w:r>
          </w:p>
        </w:tc>
      </w:tr>
      <w:tr>
        <w:tc>
          <w:tcPr>
            <w:tcW w:type="dxa" w:w="28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SENDGRID_FROM_EMAIL</w:t>
            </w:r>
          </w:p>
        </w:tc>
        <w:tc>
          <w:tcPr>
            <w:tcW w:type="dxa" w:w="20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SendGrid</w:t>
            </w:r>
          </w:p>
        </w:tc>
        <w:tc>
          <w:tcPr>
            <w:tcW w:type="dxa" w:w="45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 verified sender email address for outgoing alerts</w:t>
            </w:r>
          </w:p>
        </w:tc>
      </w:tr>
      <w:tr>
        <w:tc>
          <w:tcPr>
            <w:tcW w:type="dxa" w:w="28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TWILIO_ACCOUNT_SID</w:t>
            </w:r>
          </w:p>
        </w:tc>
        <w:tc>
          <w:tcPr>
            <w:tcW w:type="dxa" w:w="20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Twilio</w:t>
            </w:r>
          </w:p>
        </w:tc>
        <w:tc>
          <w:tcPr>
            <w:tcW w:type="dxa" w:w="45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Register at twilio.com — shown in console dashboard</w:t>
            </w:r>
          </w:p>
        </w:tc>
      </w:tr>
      <w:tr>
        <w:tc>
          <w:tcPr>
            <w:tcW w:type="dxa" w:w="28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TWILIO_AUTH_TOKEN</w:t>
            </w:r>
          </w:p>
        </w:tc>
        <w:tc>
          <w:tcPr>
            <w:tcW w:type="dxa" w:w="20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Twilio</w:t>
            </w:r>
          </w:p>
        </w:tc>
        <w:tc>
          <w:tcPr>
            <w:tcW w:type="dxa" w:w="45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Shown alongside Account SID in Twilio console</w:t>
            </w:r>
          </w:p>
        </w:tc>
      </w:tr>
      <w:tr>
        <w:tc>
          <w:tcPr>
            <w:tcW w:type="dxa" w:w="28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TWILIO_WHATSAPP_FROM</w:t>
            </w:r>
          </w:p>
        </w:tc>
        <w:tc>
          <w:tcPr>
            <w:tcW w:type="dxa" w:w="20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Twilio</w:t>
            </w:r>
          </w:p>
        </w:tc>
        <w:tc>
          <w:tcPr>
            <w:tcW w:type="dxa" w:w="45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Twilio sandbox WhatsApp number e.g. whatsapp:+14155238886</w:t>
            </w:r>
          </w:p>
        </w:tc>
      </w:tr>
      <w:tr>
        <w:tc>
          <w:tcPr>
            <w:tcW w:type="dxa" w:w="28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DATABASE_URL</w:t>
            </w:r>
          </w:p>
        </w:tc>
        <w:tc>
          <w:tcPr>
            <w:tcW w:type="dxa" w:w="200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Supabase</w:t>
            </w:r>
          </w:p>
        </w:tc>
        <w:tc>
          <w:tcPr>
            <w:tcW w:type="dxa" w:w="4560"/>
            <w:tcBorders>
              <w:top w:val="single" w:color="C0B87A" w:sz="1"/>
              <w:left w:val="single" w:color="C0B87A" w:sz="1"/>
              <w:bottom w:val="single" w:color="C0B87A" w:sz="1"/>
              <w:right w:val="single" w:color="C0B87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PostgreSQL connection string from Supabase project settings</w:t>
            </w:r>
          </w:p>
        </w:tc>
      </w:tr>
      <w:tr>
        <w:tc>
          <w:tcPr>
            <w:tcW w:type="dxa" w:w="28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JWT_SECRET_KEY</w:t>
            </w:r>
          </w:p>
        </w:tc>
        <w:tc>
          <w:tcPr>
            <w:tcW w:type="dxa" w:w="200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Self-generated</w:t>
            </w:r>
          </w:p>
        </w:tc>
        <w:tc>
          <w:tcPr>
            <w:tcW w:type="dxa" w:w="4560"/>
            <w:tcBorders>
              <w:top w:val="single" w:color="C0B87A" w:sz="1"/>
              <w:left w:val="single" w:color="C0B87A" w:sz="1"/>
              <w:bottom w:val="single" w:color="C0B87A" w:sz="1"/>
              <w:right w:val="single" w:color="C0B87A" w:sz="1"/>
            </w:tcBorders>
            <w:shd w:fill="F5F0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Any random 32+ character string — use: openssl rand -hex 32</w:t>
            </w:r>
          </w:p>
        </w:tc>
      </w:tr>
    </w:tbl>
    <w:p>
      <w:pPr>
        <w:pBdr>
          <w:bottom w:val="single" w:color="C0B87A" w:sz="4" w:space="1"/>
        </w:pBdr>
        <w:spacing w:before="200" w:after="200"/>
      </w:pPr>
    </w:p>
    <w:p>
      <w:pPr>
        <w:pStyle w:val="Heading1"/>
        <w:pBdr>
          <w:bottom w:val="single" w:color="C0B87A" w:sz="8" w:space="4"/>
        </w:pBdr>
        <w:spacing w:before="360" w:after="160"/>
      </w:pPr>
      <w:r>
        <w:rPr>
          <w:rFonts w:ascii="Arial" w:cs="Arial" w:eastAsia="Arial" w:hAnsi="Arial"/>
          <w:b/>
          <w:bCs/>
          <w:color w:val="005F02"/>
          <w:sz w:val="36"/>
          <w:szCs w:val="36"/>
        </w:rPr>
        <w:t xml:space="preserve">10. Hackathon Submission Checklist</w:t>
      </w:r>
    </w:p>
    <w:p/>
    <w:p>
      <w:pPr>
        <w:spacing w:before="60" w:after="80"/>
      </w:pPr>
      <w:r>
        <w:rPr>
          <w:rFonts w:ascii="Arial" w:cs="Arial" w:eastAsia="Arial" w:hAnsi="Arial"/>
          <w:b/>
          <w:bCs/>
          <w:color w:val="333333"/>
          <w:sz w:val="20"/>
          <w:szCs w:val="20"/>
        </w:rPr>
        <w:t xml:space="preserve">Platform: Devpost — https://hack-for-humanity-26.devpost.com/</w:t>
      </w:r>
    </w:p>
    <w:p/>
    <w:p>
      <w:pPr>
        <w:pStyle w:val="ListParagraph"/>
        <w:numPr>
          <w:ilvl w:val="0"/>
          <w:numId w:val="2"/>
        </w:numPr>
        <w:spacing w:before="50" w:after="50"/>
      </w:pPr>
      <w:r>
        <w:rPr>
          <w:rFonts w:ascii="Arial" w:cs="Arial" w:eastAsia="Arial" w:hAnsi="Arial"/>
          <w:color w:val="333333"/>
          <w:sz w:val="20"/>
          <w:szCs w:val="20"/>
        </w:rPr>
        <w:t xml:space="preserve">GitHub repository with complete functioning source code (frontend + backend).</w:t>
      </w:r>
    </w:p>
    <w:p>
      <w:pPr>
        <w:pStyle w:val="ListParagraph"/>
        <w:numPr>
          <w:ilvl w:val="0"/>
          <w:numId w:val="2"/>
        </w:numPr>
        <w:spacing w:before="50" w:after="50"/>
      </w:pPr>
      <w:r>
        <w:rPr>
          <w:rFonts w:ascii="Arial" w:cs="Arial" w:eastAsia="Arial" w:hAnsi="Arial"/>
          <w:color w:val="333333"/>
          <w:sz w:val="20"/>
          <w:szCs w:val="20"/>
        </w:rPr>
        <w:t xml:space="preserve">README.md with clear setup instructions, environment variable guide, and how to run locally.</w:t>
      </w:r>
    </w:p>
    <w:p>
      <w:pPr>
        <w:pStyle w:val="ListParagraph"/>
        <w:numPr>
          <w:ilvl w:val="0"/>
          <w:numId w:val="2"/>
        </w:numPr>
        <w:spacing w:before="50" w:after="50"/>
      </w:pPr>
      <w:r>
        <w:rPr>
          <w:rFonts w:ascii="Arial" w:cs="Arial" w:eastAsia="Arial" w:hAnsi="Arial"/>
          <w:color w:val="333333"/>
          <w:sz w:val="20"/>
          <w:szCs w:val="20"/>
        </w:rPr>
        <w:t xml:space="preserve">Live demo link — frontend on Vercel, backend on Render, database on Supabase.</w:t>
      </w:r>
    </w:p>
    <w:p>
      <w:pPr>
        <w:pStyle w:val="ListParagraph"/>
        <w:numPr>
          <w:ilvl w:val="0"/>
          <w:numId w:val="2"/>
        </w:numPr>
        <w:spacing w:before="50" w:after="50"/>
      </w:pPr>
      <w:r>
        <w:rPr>
          <w:rFonts w:ascii="Arial" w:cs="Arial" w:eastAsia="Arial" w:hAnsi="Arial"/>
          <w:color w:val="333333"/>
          <w:sz w:val="20"/>
          <w:szCs w:val="20"/>
        </w:rPr>
        <w:t xml:space="preserve">4-minute video covering: the problem, the software demo, key features, and how it was built.</w:t>
      </w:r>
    </w:p>
    <w:p>
      <w:pPr>
        <w:pStyle w:val="ListParagraph"/>
        <w:numPr>
          <w:ilvl w:val="0"/>
          <w:numId w:val="2"/>
        </w:numPr>
        <w:spacing w:before="50" w:after="50"/>
      </w:pPr>
      <w:r>
        <w:rPr>
          <w:rFonts w:ascii="Arial" w:cs="Arial" w:eastAsia="Arial" w:hAnsi="Arial"/>
          <w:color w:val="333333"/>
          <w:sz w:val="20"/>
          <w:szCs w:val="20"/>
        </w:rPr>
        <w:t xml:space="preserve">Devpost project description with one-line pitch, feature list, and tech stack summary.</w:t>
      </w:r>
    </w:p>
    <w:p/>
    <w:p>
      <w:pPr>
        <w:pStyle w:val="Heading2"/>
        <w:spacing w:before="260" w:after="120"/>
      </w:pPr>
      <w:r>
        <w:rPr>
          <w:rFonts w:ascii="Arial" w:cs="Arial" w:eastAsia="Arial" w:hAnsi="Arial"/>
          <w:b/>
          <w:bCs/>
          <w:color w:val="427A43"/>
          <w:sz w:val="26"/>
          <w:szCs w:val="26"/>
        </w:rPr>
        <w:t xml:space="preserve">Video Structure (4 minutes)</w:t>
      </w:r>
    </w:p>
    <w:p>
      <w:pPr>
        <w:pStyle w:val="ListParagraph"/>
        <w:numPr>
          <w:ilvl w:val="0"/>
          <w:numId w:val="3"/>
        </w:numPr>
        <w:spacing w:before="60" w:after="60"/>
      </w:pPr>
      <w:r>
        <w:rPr>
          <w:rFonts w:ascii="Arial" w:cs="Arial" w:eastAsia="Arial" w:hAnsi="Arial"/>
          <w:color w:val="333333"/>
          <w:sz w:val="20"/>
          <w:szCs w:val="20"/>
        </w:rPr>
        <w:t xml:space="preserve">0:00 – 0:30  The problem — show the scale of deforestation with a real statistic.</w:t>
      </w:r>
    </w:p>
    <w:p>
      <w:pPr>
        <w:pStyle w:val="ListParagraph"/>
        <w:numPr>
          <w:ilvl w:val="0"/>
          <w:numId w:val="3"/>
        </w:numPr>
        <w:spacing w:before="60" w:after="60"/>
      </w:pPr>
      <w:r>
        <w:rPr>
          <w:rFonts w:ascii="Arial" w:cs="Arial" w:eastAsia="Arial" w:hAnsi="Arial"/>
          <w:color w:val="333333"/>
          <w:sz w:val="20"/>
          <w:szCs w:val="20"/>
        </w:rPr>
        <w:t xml:space="preserve">0:30 – 1:30  Live demo of the map — click markers, show alert details, carbon impact.</w:t>
      </w:r>
    </w:p>
    <w:p>
      <w:pPr>
        <w:pStyle w:val="ListParagraph"/>
        <w:numPr>
          <w:ilvl w:val="0"/>
          <w:numId w:val="3"/>
        </w:numPr>
        <w:spacing w:before="60" w:after="60"/>
      </w:pPr>
      <w:r>
        <w:rPr>
          <w:rFonts w:ascii="Arial" w:cs="Arial" w:eastAsia="Arial" w:hAnsi="Arial"/>
          <w:color w:val="333333"/>
          <w:sz w:val="20"/>
          <w:szCs w:val="20"/>
        </w:rPr>
        <w:t xml:space="preserve">1:30 – 2:30  NGO registration flow — draw a region, trigger a test alert, show email received.</w:t>
      </w:r>
    </w:p>
    <w:p>
      <w:pPr>
        <w:pStyle w:val="ListParagraph"/>
        <w:numPr>
          <w:ilvl w:val="0"/>
          <w:numId w:val="3"/>
        </w:numPr>
        <w:spacing w:before="60" w:after="60"/>
      </w:pPr>
      <w:r>
        <w:rPr>
          <w:rFonts w:ascii="Arial" w:cs="Arial" w:eastAsia="Arial" w:hAnsi="Arial"/>
          <w:color w:val="333333"/>
          <w:sz w:val="20"/>
          <w:szCs w:val="20"/>
        </w:rPr>
        <w:t xml:space="preserve">2:30 – 3:30  Technical walkthrough — show the code structure, APIs used, data flow.</w:t>
      </w:r>
    </w:p>
    <w:p>
      <w:pPr>
        <w:pStyle w:val="ListParagraph"/>
        <w:numPr>
          <w:ilvl w:val="0"/>
          <w:numId w:val="3"/>
        </w:numPr>
        <w:spacing w:before="60" w:after="60"/>
      </w:pPr>
      <w:r>
        <w:rPr>
          <w:rFonts w:ascii="Arial" w:cs="Arial" w:eastAsia="Arial" w:hAnsi="Arial"/>
          <w:color w:val="333333"/>
          <w:sz w:val="20"/>
          <w:szCs w:val="20"/>
        </w:rPr>
        <w:t xml:space="preserve">3:30 – 4:00  Closing — total cost ($0), scalability potential, team sign-off.</w:t>
      </w:r>
    </w:p>
    <w:p>
      <w:pPr>
        <w:pBdr>
          <w:bottom w:val="single" w:color="C0B87A" w:sz="4" w:space="1"/>
        </w:pBdr>
        <w:spacing w:before="200" w:after="200"/>
      </w:pPr>
    </w:p>
    <w:p>
      <w:pPr>
        <w:spacing w:before="300" w:after="0"/>
        <w:jc w:val="center"/>
      </w:pPr>
      <w:r>
        <w:rPr>
          <w:rFonts w:ascii="Arial" w:cs="Arial" w:eastAsia="Arial" w:hAnsi="Arial"/>
          <w:i/>
          <w:iCs/>
          <w:color w:val="5E8A5F"/>
          <w:sz w:val="18"/>
          <w:szCs w:val="18"/>
        </w:rPr>
        <w:t xml:space="preserve">CANOPIX  |  Hack for Humanity 2026  |  Total Cost: $0</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05F02"/>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427A4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2026-02-23T08:53:30.346Z</dcterms:created>
  <dcterms:modified xsi:type="dcterms:W3CDTF">2026-02-23T08:53:30.347Z</dcterms:modified>
</cp:coreProperties>
</file>

<file path=docProps/custom.xml><?xml version="1.0" encoding="utf-8"?>
<Properties xmlns="http://schemas.openxmlformats.org/officeDocument/2006/custom-properties" xmlns:vt="http://schemas.openxmlformats.org/officeDocument/2006/docPropsVTypes"/>
</file>