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595959"/>
          <w:spacing w:val="60"/>
          <w:sz w:val="20"/>
          <w:szCs w:val="20"/>
        </w:rPr>
        <w:t xml:space="preserve">NITRON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4E3D"/>
          <w:sz w:val="40"/>
          <w:szCs w:val="40"/>
        </w:rPr>
        <w:t xml:space="preserve">CAMPANHA GESTOR DE CARTEIRA</w:t>
      </w:r>
    </w:p>
    <w:p>
      <w:pPr>
        <w:pBdr>
          <w:bottom w:val="single" w:color="1F4E3D" w:sz="12" w:space="6"/>
        </w:pBdr>
        <w:spacing w:after="30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Regulamento  ·  Ciclo 1: setembro a dezembro de 2026</w:t>
      </w:r>
    </w:p>
    <w:p>
      <w:pPr>
        <w:spacing w:after="100" w:line="276"/>
      </w:pPr>
      <w:r>
        <w:rPr>
          <w:rFonts w:ascii="Arial" w:cs="Arial" w:eastAsia="Arial" w:hAnsi="Arial"/>
          <w:sz w:val="20"/>
          <w:szCs w:val="20"/>
        </w:rPr>
        <w:t xml:space="preserve">A Nitron disponibiliza ao representante a Tabela Gestor, tabela própria desta campanha, para uso em sua carteira.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Em troca, o representante assume a responsabilidade pela gestão dessa carteira: manter os clientes comprando e convertê-los para o Clube Nitron.</w:t>
      </w:r>
    </w:p>
    <w:p>
      <w:pPr>
        <w:spacing w:after="200" w:line="276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A tabela é emprestada ao representante e concedida ao cliente por prazo determinado. Ela permanece enquanto o resultado permanecer.</w:t>
      </w:r>
    </w:p>
    <w:p>
      <w:pPr>
        <w:pBdr>
          <w:bottom w:val="single" w:color="1F4E3D" w:sz="6" w:space="4"/>
        </w:pBdr>
        <w:spacing w:after="160" w:before="280"/>
      </w:pPr>
      <w:r>
        <w:rPr>
          <w:rFonts w:ascii="Arial" w:cs="Arial" w:eastAsia="Arial" w:hAnsi="Arial"/>
          <w:b/>
          <w:bCs/>
          <w:color w:val="1F4E3D"/>
          <w:sz w:val="24"/>
          <w:szCs w:val="24"/>
        </w:rPr>
        <w:t xml:space="preserve">1. Quem participa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Podem aderir todos os representantes comerciais ativos da Nitron mediante assinatura do Termo de Adesão que integra este regulamento. A adesão é voluntária e pode ser encerrada por qualquer das partes, por escrito, ao final de qualquer ciclo.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O representante que não aderir permanece operando com as tabelas e condições comerciais vigentes.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Representante cuja carteira comum tenha menos de 15 clientes adere ao mesmo benefício, porém é avaliado por acordo individual registrado no Termo de Adesão, e não pela régua percentual deste regulamento.</w:t>
      </w:r>
    </w:p>
    <w:p>
      <w:pPr>
        <w:pBdr>
          <w:bottom w:val="single" w:color="1F4E3D" w:sz="6" w:space="4"/>
        </w:pBdr>
        <w:spacing w:after="160" w:before="280"/>
      </w:pPr>
      <w:r>
        <w:rPr>
          <w:rFonts w:ascii="Arial" w:cs="Arial" w:eastAsia="Arial" w:hAnsi="Arial"/>
          <w:b/>
          <w:bCs/>
          <w:color w:val="1F4E3D"/>
          <w:sz w:val="24"/>
          <w:szCs w:val="24"/>
        </w:rPr>
        <w:t xml:space="preserve">2. O benefício: Tabela Gestor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 Tabela Gestor é uma tabela de preço própria desta campanha, distinta das demais tabelas comerciais da Nitron, observadas as seguintes condições: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Prazo médio de pagamento de até 45 dias. Para clientes das regiões Norte e Nordeste, prazo médio de até 60 dias.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Pedido mínimo de R$ 3.500,00, tanto na ativação do cliente quanto em cada recompra.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 Tabela Gestor não confere garantia de giro, direito de troca ou reposição de mercadoria.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Arial" w:cs="Arial" w:eastAsia="Arial" w:hAnsi="Arial"/>
          <w:sz w:val="20"/>
          <w:szCs w:val="20"/>
        </w:rPr>
        <w:t xml:space="preserve">A Tabela Gestor não confere prioridade logística nem acesso a ações promocionais exclusivas.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Arial" w:cs="Arial" w:eastAsia="Arial" w:hAnsi="Arial"/>
          <w:sz w:val="20"/>
          <w:szCs w:val="20"/>
        </w:rPr>
        <w:t xml:space="preserve">Clientes classificados como Key Account não participam da campanha e não podem receber a Tabela Gestor.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Condições de pagamento pré-aprovadas:</w:t>
      </w:r>
    </w:p>
    <w:p>
      <w:pPr>
        <w:spacing w:after="120" w:line="276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Somente as condições listadas abaixo são admitidas na Tabela Gestor. Qualquer condição fora desta relação não pode ser praticada com a Tabela Gestor, ainda que o prazo médio coincida.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Prazo médio de 45 dias — todas as regiões</w:t>
      </w:r>
    </w:p>
    <w:tbl>
      <w:tblPr>
        <w:tblW w:type="dxa" w:w="9638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2400"/>
        <w:gridCol w:w="2400"/>
        <w:gridCol w:w="2400"/>
        <w:gridCol w:w="2438"/>
      </w:tblGrid>
      <w:tr>
        <w:trPr>
          <w:tblHeader/>
        </w:trPr>
        <w:tc>
          <w:tcPr>
            <w:tcW w:type="dxa" w:w="2400"/>
            <w:shd w:fill="1F4E3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Condição</w:t>
            </w:r>
          </w:p>
        </w:tc>
        <w:tc>
          <w:tcPr>
            <w:tcW w:type="dxa" w:w="2400"/>
            <w:shd w:fill="1F4E3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Parcelas</w:t>
            </w:r>
          </w:p>
        </w:tc>
        <w:tc>
          <w:tcPr>
            <w:tcW w:type="dxa" w:w="2400"/>
            <w:shd w:fill="1F4E3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Prazo médio</w:t>
            </w:r>
          </w:p>
        </w:tc>
        <w:tc>
          <w:tcPr>
            <w:tcW w:type="dxa" w:w="2438"/>
            <w:shd w:fill="1F4E3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Último vencimento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45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45 dias</w:t>
            </w:r>
          </w:p>
        </w:tc>
        <w:tc>
          <w:tcPr>
            <w:tcW w:type="dxa" w:w="24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45 dias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30/60</w:t>
            </w:r>
          </w:p>
        </w:tc>
        <w:tc>
          <w:tcPr>
            <w:tcW w:type="dxa" w:w="24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45 dias</w:t>
            </w:r>
          </w:p>
        </w:tc>
        <w:tc>
          <w:tcPr>
            <w:tcW w:type="dxa" w:w="2438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60 dias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15/45/75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45 dias</w:t>
            </w:r>
          </w:p>
        </w:tc>
        <w:tc>
          <w:tcPr>
            <w:tcW w:type="dxa" w:w="24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75 dias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30/45/60</w:t>
            </w:r>
          </w:p>
        </w:tc>
        <w:tc>
          <w:tcPr>
            <w:tcW w:type="dxa" w:w="24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45 dias</w:t>
            </w:r>
          </w:p>
        </w:tc>
        <w:tc>
          <w:tcPr>
            <w:tcW w:type="dxa" w:w="2438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60 dias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0/30/60/90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45 dias</w:t>
            </w:r>
          </w:p>
        </w:tc>
        <w:tc>
          <w:tcPr>
            <w:tcW w:type="dxa" w:w="24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90 dias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15/30/45/60/75</w:t>
            </w:r>
          </w:p>
        </w:tc>
        <w:tc>
          <w:tcPr>
            <w:tcW w:type="dxa" w:w="24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45 dias</w:t>
            </w:r>
          </w:p>
        </w:tc>
        <w:tc>
          <w:tcPr>
            <w:tcW w:type="dxa" w:w="2438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75 dias</w:t>
            </w:r>
          </w:p>
        </w:tc>
      </w:tr>
    </w:tbl>
    <w:p>
      <w:pPr>
        <w:spacing w:after="80" w:line="276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Prazo médio de 60 dias — exclusivo para Norte e Nordeste</w:t>
      </w:r>
    </w:p>
    <w:tbl>
      <w:tblPr>
        <w:tblW w:type="dxa" w:w="9638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2400"/>
        <w:gridCol w:w="2400"/>
        <w:gridCol w:w="2400"/>
        <w:gridCol w:w="2438"/>
      </w:tblGrid>
      <w:tr>
        <w:trPr>
          <w:tblHeader/>
        </w:trPr>
        <w:tc>
          <w:tcPr>
            <w:tcW w:type="dxa" w:w="2400"/>
            <w:shd w:fill="1F4E3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Condição</w:t>
            </w:r>
          </w:p>
        </w:tc>
        <w:tc>
          <w:tcPr>
            <w:tcW w:type="dxa" w:w="2400"/>
            <w:shd w:fill="1F4E3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Parcelas</w:t>
            </w:r>
          </w:p>
        </w:tc>
        <w:tc>
          <w:tcPr>
            <w:tcW w:type="dxa" w:w="2400"/>
            <w:shd w:fill="1F4E3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Prazo médio</w:t>
            </w:r>
          </w:p>
        </w:tc>
        <w:tc>
          <w:tcPr>
            <w:tcW w:type="dxa" w:w="2438"/>
            <w:shd w:fill="1F4E3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Último vencimento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60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60 dias</w:t>
            </w:r>
          </w:p>
        </w:tc>
        <w:tc>
          <w:tcPr>
            <w:tcW w:type="dxa" w:w="24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60 dias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30/90</w:t>
            </w:r>
          </w:p>
        </w:tc>
        <w:tc>
          <w:tcPr>
            <w:tcW w:type="dxa" w:w="24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60 dias</w:t>
            </w:r>
          </w:p>
        </w:tc>
        <w:tc>
          <w:tcPr>
            <w:tcW w:type="dxa" w:w="2438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90 dias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45/75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60 dias</w:t>
            </w:r>
          </w:p>
        </w:tc>
        <w:tc>
          <w:tcPr>
            <w:tcW w:type="dxa" w:w="24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75 dias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30/60/90</w:t>
            </w:r>
          </w:p>
        </w:tc>
        <w:tc>
          <w:tcPr>
            <w:tcW w:type="dxa" w:w="24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60 dias</w:t>
            </w:r>
          </w:p>
        </w:tc>
        <w:tc>
          <w:tcPr>
            <w:tcW w:type="dxa" w:w="2438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90 dias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0/60/120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60 dias</w:t>
            </w:r>
          </w:p>
        </w:tc>
        <w:tc>
          <w:tcPr>
            <w:tcW w:type="dxa" w:w="24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120 dias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15/45/75/105</w:t>
            </w:r>
          </w:p>
        </w:tc>
        <w:tc>
          <w:tcPr>
            <w:tcW w:type="dxa" w:w="24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60 dias</w:t>
            </w:r>
          </w:p>
        </w:tc>
        <w:tc>
          <w:tcPr>
            <w:tcW w:type="dxa" w:w="2438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105 dias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30/45/60/75/90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60 dias</w:t>
            </w:r>
          </w:p>
        </w:tc>
        <w:tc>
          <w:tcPr>
            <w:tcW w:type="dxa" w:w="24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90 dias</w:t>
            </w:r>
          </w:p>
        </w:tc>
      </w:tr>
    </w:tbl>
    <w:p>
      <w:pPr>
        <w:spacing w:after="80" w:line="276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Regiões Norte e Nordeste, para efeito desta política: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Arial" w:cs="Arial" w:eastAsia="Arial" w:hAnsi="Arial"/>
          <w:sz w:val="20"/>
          <w:szCs w:val="20"/>
        </w:rPr>
        <w:t xml:space="preserve">Norte — AC, AP, AM, PA, RO, RR, TO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Arial" w:cs="Arial" w:eastAsia="Arial" w:hAnsi="Arial"/>
          <w:sz w:val="20"/>
          <w:szCs w:val="20"/>
        </w:rPr>
        <w:t xml:space="preserve">Nordeste — AL, BA, CE, MA, PB, PE, PI, RN, SE</w:t>
      </w:r>
    </w:p>
    <w:p>
      <w:pPr>
        <w:spacing w:after="120" w:line="276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A região considerada é a do endereço de entrega do cliente. Cliente fora dessas regiões opera exclusivamente com as condições de prazo médio de 45 dias.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Venda à vista, antecipada ou por PIX é admitida em qualquer região.</w:t>
      </w:r>
    </w:p>
    <w:p>
      <w:pPr>
        <w:spacing w:after="120" w:line="276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A Tabela Gestor é vinculada à campanha e ao desempenho do representante. Ela não substitui nem se equipara ao contrato Clube Nitron, que permanece sendo a condição comercial de maior valor da Nitron.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Comparativo entre a tabela padrão, a Tabela Gestor e o contrato Clube Nitron:</w:t>
      </w:r>
    </w:p>
    <w:tbl>
      <w:tblPr>
        <w:tblW w:type="dxa" w:w="9638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2700"/>
        <w:gridCol w:w="2312"/>
        <w:gridCol w:w="2313"/>
        <w:gridCol w:w="2313"/>
      </w:tblGrid>
      <w:tr>
        <w:trPr>
          <w:tblHeader/>
        </w:trPr>
        <w:tc>
          <w:tcPr>
            <w:tcW w:type="dxa" w:w="2700"/>
            <w:shd w:fill="1F4E3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312"/>
            <w:shd w:fill="1F4E3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Tabela Padrão</w:t>
            </w:r>
          </w:p>
        </w:tc>
        <w:tc>
          <w:tcPr>
            <w:tcW w:type="dxa" w:w="2313"/>
            <w:shd w:fill="1F4E3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Tabela Gestor</w:t>
            </w:r>
          </w:p>
        </w:tc>
        <w:tc>
          <w:tcPr>
            <w:tcW w:type="dxa" w:w="2313"/>
            <w:shd w:fill="1F4E3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Clube Nitron</w:t>
            </w:r>
          </w:p>
        </w:tc>
      </w:tr>
      <w:tr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Tabela de preço</w:t>
            </w:r>
          </w:p>
        </w:tc>
        <w:tc>
          <w:tcPr>
            <w:tcW w:type="dxa" w:w="231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Padrão</w:t>
            </w:r>
          </w:p>
        </w:tc>
        <w:tc>
          <w:tcPr>
            <w:tcW w:type="dxa" w:w="231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Tabela Gestor</w:t>
            </w:r>
          </w:p>
        </w:tc>
        <w:tc>
          <w:tcPr>
            <w:tcW w:type="dxa" w:w="231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Tabela Clube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Pedido mínimo</w:t>
            </w:r>
          </w:p>
        </w:tc>
        <w:tc>
          <w:tcPr>
            <w:tcW w:type="dxa" w:w="2312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R$ 2.500</w:t>
            </w:r>
          </w:p>
        </w:tc>
        <w:tc>
          <w:tcPr>
            <w:tcW w:type="dxa" w:w="2313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R$ 3.500</w:t>
            </w:r>
          </w:p>
        </w:tc>
        <w:tc>
          <w:tcPr>
            <w:tcW w:type="dxa" w:w="2313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R$ 2.500</w:t>
            </w:r>
          </w:p>
        </w:tc>
      </w:tr>
      <w:tr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Desconto</w:t>
            </w:r>
          </w:p>
        </w:tc>
        <w:tc>
          <w:tcPr>
            <w:tcW w:type="dxa" w:w="231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política comercial</w:t>
            </w:r>
          </w:p>
        </w:tc>
        <w:tc>
          <w:tcPr>
            <w:tcW w:type="dxa" w:w="231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fixa, já contempla o desconto</w:t>
            </w:r>
          </w:p>
        </w:tc>
        <w:tc>
          <w:tcPr>
            <w:tcW w:type="dxa" w:w="231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já contempla o desconto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Prazo de pagamento</w:t>
            </w:r>
          </w:p>
        </w:tc>
        <w:tc>
          <w:tcPr>
            <w:tcW w:type="dxa" w:w="2312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política comercial</w:t>
            </w:r>
          </w:p>
        </w:tc>
        <w:tc>
          <w:tcPr>
            <w:tcW w:type="dxa" w:w="2313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prazo médio de 45 dias (60 no N/NE)</w:t>
            </w:r>
          </w:p>
        </w:tc>
        <w:tc>
          <w:tcPr>
            <w:tcW w:type="dxa" w:w="2313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até 12 parcelas</w:t>
            </w:r>
          </w:p>
        </w:tc>
      </w:tr>
      <w:tr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Garantia de giro e troca</w:t>
            </w:r>
          </w:p>
        </w:tc>
        <w:tc>
          <w:tcPr>
            <w:tcW w:type="dxa" w:w="231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não</w:t>
            </w:r>
          </w:p>
        </w:tc>
        <w:tc>
          <w:tcPr>
            <w:tcW w:type="dxa" w:w="231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não</w:t>
            </w:r>
          </w:p>
        </w:tc>
        <w:tc>
          <w:tcPr>
            <w:tcW w:type="dxa" w:w="231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Prioridade logística</w:t>
            </w:r>
          </w:p>
        </w:tc>
        <w:tc>
          <w:tcPr>
            <w:tcW w:type="dxa" w:w="2312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não</w:t>
            </w:r>
          </w:p>
        </w:tc>
        <w:tc>
          <w:tcPr>
            <w:tcW w:type="dxa" w:w="2313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não</w:t>
            </w:r>
          </w:p>
        </w:tc>
        <w:tc>
          <w:tcPr>
            <w:tcW w:type="dxa" w:w="2313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Ações promocionais exclusivas</w:t>
            </w:r>
          </w:p>
        </w:tc>
        <w:tc>
          <w:tcPr>
            <w:tcW w:type="dxa" w:w="231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não</w:t>
            </w:r>
          </w:p>
        </w:tc>
        <w:tc>
          <w:tcPr>
            <w:tcW w:type="dxa" w:w="231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não</w:t>
            </w:r>
          </w:p>
        </w:tc>
        <w:tc>
          <w:tcPr>
            <w:tcW w:type="dxa" w:w="231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Permanência da condição</w:t>
            </w:r>
          </w:p>
        </w:tc>
        <w:tc>
          <w:tcPr>
            <w:tcW w:type="dxa" w:w="2312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política comercial</w:t>
            </w:r>
          </w:p>
        </w:tc>
        <w:tc>
          <w:tcPr>
            <w:tcW w:type="dxa" w:w="2313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até 4 ciclos, condicionada</w:t>
            </w:r>
          </w:p>
        </w:tc>
        <w:tc>
          <w:tcPr>
            <w:tcW w:type="dxa" w:w="2313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contratual e blindada</w:t>
            </w:r>
          </w:p>
        </w:tc>
      </w:tr>
      <w:tr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Comissão do representante</w:t>
            </w:r>
          </w:p>
        </w:tc>
        <w:tc>
          <w:tcPr>
            <w:tcW w:type="dxa" w:w="231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política comercial</w:t>
            </w:r>
          </w:p>
        </w:tc>
        <w:tc>
          <w:tcPr>
            <w:tcW w:type="dxa" w:w="231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política comercial vigente</w:t>
            </w:r>
          </w:p>
        </w:tc>
        <w:tc>
          <w:tcPr>
            <w:tcW w:type="dxa" w:w="231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9% sobre a tabela Varejo (contratos novos)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 Tabela Gestor e a Tabela Clube não admitem desconto adicional. </w:t>
      </w:r>
      <w:r>
        <w:rPr>
          <w:rFonts w:ascii="Arial" w:cs="Arial" w:eastAsia="Arial" w:hAnsi="Arial"/>
          <w:sz w:val="20"/>
          <w:szCs w:val="20"/>
        </w:rPr>
        <w:t xml:space="preserve">O desconto já está embutido no preço de ambas, e o preço resultante é melhor que o da tabela padrão praticada com os descontos máximos da política comercial. Solicitação de desconto sobre a Tabela Gestor ou sobre a Tabela Clube é indeferida.</w:t>
      </w:r>
    </w:p>
    <w:p>
      <w:pPr>
        <w:pBdr>
          <w:bottom w:val="single" w:color="1F4E3D" w:sz="6" w:space="4"/>
        </w:pBdr>
        <w:spacing w:after="160" w:before="280"/>
      </w:pPr>
      <w:r>
        <w:rPr>
          <w:rFonts w:ascii="Arial" w:cs="Arial" w:eastAsia="Arial" w:hAnsi="Arial"/>
          <w:b/>
          <w:bCs/>
          <w:color w:val="1F4E3D"/>
          <w:sz w:val="24"/>
          <w:szCs w:val="24"/>
        </w:rPr>
        <w:t xml:space="preserve">3. Ciclos e réguas de positivação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 campanha opera em ciclos quadrimestrais, de quatro meses cada. Ao final de cada ciclo, o representante mantém a Tabela Gestor ao atingir, simultaneamente, as duas condições abaixo.</w:t>
      </w:r>
    </w:p>
    <w:tbl>
      <w:tblPr>
        <w:tblW w:type="dxa" w:w="9638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1000"/>
        <w:gridCol w:w="3500"/>
        <w:gridCol w:w="5138"/>
      </w:tblGrid>
      <w:tr>
        <w:trPr>
          <w:tblHeader/>
        </w:trPr>
        <w:tc>
          <w:tcPr>
            <w:tcW w:type="dxa" w:w="1000"/>
            <w:shd w:fill="1F4E3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3500"/>
            <w:shd w:fill="1F4E3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Condição</w:t>
            </w:r>
          </w:p>
        </w:tc>
        <w:tc>
          <w:tcPr>
            <w:tcW w:type="dxa" w:w="5138"/>
            <w:shd w:fill="1F4E3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Definição de apuração</w:t>
            </w:r>
          </w:p>
        </w:tc>
      </w:tr>
      <w:tr>
        <w:tc>
          <w:tcPr>
            <w:tcW w:type="dxa" w:w="1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3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Positivar 50% da carteira</w:t>
            </w:r>
          </w:p>
        </w:tc>
        <w:tc>
          <w:tcPr>
            <w:tcW w:type="dxa" w:w="51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Percentual da carteira congelada com pedido faturado no ciclo</w:t>
            </w:r>
          </w:p>
        </w:tc>
      </w:tr>
      <w:tr>
        <w:tc>
          <w:tcPr>
            <w:tcW w:type="dxa" w:w="10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35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Atingir 90% da meta</w:t>
            </w:r>
          </w:p>
        </w:tc>
        <w:tc>
          <w:tcPr>
            <w:tcW w:type="dxa" w:w="5138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Faturamento líquido do ciclo sobre a meta do período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As condições são cumulativas. </w:t>
      </w:r>
      <w:r>
        <w:rPr>
          <w:rFonts w:ascii="Arial" w:cs="Arial" w:eastAsia="Arial" w:hAnsi="Arial"/>
          <w:sz w:val="20"/>
          <w:szCs w:val="20"/>
        </w:rPr>
        <w:t xml:space="preserve">Atingir apenas uma delas não mantém o benefício.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Positivar significa ter, no período do ciclo, ao menos um pedido faturado de valor igual ou superior a R$ 3.500,00. </w:t>
      </w:r>
      <w:r>
        <w:rPr>
          <w:rFonts w:ascii="Arial" w:cs="Arial" w:eastAsia="Arial" w:hAnsi="Arial"/>
          <w:sz w:val="20"/>
          <w:szCs w:val="20"/>
        </w:rPr>
        <w:t xml:space="preserve">A positivação considera qualquer pedido faturado que atenda ao valor mínimo, independentemente da tabela de preço utilizada. A Tabela Gestor é o benefício da campanha, não uma condição para a apuração.</w:t>
      </w:r>
    </w:p>
    <w:tbl>
      <w:tblPr>
        <w:tblW w:type="dxa" w:w="9638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2400"/>
        <w:gridCol w:w="3100"/>
        <w:gridCol w:w="2069"/>
        <w:gridCol w:w="2069"/>
      </w:tblGrid>
      <w:tr>
        <w:trPr>
          <w:tblHeader/>
        </w:trPr>
        <w:tc>
          <w:tcPr>
            <w:tcW w:type="dxa" w:w="2400"/>
            <w:shd w:fill="1F4E3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Ciclo</w:t>
            </w:r>
          </w:p>
        </w:tc>
        <w:tc>
          <w:tcPr>
            <w:tcW w:type="dxa" w:w="3100"/>
            <w:shd w:fill="1F4E3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Período</w:t>
            </w:r>
          </w:p>
        </w:tc>
        <w:tc>
          <w:tcPr>
            <w:tcW w:type="dxa" w:w="2069"/>
            <w:shd w:fill="1F4E3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Positivação</w:t>
            </w:r>
          </w:p>
        </w:tc>
        <w:tc>
          <w:tcPr>
            <w:tcW w:type="dxa" w:w="2069"/>
            <w:shd w:fill="1F4E3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Meta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Ciclo 1</w:t>
            </w:r>
          </w:p>
        </w:tc>
        <w:tc>
          <w:tcPr>
            <w:tcW w:type="dxa" w:w="3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01/09 a 31/12/2026</w:t>
            </w:r>
          </w:p>
        </w:tc>
        <w:tc>
          <w:tcPr>
            <w:tcW w:type="dxa" w:w="206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50%</w:t>
            </w:r>
          </w:p>
        </w:tc>
        <w:tc>
          <w:tcPr>
            <w:tcW w:type="dxa" w:w="206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90%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Ciclo 2</w:t>
            </w:r>
          </w:p>
        </w:tc>
        <w:tc>
          <w:tcPr>
            <w:tcW w:type="dxa" w:w="31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01/01 a 30/04/2027</w:t>
            </w:r>
          </w:p>
        </w:tc>
        <w:tc>
          <w:tcPr>
            <w:tcW w:type="dxa" w:w="2069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 definir</w:t>
            </w:r>
          </w:p>
        </w:tc>
        <w:tc>
          <w:tcPr>
            <w:tcW w:type="dxa" w:w="2069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 definir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Ciclo 3</w:t>
            </w:r>
          </w:p>
        </w:tc>
        <w:tc>
          <w:tcPr>
            <w:tcW w:type="dxa" w:w="3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01/05 a 31/08/2027</w:t>
            </w:r>
          </w:p>
        </w:tc>
        <w:tc>
          <w:tcPr>
            <w:tcW w:type="dxa" w:w="206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 definir</w:t>
            </w:r>
          </w:p>
        </w:tc>
        <w:tc>
          <w:tcPr>
            <w:tcW w:type="dxa" w:w="206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 definir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Ciclo 4</w:t>
            </w:r>
          </w:p>
        </w:tc>
        <w:tc>
          <w:tcPr>
            <w:tcW w:type="dxa" w:w="31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01/09 a 31/12/2027</w:t>
            </w:r>
          </w:p>
        </w:tc>
        <w:tc>
          <w:tcPr>
            <w:tcW w:type="dxa" w:w="2069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 definir</w:t>
            </w:r>
          </w:p>
        </w:tc>
        <w:tc>
          <w:tcPr>
            <w:tcW w:type="dxa" w:w="2069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 definir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Somente o Ciclo 1 está confirmado. Ver item 4.</w:t>
      </w:r>
    </w:p>
    <w:p>
      <w:pPr>
        <w:pBdr>
          <w:bottom w:val="single" w:color="1F4E3D" w:sz="6" w:space="4"/>
        </w:pBdr>
        <w:spacing w:after="160" w:before="280"/>
      </w:pPr>
      <w:r>
        <w:rPr>
          <w:rFonts w:ascii="Arial" w:cs="Arial" w:eastAsia="Arial" w:hAnsi="Arial"/>
          <w:b/>
          <w:bCs/>
          <w:color w:val="1F4E3D"/>
          <w:sz w:val="24"/>
          <w:szCs w:val="24"/>
        </w:rPr>
        <w:t xml:space="preserve">4. Vigência de 2027 condicionada ao resultado do Ciclo 1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 continuidade da campanha em 2027 está condicionada à avaliação do resultado do Ciclo 1, apurado de setembro a dezembro de 2026.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Concluída a apuração do Ciclo 1, a Diretoria Comercial avaliará o desempenho da força de vendas nas duas condições e definirá: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Arial" w:cs="Arial" w:eastAsia="Arial" w:hAnsi="Arial"/>
          <w:sz w:val="20"/>
          <w:szCs w:val="20"/>
        </w:rPr>
        <w:t xml:space="preserve">A continuidade ou o encerramento da campanha em 2027.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Arial" w:cs="Arial" w:eastAsia="Arial" w:hAnsi="Arial"/>
          <w:sz w:val="20"/>
          <w:szCs w:val="20"/>
        </w:rPr>
        <w:t xml:space="preserve">Os percentuais de positivação e de atingimento de meta que valerão nos ciclos de 2027.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Arial" w:cs="Arial" w:eastAsia="Arial" w:hAnsi="Arial"/>
          <w:sz w:val="20"/>
          <w:szCs w:val="20"/>
        </w:rPr>
        <w:t xml:space="preserve">Eventuais ajustes de pedido mínimo, prazo de pagamento e demais condições da Tabela Gestor.</w:t>
      </w:r>
    </w:p>
    <w:tbl>
      <w:tblPr>
        <w:tblW w:type="dxa" w:w="9638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2400"/>
        <w:gridCol w:w="3100"/>
        <w:gridCol w:w="4138"/>
      </w:tblGrid>
      <w:tr>
        <w:trPr>
          <w:tblHeader/>
        </w:trPr>
        <w:tc>
          <w:tcPr>
            <w:tcW w:type="dxa" w:w="2400"/>
            <w:shd w:fill="1F4E3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dxa" w:w="3100"/>
            <w:shd w:fill="1F4E3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Etapa</w:t>
            </w:r>
          </w:p>
        </w:tc>
        <w:tc>
          <w:tcPr>
            <w:tcW w:type="dxa" w:w="4138"/>
            <w:shd w:fill="1F4E3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Efeito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até 15/01/2027</w:t>
            </w:r>
          </w:p>
        </w:tc>
        <w:tc>
          <w:tcPr>
            <w:tcW w:type="dxa" w:w="3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Apuração oficial do Ciclo 1</w:t>
            </w:r>
          </w:p>
        </w:tc>
        <w:tc>
          <w:tcPr>
            <w:tcW w:type="dxa" w:w="41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Divulgação do resultado individual de cada representante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até 31/01/2027</w:t>
            </w:r>
          </w:p>
        </w:tc>
        <w:tc>
          <w:tcPr>
            <w:tcW w:type="dxa" w:w="31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Decisão sobre 2027</w:t>
            </w:r>
          </w:p>
        </w:tc>
        <w:tc>
          <w:tcPr>
            <w:tcW w:type="dxa" w:w="4138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Comunicação por escrito da continuidade e das novas réguas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Nenhum ciclo de 2027 está confirmado até essa comunicação. </w:t>
      </w:r>
      <w:r>
        <w:rPr>
          <w:rFonts w:ascii="Arial" w:cs="Arial" w:eastAsia="Arial" w:hAnsi="Arial"/>
          <w:sz w:val="20"/>
          <w:szCs w:val="20"/>
        </w:rPr>
        <w:t xml:space="preserve">A Tabela Gestor conquistada ou mantida no Ciclo 1 permanece vigente durante o mês de janeiro de 2027, de modo que não exista interrupção enquanto a decisão é tomada.</w:t>
      </w:r>
    </w:p>
    <w:p>
      <w:pPr>
        <w:spacing w:after="120" w:line="276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Esta cláusula é deliberada. O Ciclo 1 é o primeiro ciclo apurado da campanha e existe para produzir dado real sobre a capacidade da força de vendas nas duas réguas. As condições de 2027 serão calibradas sobre esse dado, e não sobre estimativa.</w:t>
      </w:r>
    </w:p>
    <w:p>
      <w:pPr>
        <w:pBdr>
          <w:bottom w:val="single" w:color="1F4E3D" w:sz="6" w:space="4"/>
        </w:pBdr>
        <w:spacing w:after="160" w:before="280"/>
      </w:pPr>
      <w:r>
        <w:rPr>
          <w:rFonts w:ascii="Arial" w:cs="Arial" w:eastAsia="Arial" w:hAnsi="Arial"/>
          <w:b/>
          <w:bCs/>
          <w:color w:val="1F4E3D"/>
          <w:sz w:val="24"/>
          <w:szCs w:val="24"/>
        </w:rPr>
        <w:t xml:space="preserve">5. Perda e recuperação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O representante que não atingir as duas condições do ciclo perde, no ciclo seguinte: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Arial" w:cs="Arial" w:eastAsia="Arial" w:hAnsi="Arial"/>
          <w:sz w:val="20"/>
          <w:szCs w:val="20"/>
        </w:rPr>
        <w:t xml:space="preserve">O direito de aplicar a Tabela Gestor a qualquer cliente que ainda não a possua.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Arial" w:cs="Arial" w:eastAsia="Arial" w:hAnsi="Arial"/>
          <w:sz w:val="20"/>
          <w:szCs w:val="20"/>
        </w:rPr>
        <w:t xml:space="preserve">Os benefícios de premiação que venham a ser definidos para o ciclo.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 recuperação ocorre atingindo novamente as duas condições. </w:t>
      </w:r>
      <w:r>
        <w:rPr>
          <w:rFonts w:ascii="Arial" w:cs="Arial" w:eastAsia="Arial" w:hAnsi="Arial"/>
          <w:sz w:val="20"/>
          <w:szCs w:val="20"/>
        </w:rPr>
        <w:t xml:space="preserve">Basta atingi-las em qualquer ciclo seguinte para que o direito integral seja restabelecido no ciclo subsequente, de forma automática e sem carência.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Toda alteração de tabela para o cliente é comunicada com 30 dias de antecedência, de modo que nenhum cliente seja surpreendido no ato da compra.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Representante que não atingir as condições apresenta, em até 15 dias da divulgação do resultado, um plano de reativação com a relação dos clientes que pretende recuperar no ciclo seguinte.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Representante cuja positivação fique abaixo da metade da régua é acompanhado por plano individual definido com o gestor comercial, fora da mecânica automática deste regulamento.</w:t>
      </w:r>
    </w:p>
    <w:p>
      <w:pPr>
        <w:pBdr>
          <w:bottom w:val="single" w:color="1F4E3D" w:sz="6" w:space="4"/>
        </w:pBdr>
        <w:spacing w:after="160" w:before="280"/>
      </w:pPr>
      <w:r>
        <w:rPr>
          <w:rFonts w:ascii="Arial" w:cs="Arial" w:eastAsia="Arial" w:hAnsi="Arial"/>
          <w:b/>
          <w:bCs/>
          <w:color w:val="1F4E3D"/>
          <w:sz w:val="24"/>
          <w:szCs w:val="24"/>
        </w:rPr>
        <w:t xml:space="preserve">6. Como a carteira é definida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 carteira é fotografada e congelada em 01/09/2026 para o Ciclo 1 e, caso a campanha seja mantida, em 01/01/2027 para os ciclos de 2027, considerando os clientes faturados nos 12 meses anteriores à data de congelamento.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Arial" w:cs="Arial" w:eastAsia="Arial" w:hAnsi="Arial"/>
          <w:sz w:val="20"/>
          <w:szCs w:val="20"/>
        </w:rPr>
        <w:t xml:space="preserve">Clientes são consolidados por CNPJ raiz. Matriz e filiais contam como um único cliente.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Clientes classificados como Key Account não integram a carteira desta campanha, nem no numerador nem no denominador.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Arial" w:cs="Arial" w:eastAsia="Arial" w:hAnsi="Arial"/>
          <w:sz w:val="20"/>
          <w:szCs w:val="20"/>
        </w:rPr>
        <w:t xml:space="preserve">Não há recongelamento a cada ciclo. Uma foto por ano, medida três vezes.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Arial" w:cs="Arial" w:eastAsia="Arial" w:hAnsi="Arial"/>
          <w:sz w:val="20"/>
          <w:szCs w:val="20"/>
        </w:rPr>
        <w:t xml:space="preserve">Transferência de cliente entre representantes durante o ano não altera a carteira congelada de nenhum dos dois para efeito de apuração.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Cliente reativado (que não integrava a carteira congelada) e cliente novo contam no numerador da positivação, sem aumentar o denominador.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Arial" w:cs="Arial" w:eastAsia="Arial" w:hAnsi="Arial"/>
          <w:sz w:val="20"/>
          <w:szCs w:val="20"/>
        </w:rPr>
        <w:t xml:space="preserve">A carteira congelada, que é o denominador, não muda ao longo do ano.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Baixa de cliente da carteira: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Sai da carteira apenas o cliente que comprovadamente não pode mais comprar. Cliente que deixou de comprar permanece no denominador, pois é ele o objeto do trabalho de reativação.</w:t>
      </w:r>
    </w:p>
    <w:tbl>
      <w:tblPr>
        <w:tblW w:type="dxa" w:w="9638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1F4E3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Sai da carteira</w:t>
            </w:r>
          </w:p>
        </w:tc>
        <w:tc>
          <w:tcPr>
            <w:tcW w:type="dxa" w:w="4819"/>
            <w:shd w:fill="1F4E3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Permanece na carteira</w:t>
            </w:r>
          </w:p>
        </w:tc>
      </w:tr>
      <w:tr>
        <w:tc>
          <w:tcPr>
            <w:tcW w:type="dxa" w:w="481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CNPJ baixado ou inapto na Receita Federal</w:t>
            </w:r>
          </w:p>
        </w:tc>
        <w:tc>
          <w:tcPr>
            <w:tcW w:type="dxa" w:w="481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Cliente que apenas parou de comprar</w:t>
            </w:r>
          </w:p>
        </w:tc>
      </w:tr>
      <w:tr>
        <w:tc>
          <w:tcPr>
            <w:tcW w:type="dxa" w:w="4819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Encerramento de atividade comunicado pelo cliente</w:t>
            </w:r>
          </w:p>
        </w:tc>
        <w:tc>
          <w:tcPr>
            <w:tcW w:type="dxa" w:w="4819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Cliente inadimplente</w:t>
            </w:r>
          </w:p>
        </w:tc>
      </w:tr>
      <w:tr>
        <w:tc>
          <w:tcPr>
            <w:tcW w:type="dxa" w:w="481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Crédito bloqueado em definitivo pelo financeiro</w:t>
            </w:r>
          </w:p>
        </w:tc>
        <w:tc>
          <w:tcPr>
            <w:tcW w:type="dxa" w:w="481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Cliente de difícil acesso ou negociação</w:t>
            </w:r>
          </w:p>
        </w:tc>
      </w:tr>
      <w:tr>
        <w:tc>
          <w:tcPr>
            <w:tcW w:type="dxa" w:w="4819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Falência ou recuperação judicial com bloqueio</w:t>
            </w:r>
          </w:p>
        </w:tc>
        <w:tc>
          <w:tcPr>
            <w:tcW w:type="dxa" w:w="4819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Cliente que passou a comprar de concorrente</w:t>
            </w:r>
          </w:p>
        </w:tc>
      </w:tr>
    </w:tbl>
    <w:p>
      <w:pPr>
        <w:spacing w:after="80" w:line="276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 baixa observa duas janelas: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Revisão de carteira — o representante recebe a foto da sua carteira na data do congelamento e tem 30 dias corridos para contestar, mediante documento. Encerrado o prazo, a carteira está fechada para o ano.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Baixa comprovada — admitida a qualquer momento, exclusivamente nas hipóteses do quadro acima e com documentação. A exclusão passa a valer no ciclo seguinte, nunca no ciclo em apuração.</w:t>
      </w:r>
    </w:p>
    <w:p>
      <w:pPr>
        <w:spacing w:after="120" w:line="276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Cliente já registrado como inativo ou bloqueado no cadastro na data do congelamento não integra a carteira.</w:t>
      </w:r>
    </w:p>
    <w:p>
      <w:pPr>
        <w:pBdr>
          <w:bottom w:val="single" w:color="1F4E3D" w:sz="6" w:space="4"/>
        </w:pBdr>
        <w:spacing w:after="160" w:before="280"/>
      </w:pPr>
      <w:r>
        <w:rPr>
          <w:rFonts w:ascii="Arial" w:cs="Arial" w:eastAsia="Arial" w:hAnsi="Arial"/>
          <w:b/>
          <w:bCs/>
          <w:color w:val="1F4E3D"/>
          <w:sz w:val="24"/>
          <w:szCs w:val="24"/>
        </w:rPr>
        <w:t xml:space="preserve">7. O que conta e o que não conta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Conta como positivação: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Arial" w:cs="Arial" w:eastAsia="Arial" w:hAnsi="Arial"/>
          <w:sz w:val="20"/>
          <w:szCs w:val="20"/>
        </w:rPr>
        <w:t xml:space="preserve">Pedido efetivamente faturado, de valor igual ou superior a R$ 3.500,00, dentro do período do ciclo.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Arial" w:cs="Arial" w:eastAsia="Arial" w:hAnsi="Arial"/>
          <w:sz w:val="20"/>
          <w:szCs w:val="20"/>
        </w:rPr>
        <w:t xml:space="preserve">Pedidos do mesmo cliente emitidos dentro de uma janela de 7 dias são consolidados em um único valor antes da aplicação do valor mínimo. Um pedido único entregue em mais de uma nota fiscal permanece sendo um só pedido.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Não conta como positivação: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Arial" w:cs="Arial" w:eastAsia="Arial" w:hAnsi="Arial"/>
          <w:sz w:val="20"/>
          <w:szCs w:val="20"/>
        </w:rPr>
        <w:t xml:space="preserve">Pedido cancelado ou não faturado.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Arial" w:cs="Arial" w:eastAsia="Arial" w:hAnsi="Arial"/>
          <w:sz w:val="20"/>
          <w:szCs w:val="20"/>
        </w:rPr>
        <w:t xml:space="preserve">Bonificação, troca, reposição de garantia e reposição de giro.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Arial" w:cs="Arial" w:eastAsia="Arial" w:hAnsi="Arial"/>
          <w:sz w:val="20"/>
          <w:szCs w:val="20"/>
        </w:rPr>
        <w:t xml:space="preserve">Amostra, brinde, remessa e qualquer operação sem natureza de venda.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Devolução ocorrida em ciclo posterior, referente a pedido que serviu para atingir a régua, abate a positivação retroativamente e pode alterar o resultado já apurado.</w:t>
      </w:r>
    </w:p>
    <w:p>
      <w:pPr>
        <w:pBdr>
          <w:bottom w:val="single" w:color="1F4E3D" w:sz="6" w:space="4"/>
        </w:pBdr>
        <w:spacing w:after="160" w:before="280"/>
      </w:pPr>
      <w:r>
        <w:rPr>
          <w:rFonts w:ascii="Arial" w:cs="Arial" w:eastAsia="Arial" w:hAnsi="Arial"/>
          <w:b/>
          <w:bCs/>
          <w:color w:val="1F4E3D"/>
          <w:sz w:val="24"/>
          <w:szCs w:val="24"/>
        </w:rPr>
        <w:t xml:space="preserve">8. Direito do cliente e conversão para o Clube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O cliente que comprou dentro do ciclo apurado mantém a Tabela Gestor no ciclo seguinte, ainda que o seu representante tenha perdido o direito de conceder a tabela. O direito se renova a cada nova compra que atenda ao pedido mínimo.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 Tabela Gestor vigora para cada cliente por até 4 ciclos consecutivos, contados da sua primeira compra na condição. </w:t>
      </w:r>
      <w:r>
        <w:rPr>
          <w:rFonts w:ascii="Arial" w:cs="Arial" w:eastAsia="Arial" w:hAnsi="Arial"/>
          <w:sz w:val="20"/>
          <w:szCs w:val="20"/>
        </w:rPr>
        <w:t xml:space="preserve">A partir do 5º ciclo, o cliente mantém a condição se tiver cumprido uma das duas alternativas: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Assinado contrato Clube Nitron, passando a ter a condição de forma permanente e blindada; ou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Comprado nos 3 ciclos do ano anterior, demonstrando o comportamento de recompra que a condição pressupõe.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O cliente que não cumprir nenhuma das duas alternativas retorna às condições comerciais padrão, com comunicação prévia de 30 dias.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Comissão sobre conversão para o Clube: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 representante passa a receber comissão de 9% sobre a tabela Varejo nos contratos Clube Nitron novos que ele converter. </w:t>
      </w:r>
      <w:r>
        <w:rPr>
          <w:rFonts w:ascii="Arial" w:cs="Arial" w:eastAsia="Arial" w:hAnsi="Arial"/>
          <w:sz w:val="20"/>
          <w:szCs w:val="20"/>
        </w:rPr>
        <w:t xml:space="preserve">A condição vale exclusivamente para contratos assinados a partir do início desta campanha e enquanto o contrato estiver vigente. Contratos Clube já existentes seguem a política comercial vigente.</w:t>
      </w:r>
    </w:p>
    <w:tbl>
      <w:tblPr>
        <w:tblW w:type="dxa" w:w="9638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3200"/>
        <w:gridCol w:w="3219"/>
        <w:gridCol w:w="3219"/>
      </w:tblGrid>
      <w:tr>
        <w:trPr>
          <w:tblHeader/>
        </w:trPr>
        <w:tc>
          <w:tcPr>
            <w:tcW w:type="dxa" w:w="3200"/>
            <w:shd w:fill="1F4E3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3219"/>
            <w:shd w:fill="1F4E3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Tabela Gestor</w:t>
            </w:r>
          </w:p>
        </w:tc>
        <w:tc>
          <w:tcPr>
            <w:tcW w:type="dxa" w:w="3219"/>
            <w:shd w:fill="1F4E3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Clube Nitron (novos)</w:t>
            </w:r>
          </w:p>
        </w:tc>
      </w:tr>
      <w:tr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Comissão</w:t>
            </w:r>
          </w:p>
        </w:tc>
        <w:tc>
          <w:tcPr>
            <w:tcW w:type="dxa" w:w="321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política comercial vigente</w:t>
            </w:r>
          </w:p>
        </w:tc>
        <w:tc>
          <w:tcPr>
            <w:tcW w:type="dxa" w:w="321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9% sobre a tabela Varejo</w:t>
            </w:r>
          </w:p>
        </w:tc>
      </w:tr>
    </w:tbl>
    <w:p>
      <w:pPr>
        <w:pBdr>
          <w:bottom w:val="single" w:color="1F4E3D" w:sz="6" w:space="4"/>
        </w:pBdr>
        <w:spacing w:after="160" w:before="280"/>
      </w:pPr>
      <w:r>
        <w:rPr>
          <w:rFonts w:ascii="Arial" w:cs="Arial" w:eastAsia="Arial" w:hAnsi="Arial"/>
          <w:b/>
          <w:bCs/>
          <w:color w:val="1F4E3D"/>
          <w:sz w:val="24"/>
          <w:szCs w:val="24"/>
        </w:rPr>
        <w:t xml:space="preserve">9. Blindagem do Clube Nitron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O cliente com contrato Clube Nitron vigente não é afetado por esta campanha em nenhuma hipótese. Mantém tabela, benefícios, garantia de giro, condições de pagamento, prazo contratado e prioridade logística, independentemente do desempenho de qualquer representante.</w:t>
      </w:r>
    </w:p>
    <w:p>
      <w:pPr>
        <w:spacing w:after="120" w:line="276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O cliente Clube é patrimônio da Nitron.</w:t>
      </w:r>
    </w:p>
    <w:p>
      <w:pPr>
        <w:pBdr>
          <w:bottom w:val="single" w:color="1F4E3D" w:sz="6" w:space="4"/>
        </w:pBdr>
        <w:spacing w:after="160" w:before="280"/>
      </w:pPr>
      <w:r>
        <w:rPr>
          <w:rFonts w:ascii="Arial" w:cs="Arial" w:eastAsia="Arial" w:hAnsi="Arial"/>
          <w:b/>
          <w:bCs/>
          <w:color w:val="1F4E3D"/>
          <w:sz w:val="24"/>
          <w:szCs w:val="24"/>
        </w:rPr>
        <w:t xml:space="preserve">10. Apuração e acompanhamento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 apuração é automática, extraída do sistema Sankhya, sem cálculo manual e sem interferência das áreas comerciais.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Arial" w:cs="Arial" w:eastAsia="Arial" w:hAnsi="Arial"/>
          <w:sz w:val="20"/>
          <w:szCs w:val="20"/>
        </w:rPr>
        <w:t xml:space="preserve">Painel mensal com o percentual de positivação de cada representante, para que ninguém seja surpreendido no fechamento.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Arial" w:cs="Arial" w:eastAsia="Arial" w:hAnsi="Arial"/>
          <w:sz w:val="20"/>
          <w:szCs w:val="20"/>
        </w:rPr>
        <w:t xml:space="preserve">Painel mensal com o número de contratos Clube assinados por representante.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Arial" w:cs="Arial" w:eastAsia="Arial" w:hAnsi="Arial"/>
          <w:sz w:val="20"/>
          <w:szCs w:val="20"/>
        </w:rPr>
        <w:t xml:space="preserve">Apuração oficial até o 15º dia após o encerramento do ciclo.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Arial" w:cs="Arial" w:eastAsia="Arial" w:hAnsi="Arial"/>
          <w:sz w:val="20"/>
          <w:szCs w:val="20"/>
        </w:rPr>
        <w:t xml:space="preserve">Contestações devem ser formalizadas em até 5 dias úteis da divulgação do resultado.</w:t>
      </w:r>
    </w:p>
    <w:p>
      <w:pPr>
        <w:pBdr>
          <w:bottom w:val="single" w:color="1F4E3D" w:sz="6" w:space="4"/>
        </w:pBdr>
        <w:spacing w:after="160" w:before="280"/>
      </w:pPr>
      <w:r>
        <w:rPr>
          <w:rFonts w:ascii="Arial" w:cs="Arial" w:eastAsia="Arial" w:hAnsi="Arial"/>
          <w:b/>
          <w:bCs/>
          <w:color w:val="1F4E3D"/>
          <w:sz w:val="24"/>
          <w:szCs w:val="24"/>
        </w:rPr>
        <w:t xml:space="preserve">11. Disposições gerais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Arial" w:cs="Arial" w:eastAsia="Arial" w:hAnsi="Arial"/>
          <w:sz w:val="20"/>
          <w:szCs w:val="20"/>
        </w:rPr>
        <w:t xml:space="preserve">As campanhas de premiação e incentivo vinculadas a este programa serão definidas e comunicadas em documento próprio.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Arial" w:cs="Arial" w:eastAsia="Arial" w:hAnsi="Arial"/>
          <w:sz w:val="20"/>
          <w:szCs w:val="20"/>
        </w:rPr>
        <w:t xml:space="preserve">A campanha Nitron UP fica encerrada a partir de 01/09/2026, substituída integralmente por este programa.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Arial" w:cs="Arial" w:eastAsia="Arial" w:hAnsi="Arial"/>
          <w:sz w:val="20"/>
          <w:szCs w:val="20"/>
        </w:rPr>
        <w:t xml:space="preserve">O benefício desta campanha não é cumulativo com qualquer outra promoção, desconto ou campanha vigente. Prevalece sempre a condição mais vantajosa ao cliente, nunca a soma delas.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Arial" w:cs="Arial" w:eastAsia="Arial" w:hAnsi="Arial"/>
          <w:sz w:val="20"/>
          <w:szCs w:val="20"/>
        </w:rPr>
        <w:t xml:space="preserve">Cliente de representante sem acesso à Tabela Gestor não pode ser faturado por outro representante com o objetivo de recuperar a condição comercial.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Arial" w:cs="Arial" w:eastAsia="Arial" w:hAnsi="Arial"/>
          <w:sz w:val="20"/>
          <w:szCs w:val="20"/>
        </w:rPr>
        <w:t xml:space="preserve">A Tabela Gestor não gera direito adquirido além do previsto no item 8.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Arial" w:cs="Arial" w:eastAsia="Arial" w:hAnsi="Arial"/>
          <w:sz w:val="20"/>
          <w:szCs w:val="20"/>
        </w:rPr>
        <w:t xml:space="preserve">A Nitron poderá alterar este regulamento mediante comunicação por escrito com no mínimo 60 dias de antecedência, sem efeito retroativo sobre ciclos já iniciados. A definição das condições de 2027 prevista no item 4 não se sujeita a esse prazo, por ser etapa já prevista neste regulamento.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Arial" w:cs="Arial" w:eastAsia="Arial" w:hAnsi="Arial"/>
          <w:sz w:val="20"/>
          <w:szCs w:val="20"/>
        </w:rPr>
        <w:t xml:space="preserve">Esta campanha não altera a natureza autônoma da relação com o representante comercial, regida pela Lei nº 4.886/1965.</w:t>
      </w:r>
    </w:p>
    <w:p>
      <w:r>
        <w:br w:type="page"/>
      </w:r>
    </w:p>
    <w:p>
      <w:pPr>
        <w:spacing w:after="60"/>
      </w:pPr>
      <w:r>
        <w:rPr>
          <w:rFonts w:ascii="Arial" w:cs="Arial" w:eastAsia="Arial" w:hAnsi="Arial"/>
          <w:b/>
          <w:bCs/>
          <w:color w:val="1F4E3D"/>
          <w:sz w:val="32"/>
          <w:szCs w:val="32"/>
        </w:rPr>
        <w:t xml:space="preserve">TERMO DE ADESÃO</w:t>
      </w:r>
    </w:p>
    <w:p>
      <w:pPr>
        <w:pBdr>
          <w:bottom w:val="single" w:color="1F4E3D" w:sz="12" w:space="6"/>
        </w:pBdr>
        <w:spacing w:after="30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Campanha Gestor de Carteira Nitron</w:t>
      </w:r>
    </w:p>
    <w:p>
      <w:pPr>
        <w:spacing w:after="160" w:line="276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Pelo presente termo, o representante abaixo identificado declara que aderiu voluntariamente à Campanha Gestor de Carteira Nitron e que: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Arial" w:cs="Arial" w:eastAsia="Arial" w:hAnsi="Arial"/>
          <w:sz w:val="20"/>
          <w:szCs w:val="20"/>
        </w:rPr>
        <w:t xml:space="preserve">Leu e compreendeu integralmente o Regulamento que acompanha este termo.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Arial" w:cs="Arial" w:eastAsia="Arial" w:hAnsi="Arial"/>
          <w:sz w:val="20"/>
          <w:szCs w:val="20"/>
        </w:rPr>
        <w:t xml:space="preserve">Está ciente de que a Tabela Gestor lhe é disponibilizada como ferramenta de trabalho, condicionada a positivar 50% da carteira e atingir 90% da meta em cada ciclo quadrimestral.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Arial" w:cs="Arial" w:eastAsia="Arial" w:hAnsi="Arial"/>
          <w:sz w:val="20"/>
          <w:szCs w:val="20"/>
        </w:rPr>
        <w:t xml:space="preserve">Está ciente de que a Tabela Gestor opera exclusivamente com as condições de pagamento pré-aprovadas do item 2, pedido mínimo de R$ 3.500,00 e sem garantia de giro ou direito de troca.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Arial" w:cs="Arial" w:eastAsia="Arial" w:hAnsi="Arial"/>
          <w:sz w:val="20"/>
          <w:szCs w:val="20"/>
        </w:rPr>
        <w:t xml:space="preserve">Está ciente de que a recuperação ocorre atingindo novamente as duas condições em qualquer ciclo seguinte.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Arial" w:cs="Arial" w:eastAsia="Arial" w:hAnsi="Arial"/>
          <w:sz w:val="20"/>
          <w:szCs w:val="20"/>
        </w:rPr>
        <w:t xml:space="preserve">Está ciente de que a comissão de 9% sobre a tabela Varejo se aplica exclusivamente aos contratos Clube Nitron novos que converter.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Está ciente de que apenas o Ciclo 1, de setembro a dezembro de 2026, está confirmado, e que a continuidade da campanha em 2027 e os percentuais que valerão serão definidos após a apuração do Ciclo 1 e comunicados até 31/01/2027.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Arial" w:cs="Arial" w:eastAsia="Arial" w:hAnsi="Arial"/>
          <w:sz w:val="20"/>
          <w:szCs w:val="20"/>
        </w:rPr>
        <w:t xml:space="preserve">Está ciente de que clientes classificados como Key Account não integram a carteira desta campanha.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Arial" w:cs="Arial" w:eastAsia="Arial" w:hAnsi="Arial"/>
          <w:sz w:val="20"/>
          <w:szCs w:val="20"/>
        </w:rPr>
        <w:t xml:space="preserve">Está ciente de que cliente reativado e cliente novo contam para a sua positivação, sem aumentar a carteira congelada.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Arial" w:cs="Arial" w:eastAsia="Arial" w:hAnsi="Arial"/>
          <w:sz w:val="20"/>
          <w:szCs w:val="20"/>
        </w:rPr>
        <w:t xml:space="preserve">Está ciente de que tem 30 dias a contar do congelamento para contestar a composição da sua carteira, e que após esse prazo ela está fechada para o ano.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Arial" w:cs="Arial" w:eastAsia="Arial" w:hAnsi="Arial"/>
          <w:sz w:val="20"/>
          <w:szCs w:val="20"/>
        </w:rPr>
        <w:t xml:space="preserve">Está ciente de que a Tabela Gestor vigora para cada cliente por até 4 ciclos, e que a manutenção depois disso exige contrato Clube Nitron ou compra nos 3 ciclos do ano.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Arial" w:cs="Arial" w:eastAsia="Arial" w:hAnsi="Arial"/>
          <w:sz w:val="20"/>
          <w:szCs w:val="20"/>
        </w:rPr>
        <w:t xml:space="preserve">Compromete-se a não fracionar pedidos com o objetivo de alterar indicadores.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Arial" w:cs="Arial" w:eastAsia="Arial" w:hAnsi="Arial"/>
          <w:sz w:val="20"/>
          <w:szCs w:val="20"/>
        </w:rPr>
        <w:t xml:space="preserve">Está ciente de que a apuração é automática, extraída do sistema, e acompanhada mensalmente por painel.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Arial" w:cs="Arial" w:eastAsia="Arial" w:hAnsi="Arial"/>
          <w:sz w:val="20"/>
          <w:szCs w:val="20"/>
        </w:rPr>
        <w:t xml:space="preserve">Está ciente de que clientes com contrato Clube Nitron não são afetados por seu desempenho.</w:t>
      </w:r>
    </w:p>
    <w:p>
      <w:pPr>
        <w:spacing w:after="180" w:line="276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140" w:line="276"/>
      </w:pPr>
      <w:r>
        <w:rPr>
          <w:rFonts w:ascii="Arial" w:cs="Arial" w:eastAsia="Arial" w:hAnsi="Arial"/>
          <w:b/>
          <w:bCs/>
          <w:color w:val="1F4E3D"/>
          <w:sz w:val="22"/>
          <w:szCs w:val="22"/>
        </w:rPr>
        <w:t xml:space="preserve">Identificação</w:t>
      </w:r>
    </w:p>
    <w:p>
      <w:pPr>
        <w:pBdr>
          <w:bottom w:val="single" w:color="808080" w:sz="4" w:space="2"/>
        </w:pBdr>
        <w:spacing w:after="20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after="22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Nome do representante</w:t>
      </w:r>
    </w:p>
    <w:p>
      <w:pPr>
        <w:pBdr>
          <w:bottom w:val="single" w:color="808080" w:sz="4" w:space="2"/>
        </w:pBdr>
        <w:spacing w:after="20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after="22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CNPJ / Código do representante</w:t>
      </w:r>
    </w:p>
    <w:p>
      <w:pPr>
        <w:pBdr>
          <w:bottom w:val="single" w:color="808080" w:sz="4" w:space="2"/>
        </w:pBdr>
        <w:spacing w:after="20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after="22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Região / Setor</w:t>
      </w:r>
    </w:p>
    <w:p>
      <w:pPr>
        <w:pBdr>
          <w:bottom w:val="single" w:color="808080" w:sz="4" w:space="2"/>
        </w:pBdr>
        <w:spacing w:after="20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after="22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Carteira comum congelada em 01/09/2026 (nº de clientes, exclui Key Account)</w:t>
      </w:r>
    </w:p>
    <w:p>
      <w:pPr>
        <w:pBdr>
          <w:bottom w:val="single" w:color="808080" w:sz="4" w:space="2"/>
        </w:pBdr>
        <w:spacing w:after="20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after="22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Positivação apurada no último ciclo (%)</w:t>
      </w:r>
    </w:p>
    <w:p>
      <w:pPr>
        <w:spacing w:after="200" w:line="276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19"/>
        <w:gridCol w:w="4819"/>
      </w:tblGrid>
      <w:tr>
        <w:tc>
          <w:tcPr>
            <w:tcW w:type="dxa" w:w="4819"/>
            <w:tcMar>
              <w:top w:type="dxa" w:w="0"/>
              <w:left w:type="dxa" w:w="0"/>
              <w:bottom w:type="dxa" w:w="0"/>
              <w:right w:type="dxa" w:w="220"/>
            </w:tcMar>
          </w:tcPr>
          <w:p>
            <w:pPr>
              <w:pBdr>
                <w:bottom w:val="single" w:color="808080" w:sz="4" w:space="2"/>
              </w:pBd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Representante</w:t>
            </w:r>
          </w:p>
        </w:tc>
        <w:tc>
          <w:tcPr>
            <w:tcW w:type="dxa" w:w="4819"/>
            <w:tcMar>
              <w:top w:type="dxa" w:w="0"/>
              <w:left w:type="dxa" w:w="0"/>
              <w:bottom w:type="dxa" w:w="0"/>
              <w:right w:type="dxa" w:w="220"/>
            </w:tcMar>
          </w:tcPr>
          <w:p>
            <w:pPr>
              <w:pBdr>
                <w:bottom w:val="single" w:color="808080" w:sz="4" w:space="2"/>
              </w:pBd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Nitron — Diretoria Comercial</w:t>
            </w:r>
          </w:p>
        </w:tc>
      </w:tr>
    </w:tbl>
    <w:p>
      <w:pPr>
        <w:spacing w:after="240" w:line="276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120" w:line="276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Local e data: ______________________________________________</w:t>
      </w:r>
    </w:p>
    <w:p>
      <w:r>
        <w:br w:type="page"/>
      </w:r>
    </w:p>
    <w:p>
      <w:pPr>
        <w:spacing w:after="60"/>
      </w:pPr>
      <w:r>
        <w:rPr>
          <w:rFonts w:ascii="Arial" w:cs="Arial" w:eastAsia="Arial" w:hAnsi="Arial"/>
          <w:b/>
          <w:bCs/>
          <w:color w:val="1F4E3D"/>
          <w:sz w:val="28"/>
          <w:szCs w:val="28"/>
        </w:rPr>
        <w:t xml:space="preserve">ANEXO I — PLANO DE REATIVAÇÃO</w:t>
      </w:r>
    </w:p>
    <w:p>
      <w:pPr>
        <w:pBdr>
          <w:bottom w:val="single" w:color="1F4E3D" w:sz="12" w:space="6"/>
        </w:pBdr>
        <w:spacing w:after="2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A ser entregue em até 15 dias por representante que não atingiu a régua</w:t>
      </w:r>
    </w:p>
    <w:p>
      <w:pPr>
        <w:spacing w:after="200" w:line="276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Representante: ______________________________________   Ciclo: ______________</w:t>
      </w:r>
    </w:p>
    <w:p>
      <w:pPr>
        <w:spacing w:after="240" w:line="276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Positivação apurada: ________%      Régua do próximo ciclo: ________%      Clientes a somar: ________</w:t>
      </w:r>
    </w:p>
    <w:tbl>
      <w:tblPr>
        <w:tblW w:type="dxa" w:w="9638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700"/>
        <w:gridCol w:w="3400"/>
        <w:gridCol w:w="1900"/>
        <w:gridCol w:w="1900"/>
        <w:gridCol w:w="1738"/>
      </w:tblGrid>
      <w:tr>
        <w:trPr>
          <w:tblHeader/>
        </w:trPr>
        <w:tc>
          <w:tcPr>
            <w:tcW w:type="dxa" w:w="700"/>
            <w:shd w:fill="1F4E3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400"/>
            <w:shd w:fill="1F4E3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Cliente (razão social)</w:t>
            </w:r>
          </w:p>
        </w:tc>
        <w:tc>
          <w:tcPr>
            <w:tcW w:type="dxa" w:w="1900"/>
            <w:shd w:fill="1F4E3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Última compra</w:t>
            </w:r>
          </w:p>
        </w:tc>
        <w:tc>
          <w:tcPr>
            <w:tcW w:type="dxa" w:w="1900"/>
            <w:shd w:fill="1F4E3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 pretendido</w:t>
            </w:r>
          </w:p>
        </w:tc>
        <w:tc>
          <w:tcPr>
            <w:tcW w:type="dxa" w:w="1738"/>
            <w:shd w:fill="1F4E3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prevista</w:t>
            </w:r>
          </w:p>
        </w:tc>
      </w:tr>
      <w:t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7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34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738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7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34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738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7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34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738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7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34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738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7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34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738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200" w:line="276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Observações do representante:</w:t>
      </w:r>
    </w:p>
    <w:p>
      <w:pPr>
        <w:spacing w:after="120" w:line="276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_______________________________________________________________________________</w:t>
      </w:r>
    </w:p>
    <w:p>
      <w:pPr>
        <w:spacing w:after="120" w:line="276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_______________________________________________________________________________</w:t>
      </w:r>
    </w:p>
    <w:p>
      <w:pPr>
        <w:spacing w:after="120" w:line="276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_______________________________________________________________________________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2026-09-03T16:14:18.601Z</dcterms:created>
  <dcterms:modified xsi:type="dcterms:W3CDTF">2026-09-03T16:14:18.619Z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