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5B21B6"/>
          <w:sz w:val="44"/>
        </w:rPr>
        <w:t>UPI Transaction Risk &amp; Fraud Analytics</w:t>
      </w:r>
    </w:p>
    <w:p/>
    <w:p>
      <w:pPr>
        <w:jc w:val="center"/>
      </w:pPr>
      <w:r>
        <w:rPr>
          <w:color w:val="7C3AED"/>
          <w:sz w:val="28"/>
        </w:rPr>
        <w:t>Comprehensive Analysis Report</w:t>
      </w:r>
    </w:p>
    <w:p/>
    <w:p>
      <w:pPr>
        <w:jc w:val="center"/>
      </w:pPr>
      <w:r>
        <w:rPr>
          <w:color w:val="57606A"/>
          <w:sz w:val="22"/>
        </w:rPr>
        <w:t>Generated: September 22, 2026</w:t>
      </w:r>
    </w:p>
    <w:p>
      <w:pPr>
        <w:jc w:val="center"/>
      </w:pPr>
      <w:r>
        <w:rPr>
          <w:color w:val="57606A"/>
          <w:sz w:val="22"/>
        </w:rPr>
        <w:t>Dataset: Synthetic UPI Transactions (~10,000 records)</w:t>
      </w:r>
    </w:p>
    <w:p>
      <w:pPr>
        <w:jc w:val="center"/>
      </w:pPr>
      <w:r>
        <w:rPr>
          <w:color w:val="57606A"/>
          <w:sz w:val="22"/>
        </w:rPr>
        <w:t>Tools: Python · scikit-learn · Matplotlib · Streamlit · python-docx</w:t>
      </w:r>
    </w:p>
    <w:p>
      <w:r>
        <w:br w:type="page"/>
      </w:r>
    </w:p>
    <w:p>
      <w:pPr>
        <w:pStyle w:val="Heading1"/>
        <w:spacing w:before="200" w:after="80"/>
      </w:pPr>
      <w:r>
        <w:rPr>
          <w:b/>
          <w:color w:val="5B21B6"/>
          <w:sz w:val="28"/>
        </w:rPr>
        <w:t>1. Executive Summary</w:t>
      </w:r>
    </w:p>
    <w:p>
      <w:pPr>
        <w:spacing w:after="80"/>
      </w:pPr>
      <w:r>
        <w:rPr>
          <w:b w:val="0"/>
          <w:color w:val="1F2328"/>
          <w:sz w:val="21"/>
        </w:rPr>
        <w:t>This report presents a comprehensive risk and fraud analytics study on a synthetic dataset of 9,989 UPI transactions (total value ₹19,749,824). The analysis identified 174 confirmed fraud cases (1.74% fraud rate) and 500 anomalies (5.0% of transactions) using Isolation Forest. Two machine learning models were trained: Logistic Regression achieved ROC-AUC = 0.6352 with recall of 65.71%, catching the majority of fraud cases; Random Forest achieved ROC-AUC = 0.5497 with higher precision (8.33%) but lower recall (2.86%). New-device transactions carry a fraud rate of 3.86%, odd-hour (midnight–6 AM) transactions carry 3.89%, and high-value transactions (top 1%) carry 5.0% — all significantly above the 1.74% baseline. The custom Risk_Score (0–100) achieves a correlation of 0.50 with fraud labels, enabling actionable tiered risk management without data leakage.</w:t>
      </w:r>
    </w:p>
    <w:p/>
    <w:p>
      <w:pPr>
        <w:pStyle w:val="Heading1"/>
        <w:spacing w:before="200" w:after="80"/>
      </w:pPr>
      <w:r>
        <w:rPr>
          <w:b/>
          <w:color w:val="5B21B6"/>
          <w:sz w:val="28"/>
        </w:rPr>
        <w:t>2. Problem Statement</w:t>
      </w:r>
    </w:p>
    <w:p>
      <w:pPr>
        <w:spacing w:after="80"/>
      </w:pPr>
      <w:r>
        <w:rPr>
          <w:b w:val="0"/>
          <w:color w:val="1F2328"/>
          <w:sz w:val="21"/>
        </w:rPr>
        <w:t>UPI (Unified Payments Interface) fraud is a growing concern in India's digital payment ecosystem. Fraudsters exploit new devices, off-hours transactions, unusually high amounts, and compromised accounts to execute unauthorized transfers. Traditional rule-based systems generate excessive false positives while missing sophisticated attacks. This project develops a multi-layered detection framework combining rule-based risk scoring, unsupervised anomaly detection, and supervised machine learning to identify high-risk transactions before they are processed.</w:t>
      </w:r>
    </w:p>
    <w:p>
      <w:pPr>
        <w:pStyle w:val="Heading1"/>
        <w:spacing w:before="200" w:after="80"/>
      </w:pPr>
      <w:r>
        <w:rPr>
          <w:b/>
          <w:color w:val="5B21B6"/>
          <w:sz w:val="28"/>
        </w:rPr>
        <w:t>3. Project Objectives</w:t>
      </w:r>
    </w:p>
    <w:p>
      <w:pPr>
        <w:pStyle w:val="ListBullet"/>
        <w:spacing w:after="40"/>
      </w:pPr>
      <w:r>
        <w:rPr>
          <w:color w:val="1F2328"/>
          <w:sz w:val="21"/>
        </w:rPr>
        <w:t>Design and implement a transparent, rule-based Risk Score (0–100) without using fraud labels.</w:t>
      </w:r>
    </w:p>
    <w:p>
      <w:pPr>
        <w:pStyle w:val="ListBullet"/>
        <w:spacing w:after="40"/>
      </w:pPr>
      <w:r>
        <w:rPr>
          <w:color w:val="1F2328"/>
          <w:sz w:val="21"/>
        </w:rPr>
        <w:t>Identify statistically significant fraud risk factors from transaction metadata.</w:t>
      </w:r>
    </w:p>
    <w:p>
      <w:pPr>
        <w:pStyle w:val="ListBullet"/>
        <w:spacing w:after="40"/>
      </w:pPr>
      <w:r>
        <w:rPr>
          <w:color w:val="1F2328"/>
          <w:sz w:val="21"/>
        </w:rPr>
        <w:t>Apply Isolation Forest to detect anomalous transaction patterns at 5% contamination.</w:t>
      </w:r>
    </w:p>
    <w:p>
      <w:pPr>
        <w:pStyle w:val="ListBullet"/>
        <w:spacing w:after="40"/>
      </w:pPr>
      <w:r>
        <w:rPr>
          <w:color w:val="1F2328"/>
          <w:sz w:val="21"/>
        </w:rPr>
        <w:t>Train and evaluate Logistic Regression and Random Forest classifiers on leak-free features.</w:t>
      </w:r>
    </w:p>
    <w:p>
      <w:pPr>
        <w:pStyle w:val="ListBullet"/>
        <w:spacing w:after="40"/>
      </w:pPr>
      <w:r>
        <w:rPr>
          <w:color w:val="1F2328"/>
          <w:sz w:val="21"/>
        </w:rPr>
        <w:t>Build an interactive Streamlit dashboard for real-time risk monitoring.</w:t>
      </w:r>
    </w:p>
    <w:p>
      <w:pPr>
        <w:pStyle w:val="ListBullet"/>
        <w:spacing w:after="40"/>
      </w:pPr>
      <w:r>
        <w:rPr>
          <w:color w:val="1F2328"/>
          <w:sz w:val="21"/>
        </w:rPr>
        <w:t>Generate actionable business recommendations from analytical findings.</w:t>
      </w:r>
    </w:p>
    <w:p/>
    <w:p>
      <w:pPr>
        <w:pStyle w:val="Heading1"/>
        <w:spacing w:before="200" w:after="80"/>
      </w:pPr>
      <w:r>
        <w:rPr>
          <w:b/>
          <w:color w:val="5B21B6"/>
          <w:sz w:val="28"/>
        </w:rPr>
        <w:t>4. Dataset Description</w:t>
      </w:r>
    </w:p>
    <w:p>
      <w:pPr>
        <w:spacing w:after="80"/>
      </w:pPr>
      <w:r>
        <w:rPr>
          <w:b w:val="0"/>
          <w:color w:val="1F2328"/>
          <w:sz w:val="21"/>
        </w:rPr>
        <w:t>The dataset is synthetic and contains no real personal or financial data.</w:t>
      </w:r>
    </w:p>
    <w:tbl>
      <w:tblPr>
        <w:tblStyle w:val="TableGrid"/>
        <w:tblW w:type="auto" w:w="0"/>
        <w:tblLook w:firstColumn="1" w:firstRow="1" w:lastColumn="0" w:lastRow="0" w:noHBand="0" w:noVBand="1" w:val="04A0"/>
      </w:tblPr>
      <w:tblGrid>
        <w:gridCol w:w="4703"/>
        <w:gridCol w:w="4703"/>
      </w:tblGrid>
      <w:tr>
        <w:tc>
          <w:tcPr>
            <w:tcW w:type="dxa" w:w="3969"/>
            <w:shd w:val="clear" w:color="auto" w:fill="A78BFA"/>
          </w:tcPr>
          <w:p>
            <w:r>
              <w:rPr>
                <w:b/>
                <w:color w:val="FFFFFF"/>
                <w:sz w:val="20"/>
              </w:rPr>
              <w:t>Attribute</w:t>
            </w:r>
          </w:p>
        </w:tc>
        <w:tc>
          <w:tcPr>
            <w:tcW w:type="dxa" w:w="5102"/>
            <w:shd w:val="clear" w:color="auto" w:fill="A78BFA"/>
          </w:tcPr>
          <w:p>
            <w:r>
              <w:rPr>
                <w:b/>
                <w:color w:val="FFFFFF"/>
                <w:sz w:val="20"/>
              </w:rPr>
              <w:t>Value</w:t>
            </w:r>
          </w:p>
        </w:tc>
      </w:tr>
      <w:tr>
        <w:tc>
          <w:tcPr>
            <w:tcW w:type="dxa" w:w="3969"/>
          </w:tcPr>
          <w:p>
            <w:r>
              <w:rPr>
                <w:color w:val="1F2328"/>
                <w:sz w:val="20"/>
              </w:rPr>
              <w:t>Total Records</w:t>
            </w:r>
          </w:p>
        </w:tc>
        <w:tc>
          <w:tcPr>
            <w:tcW w:type="dxa" w:w="5102"/>
          </w:tcPr>
          <w:p>
            <w:r>
              <w:rPr>
                <w:color w:val="1F2328"/>
                <w:sz w:val="20"/>
              </w:rPr>
              <w:t>9,989</w:t>
            </w:r>
          </w:p>
        </w:tc>
      </w:tr>
      <w:tr>
        <w:tc>
          <w:tcPr>
            <w:tcW w:type="dxa" w:w="3969"/>
          </w:tcPr>
          <w:p>
            <w:r>
              <w:rPr>
                <w:color w:val="1F2328"/>
                <w:sz w:val="20"/>
              </w:rPr>
              <w:t>Fraud Cases</w:t>
            </w:r>
          </w:p>
        </w:tc>
        <w:tc>
          <w:tcPr>
            <w:tcW w:type="dxa" w:w="5102"/>
          </w:tcPr>
          <w:p>
            <w:r>
              <w:rPr>
                <w:color w:val="1F2328"/>
                <w:sz w:val="20"/>
              </w:rPr>
              <w:t>174 (1.74%)</w:t>
            </w:r>
          </w:p>
        </w:tc>
      </w:tr>
      <w:tr>
        <w:tc>
          <w:tcPr>
            <w:tcW w:type="dxa" w:w="3969"/>
          </w:tcPr>
          <w:p>
            <w:r>
              <w:rPr>
                <w:color w:val="1F2328"/>
                <w:sz w:val="20"/>
              </w:rPr>
              <w:t>Non-Fraud Cases</w:t>
            </w:r>
          </w:p>
        </w:tc>
        <w:tc>
          <w:tcPr>
            <w:tcW w:type="dxa" w:w="5102"/>
          </w:tcPr>
          <w:p>
            <w:r>
              <w:rPr>
                <w:color w:val="1F2328"/>
                <w:sz w:val="20"/>
              </w:rPr>
              <w:t>9,815</w:t>
            </w:r>
          </w:p>
        </w:tc>
      </w:tr>
      <w:tr>
        <w:tc>
          <w:tcPr>
            <w:tcW w:type="dxa" w:w="3969"/>
          </w:tcPr>
          <w:p>
            <w:r>
              <w:rPr>
                <w:color w:val="1F2328"/>
                <w:sz w:val="20"/>
              </w:rPr>
              <w:t>Date Range</w:t>
            </w:r>
          </w:p>
        </w:tc>
        <w:tc>
          <w:tcPr>
            <w:tcW w:type="dxa" w:w="5102"/>
          </w:tcPr>
          <w:p>
            <w:r>
              <w:rPr>
                <w:color w:val="1F2328"/>
                <w:sz w:val="20"/>
              </w:rPr>
              <w:t>2025-10-01 to 2026-09-15</w:t>
            </w:r>
          </w:p>
        </w:tc>
      </w:tr>
      <w:tr>
        <w:tc>
          <w:tcPr>
            <w:tcW w:type="dxa" w:w="3969"/>
          </w:tcPr>
          <w:p>
            <w:r>
              <w:rPr>
                <w:color w:val="1F2328"/>
                <w:sz w:val="20"/>
              </w:rPr>
              <w:t>Total Transaction Value</w:t>
            </w:r>
          </w:p>
        </w:tc>
        <w:tc>
          <w:tcPr>
            <w:tcW w:type="dxa" w:w="5102"/>
          </w:tcPr>
          <w:p>
            <w:r>
              <w:rPr>
                <w:color w:val="1F2328"/>
                <w:sz w:val="20"/>
              </w:rPr>
              <w:t>₹19,749,824.35</w:t>
            </w:r>
          </w:p>
        </w:tc>
      </w:tr>
      <w:tr>
        <w:tc>
          <w:tcPr>
            <w:tcW w:type="dxa" w:w="3969"/>
          </w:tcPr>
          <w:p>
            <w:r>
              <w:rPr>
                <w:color w:val="1F2328"/>
                <w:sz w:val="20"/>
              </w:rPr>
              <w:t>Mean Transaction Amount</w:t>
            </w:r>
          </w:p>
        </w:tc>
        <w:tc>
          <w:tcPr>
            <w:tcW w:type="dxa" w:w="5102"/>
          </w:tcPr>
          <w:p>
            <w:r>
              <w:rPr>
                <w:color w:val="1F2328"/>
                <w:sz w:val="20"/>
              </w:rPr>
              <w:t>₹1,977.16</w:t>
            </w:r>
          </w:p>
        </w:tc>
      </w:tr>
      <w:tr>
        <w:tc>
          <w:tcPr>
            <w:tcW w:type="dxa" w:w="3969"/>
          </w:tcPr>
          <w:p>
            <w:r>
              <w:rPr>
                <w:color w:val="1F2328"/>
                <w:sz w:val="20"/>
              </w:rPr>
              <w:t>Median Transaction Amount</w:t>
            </w:r>
          </w:p>
        </w:tc>
        <w:tc>
          <w:tcPr>
            <w:tcW w:type="dxa" w:w="5102"/>
          </w:tcPr>
          <w:p>
            <w:r>
              <w:rPr>
                <w:color w:val="1F2328"/>
                <w:sz w:val="20"/>
              </w:rPr>
              <w:t>₹1,207.08</w:t>
            </w:r>
          </w:p>
        </w:tc>
      </w:tr>
      <w:tr>
        <w:tc>
          <w:tcPr>
            <w:tcW w:type="dxa" w:w="3969"/>
          </w:tcPr>
          <w:p>
            <w:r>
              <w:rPr>
                <w:color w:val="1F2328"/>
                <w:sz w:val="20"/>
              </w:rPr>
              <w:t>Max Transaction Amount</w:t>
            </w:r>
          </w:p>
        </w:tc>
        <w:tc>
          <w:tcPr>
            <w:tcW w:type="dxa" w:w="5102"/>
          </w:tcPr>
          <w:p>
            <w:r>
              <w:rPr>
                <w:color w:val="1F2328"/>
                <w:sz w:val="20"/>
              </w:rPr>
              <w:t>₹117,611.80</w:t>
            </w:r>
          </w:p>
        </w:tc>
      </w:tr>
      <w:tr>
        <w:tc>
          <w:tcPr>
            <w:tcW w:type="dxa" w:w="3969"/>
          </w:tcPr>
          <w:p>
            <w:r>
              <w:rPr>
                <w:color w:val="1F2328"/>
                <w:sz w:val="20"/>
              </w:rPr>
              <w:t>Transaction Types</w:t>
            </w:r>
          </w:p>
        </w:tc>
        <w:tc>
          <w:tcPr>
            <w:tcW w:type="dxa" w:w="5102"/>
          </w:tcPr>
          <w:p>
            <w:r>
              <w:rPr>
                <w:color w:val="1F2328"/>
                <w:sz w:val="20"/>
              </w:rPr>
              <w:t>5</w:t>
            </w:r>
          </w:p>
        </w:tc>
      </w:tr>
      <w:tr>
        <w:tc>
          <w:tcPr>
            <w:tcW w:type="dxa" w:w="3969"/>
          </w:tcPr>
          <w:p>
            <w:r>
              <w:rPr>
                <w:color w:val="1F2328"/>
                <w:sz w:val="20"/>
              </w:rPr>
              <w:t>Device Types</w:t>
            </w:r>
          </w:p>
        </w:tc>
        <w:tc>
          <w:tcPr>
            <w:tcW w:type="dxa" w:w="5102"/>
          </w:tcPr>
          <w:p>
            <w:r>
              <w:rPr>
                <w:color w:val="1F2328"/>
                <w:sz w:val="20"/>
              </w:rPr>
              <w:t>3</w:t>
            </w:r>
          </w:p>
        </w:tc>
      </w:tr>
      <w:tr>
        <w:tc>
          <w:tcPr>
            <w:tcW w:type="dxa" w:w="3969"/>
          </w:tcPr>
          <w:p>
            <w:r>
              <w:rPr>
                <w:color w:val="1F2328"/>
                <w:sz w:val="20"/>
              </w:rPr>
              <w:t>Source</w:t>
            </w:r>
          </w:p>
        </w:tc>
        <w:tc>
          <w:tcPr>
            <w:tcW w:type="dxa" w:w="5102"/>
          </w:tcPr>
          <w:p>
            <w:r>
              <w:rPr>
                <w:color w:val="1F2328"/>
                <w:sz w:val="20"/>
              </w:rPr>
              <w:t>Synthetic — no real PII</w:t>
            </w:r>
          </w:p>
        </w:tc>
      </w:tr>
    </w:tbl>
    <w:p/>
    <w:p>
      <w:pPr>
        <w:pStyle w:val="Heading1"/>
        <w:spacing w:before="200" w:after="80"/>
      </w:pPr>
      <w:r>
        <w:rPr>
          <w:b/>
          <w:color w:val="5B21B6"/>
          <w:sz w:val="28"/>
        </w:rPr>
        <w:t>5. Data Dictionary</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A78BFA"/>
          </w:tcPr>
          <w:p>
            <w:r>
              <w:rPr>
                <w:b/>
                <w:color w:val="FFFFFF"/>
                <w:sz w:val="20"/>
              </w:rPr>
              <w:t>Column</w:t>
            </w:r>
          </w:p>
        </w:tc>
        <w:tc>
          <w:tcPr>
            <w:tcW w:type="dxa" w:w="1701"/>
            <w:shd w:val="clear" w:color="auto" w:fill="A78BFA"/>
          </w:tcPr>
          <w:p>
            <w:r>
              <w:rPr>
                <w:b/>
                <w:color w:val="FFFFFF"/>
                <w:sz w:val="20"/>
              </w:rPr>
              <w:t>Type</w:t>
            </w:r>
          </w:p>
        </w:tc>
        <w:tc>
          <w:tcPr>
            <w:tcW w:type="dxa" w:w="4535"/>
            <w:shd w:val="clear" w:color="auto" w:fill="A78BFA"/>
          </w:tcPr>
          <w:p>
            <w:r>
              <w:rPr>
                <w:b/>
                <w:color w:val="FFFFFF"/>
                <w:sz w:val="20"/>
              </w:rPr>
              <w:t>Description</w:t>
            </w:r>
          </w:p>
        </w:tc>
      </w:tr>
      <w:tr>
        <w:tc>
          <w:tcPr>
            <w:tcW w:type="dxa" w:w="3118"/>
          </w:tcPr>
          <w:p>
            <w:r>
              <w:rPr>
                <w:color w:val="1F2328"/>
                <w:sz w:val="20"/>
              </w:rPr>
              <w:t>Transaction_ID</w:t>
            </w:r>
          </w:p>
        </w:tc>
        <w:tc>
          <w:tcPr>
            <w:tcW w:type="dxa" w:w="1701"/>
          </w:tcPr>
          <w:p>
            <w:r>
              <w:rPr>
                <w:color w:val="1F2328"/>
                <w:sz w:val="20"/>
              </w:rPr>
              <w:t>String</w:t>
            </w:r>
          </w:p>
        </w:tc>
        <w:tc>
          <w:tcPr>
            <w:tcW w:type="dxa" w:w="4535"/>
          </w:tcPr>
          <w:p>
            <w:r>
              <w:rPr>
                <w:color w:val="1F2328"/>
                <w:sz w:val="20"/>
              </w:rPr>
              <w:t>Unique identifier for each transaction</w:t>
            </w:r>
          </w:p>
        </w:tc>
      </w:tr>
      <w:tr>
        <w:tc>
          <w:tcPr>
            <w:tcW w:type="dxa" w:w="3118"/>
          </w:tcPr>
          <w:p>
            <w:r>
              <w:rPr>
                <w:color w:val="1F2328"/>
                <w:sz w:val="20"/>
              </w:rPr>
              <w:t>Transaction_Date</w:t>
            </w:r>
          </w:p>
        </w:tc>
        <w:tc>
          <w:tcPr>
            <w:tcW w:type="dxa" w:w="1701"/>
          </w:tcPr>
          <w:p>
            <w:r>
              <w:rPr>
                <w:color w:val="1F2328"/>
                <w:sz w:val="20"/>
              </w:rPr>
              <w:t>Date</w:t>
            </w:r>
          </w:p>
        </w:tc>
        <w:tc>
          <w:tcPr>
            <w:tcW w:type="dxa" w:w="4535"/>
          </w:tcPr>
          <w:p>
            <w:r>
              <w:rPr>
                <w:color w:val="1F2328"/>
                <w:sz w:val="20"/>
              </w:rPr>
              <w:t>Date the transaction occurred</w:t>
            </w:r>
          </w:p>
        </w:tc>
      </w:tr>
      <w:tr>
        <w:tc>
          <w:tcPr>
            <w:tcW w:type="dxa" w:w="3118"/>
          </w:tcPr>
          <w:p>
            <w:r>
              <w:rPr>
                <w:color w:val="1F2328"/>
                <w:sz w:val="20"/>
              </w:rPr>
              <w:t>Transaction_Time</w:t>
            </w:r>
          </w:p>
        </w:tc>
        <w:tc>
          <w:tcPr>
            <w:tcW w:type="dxa" w:w="1701"/>
          </w:tcPr>
          <w:p>
            <w:r>
              <w:rPr>
                <w:color w:val="1F2328"/>
                <w:sz w:val="20"/>
              </w:rPr>
              <w:t>Time</w:t>
            </w:r>
          </w:p>
        </w:tc>
        <w:tc>
          <w:tcPr>
            <w:tcW w:type="dxa" w:w="4535"/>
          </w:tcPr>
          <w:p>
            <w:r>
              <w:rPr>
                <w:color w:val="1F2328"/>
                <w:sz w:val="20"/>
              </w:rPr>
              <w:t>Time the transaction occurred</w:t>
            </w:r>
          </w:p>
        </w:tc>
      </w:tr>
      <w:tr>
        <w:tc>
          <w:tcPr>
            <w:tcW w:type="dxa" w:w="3118"/>
          </w:tcPr>
          <w:p>
            <w:r>
              <w:rPr>
                <w:color w:val="1F2328"/>
                <w:sz w:val="20"/>
              </w:rPr>
              <w:t>Transaction_Amount_INR</w:t>
            </w:r>
          </w:p>
        </w:tc>
        <w:tc>
          <w:tcPr>
            <w:tcW w:type="dxa" w:w="1701"/>
          </w:tcPr>
          <w:p>
            <w:r>
              <w:rPr>
                <w:color w:val="1F2328"/>
                <w:sz w:val="20"/>
              </w:rPr>
              <w:t>Float</w:t>
            </w:r>
          </w:p>
        </w:tc>
        <w:tc>
          <w:tcPr>
            <w:tcW w:type="dxa" w:w="4535"/>
          </w:tcPr>
          <w:p>
            <w:r>
              <w:rPr>
                <w:color w:val="1F2328"/>
                <w:sz w:val="20"/>
              </w:rPr>
              <w:t>Amount transferred in Indian Rupees</w:t>
            </w:r>
          </w:p>
        </w:tc>
      </w:tr>
      <w:tr>
        <w:tc>
          <w:tcPr>
            <w:tcW w:type="dxa" w:w="3118"/>
          </w:tcPr>
          <w:p>
            <w:r>
              <w:rPr>
                <w:color w:val="1F2328"/>
                <w:sz w:val="20"/>
              </w:rPr>
              <w:t>Transaction_Type</w:t>
            </w:r>
          </w:p>
        </w:tc>
        <w:tc>
          <w:tcPr>
            <w:tcW w:type="dxa" w:w="1701"/>
          </w:tcPr>
          <w:p>
            <w:r>
              <w:rPr>
                <w:color w:val="1F2328"/>
                <w:sz w:val="20"/>
              </w:rPr>
              <w:t>Category</w:t>
            </w:r>
          </w:p>
        </w:tc>
        <w:tc>
          <w:tcPr>
            <w:tcW w:type="dxa" w:w="4535"/>
          </w:tcPr>
          <w:p>
            <w:r>
              <w:rPr>
                <w:color w:val="1F2328"/>
                <w:sz w:val="20"/>
              </w:rPr>
              <w:t>Type: P2P, P2M, Bill Payment, etc.</w:t>
            </w:r>
          </w:p>
        </w:tc>
      </w:tr>
      <w:tr>
        <w:tc>
          <w:tcPr>
            <w:tcW w:type="dxa" w:w="3118"/>
          </w:tcPr>
          <w:p>
            <w:r>
              <w:rPr>
                <w:color w:val="1F2328"/>
                <w:sz w:val="20"/>
              </w:rPr>
              <w:t>Transaction_Status</w:t>
            </w:r>
          </w:p>
        </w:tc>
        <w:tc>
          <w:tcPr>
            <w:tcW w:type="dxa" w:w="1701"/>
          </w:tcPr>
          <w:p>
            <w:r>
              <w:rPr>
                <w:color w:val="1F2328"/>
                <w:sz w:val="20"/>
              </w:rPr>
              <w:t>Category</w:t>
            </w:r>
          </w:p>
        </w:tc>
        <w:tc>
          <w:tcPr>
            <w:tcW w:type="dxa" w:w="4535"/>
          </w:tcPr>
          <w:p>
            <w:r>
              <w:rPr>
                <w:color w:val="1F2328"/>
                <w:sz w:val="20"/>
              </w:rPr>
              <w:t>Completed / Failed / Pending</w:t>
            </w:r>
          </w:p>
        </w:tc>
      </w:tr>
      <w:tr>
        <w:tc>
          <w:tcPr>
            <w:tcW w:type="dxa" w:w="3118"/>
          </w:tcPr>
          <w:p>
            <w:r>
              <w:rPr>
                <w:color w:val="1F2328"/>
                <w:sz w:val="20"/>
              </w:rPr>
              <w:t>Device_Type</w:t>
            </w:r>
          </w:p>
        </w:tc>
        <w:tc>
          <w:tcPr>
            <w:tcW w:type="dxa" w:w="1701"/>
          </w:tcPr>
          <w:p>
            <w:r>
              <w:rPr>
                <w:color w:val="1F2328"/>
                <w:sz w:val="20"/>
              </w:rPr>
              <w:t>Category</w:t>
            </w:r>
          </w:p>
        </w:tc>
        <w:tc>
          <w:tcPr>
            <w:tcW w:type="dxa" w:w="4535"/>
          </w:tcPr>
          <w:p>
            <w:r>
              <w:rPr>
                <w:color w:val="1F2328"/>
                <w:sz w:val="20"/>
              </w:rPr>
              <w:t>Mobile / Desktop / Tablet / Unknown</w:t>
            </w:r>
          </w:p>
        </w:tc>
      </w:tr>
      <w:tr>
        <w:tc>
          <w:tcPr>
            <w:tcW w:type="dxa" w:w="3118"/>
          </w:tcPr>
          <w:p>
            <w:r>
              <w:rPr>
                <w:color w:val="1F2328"/>
                <w:sz w:val="20"/>
              </w:rPr>
              <w:t>Network_Type</w:t>
            </w:r>
          </w:p>
        </w:tc>
        <w:tc>
          <w:tcPr>
            <w:tcW w:type="dxa" w:w="1701"/>
          </w:tcPr>
          <w:p>
            <w:r>
              <w:rPr>
                <w:color w:val="1F2328"/>
                <w:sz w:val="20"/>
              </w:rPr>
              <w:t>Category</w:t>
            </w:r>
          </w:p>
        </w:tc>
        <w:tc>
          <w:tcPr>
            <w:tcW w:type="dxa" w:w="4535"/>
          </w:tcPr>
          <w:p>
            <w:r>
              <w:rPr>
                <w:color w:val="1F2328"/>
                <w:sz w:val="20"/>
              </w:rPr>
              <w:t>WiFi / 4G / 3G / 2G</w:t>
            </w:r>
          </w:p>
        </w:tc>
      </w:tr>
      <w:tr>
        <w:tc>
          <w:tcPr>
            <w:tcW w:type="dxa" w:w="3118"/>
          </w:tcPr>
          <w:p>
            <w:r>
              <w:rPr>
                <w:color w:val="1F2328"/>
                <w:sz w:val="20"/>
              </w:rPr>
              <w:t>Is_New_Device</w:t>
            </w:r>
          </w:p>
        </w:tc>
        <w:tc>
          <w:tcPr>
            <w:tcW w:type="dxa" w:w="1701"/>
          </w:tcPr>
          <w:p>
            <w:r>
              <w:rPr>
                <w:color w:val="1F2328"/>
                <w:sz w:val="20"/>
              </w:rPr>
              <w:t>Binary</w:t>
            </w:r>
          </w:p>
        </w:tc>
        <w:tc>
          <w:tcPr>
            <w:tcW w:type="dxa" w:w="4535"/>
          </w:tcPr>
          <w:p>
            <w:r>
              <w:rPr>
                <w:color w:val="1F2328"/>
                <w:sz w:val="20"/>
              </w:rPr>
              <w:t>1 = transaction from unrecognized device</w:t>
            </w:r>
          </w:p>
        </w:tc>
      </w:tr>
      <w:tr>
        <w:tc>
          <w:tcPr>
            <w:tcW w:type="dxa" w:w="3118"/>
          </w:tcPr>
          <w:p>
            <w:r>
              <w:rPr>
                <w:color w:val="1F2328"/>
                <w:sz w:val="20"/>
              </w:rPr>
              <w:t>Is_International</w:t>
            </w:r>
          </w:p>
        </w:tc>
        <w:tc>
          <w:tcPr>
            <w:tcW w:type="dxa" w:w="1701"/>
          </w:tcPr>
          <w:p>
            <w:r>
              <w:rPr>
                <w:color w:val="1F2328"/>
                <w:sz w:val="20"/>
              </w:rPr>
              <w:t>Binary</w:t>
            </w:r>
          </w:p>
        </w:tc>
        <w:tc>
          <w:tcPr>
            <w:tcW w:type="dxa" w:w="4535"/>
          </w:tcPr>
          <w:p>
            <w:r>
              <w:rPr>
                <w:color w:val="1F2328"/>
                <w:sz w:val="20"/>
              </w:rPr>
              <w:t>1 = transaction originates internationally</w:t>
            </w:r>
          </w:p>
        </w:tc>
      </w:tr>
      <w:tr>
        <w:tc>
          <w:tcPr>
            <w:tcW w:type="dxa" w:w="3118"/>
          </w:tcPr>
          <w:p>
            <w:r>
              <w:rPr>
                <w:color w:val="1F2328"/>
                <w:sz w:val="20"/>
              </w:rPr>
              <w:t>Sender_Location</w:t>
            </w:r>
          </w:p>
        </w:tc>
        <w:tc>
          <w:tcPr>
            <w:tcW w:type="dxa" w:w="1701"/>
          </w:tcPr>
          <w:p>
            <w:r>
              <w:rPr>
                <w:color w:val="1F2328"/>
                <w:sz w:val="20"/>
              </w:rPr>
              <w:t>String</w:t>
            </w:r>
          </w:p>
        </w:tc>
        <w:tc>
          <w:tcPr>
            <w:tcW w:type="dxa" w:w="4535"/>
          </w:tcPr>
          <w:p>
            <w:r>
              <w:rPr>
                <w:color w:val="1F2328"/>
                <w:sz w:val="20"/>
              </w:rPr>
              <w:t>City/region of sender</w:t>
            </w:r>
          </w:p>
        </w:tc>
      </w:tr>
      <w:tr>
        <w:tc>
          <w:tcPr>
            <w:tcW w:type="dxa" w:w="3118"/>
          </w:tcPr>
          <w:p>
            <w:r>
              <w:rPr>
                <w:color w:val="1F2328"/>
                <w:sz w:val="20"/>
              </w:rPr>
              <w:t>Receiver_Location</w:t>
            </w:r>
          </w:p>
        </w:tc>
        <w:tc>
          <w:tcPr>
            <w:tcW w:type="dxa" w:w="1701"/>
          </w:tcPr>
          <w:p>
            <w:r>
              <w:rPr>
                <w:color w:val="1F2328"/>
                <w:sz w:val="20"/>
              </w:rPr>
              <w:t>String</w:t>
            </w:r>
          </w:p>
        </w:tc>
        <w:tc>
          <w:tcPr>
            <w:tcW w:type="dxa" w:w="4535"/>
          </w:tcPr>
          <w:p>
            <w:r>
              <w:rPr>
                <w:color w:val="1F2328"/>
                <w:sz w:val="20"/>
              </w:rPr>
              <w:t>City/region of receiver</w:t>
            </w:r>
          </w:p>
        </w:tc>
      </w:tr>
      <w:tr>
        <w:tc>
          <w:tcPr>
            <w:tcW w:type="dxa" w:w="3118"/>
          </w:tcPr>
          <w:p>
            <w:r>
              <w:rPr>
                <w:color w:val="1F2328"/>
                <w:sz w:val="20"/>
              </w:rPr>
              <w:t>Account_Age_Days</w:t>
            </w:r>
          </w:p>
        </w:tc>
        <w:tc>
          <w:tcPr>
            <w:tcW w:type="dxa" w:w="1701"/>
          </w:tcPr>
          <w:p>
            <w:r>
              <w:rPr>
                <w:color w:val="1F2328"/>
                <w:sz w:val="20"/>
              </w:rPr>
              <w:t>Integer</w:t>
            </w:r>
          </w:p>
        </w:tc>
        <w:tc>
          <w:tcPr>
            <w:tcW w:type="dxa" w:w="4535"/>
          </w:tcPr>
          <w:p>
            <w:r>
              <w:rPr>
                <w:color w:val="1F2328"/>
                <w:sz w:val="20"/>
              </w:rPr>
              <w:t>Age of sender account in days</w:t>
            </w:r>
          </w:p>
        </w:tc>
      </w:tr>
      <w:tr>
        <w:tc>
          <w:tcPr>
            <w:tcW w:type="dxa" w:w="3118"/>
          </w:tcPr>
          <w:p>
            <w:r>
              <w:rPr>
                <w:color w:val="1F2328"/>
                <w:sz w:val="20"/>
              </w:rPr>
              <w:t>Failed_Attempts</w:t>
            </w:r>
          </w:p>
        </w:tc>
        <w:tc>
          <w:tcPr>
            <w:tcW w:type="dxa" w:w="1701"/>
          </w:tcPr>
          <w:p>
            <w:r>
              <w:rPr>
                <w:color w:val="1F2328"/>
                <w:sz w:val="20"/>
              </w:rPr>
              <w:t>Integer</w:t>
            </w:r>
          </w:p>
        </w:tc>
        <w:tc>
          <w:tcPr>
            <w:tcW w:type="dxa" w:w="4535"/>
          </w:tcPr>
          <w:p>
            <w:r>
              <w:rPr>
                <w:color w:val="1F2328"/>
                <w:sz w:val="20"/>
              </w:rPr>
              <w:t>Number of failed auth attempts</w:t>
            </w:r>
          </w:p>
        </w:tc>
      </w:tr>
      <w:tr>
        <w:tc>
          <w:tcPr>
            <w:tcW w:type="dxa" w:w="3118"/>
          </w:tcPr>
          <w:p>
            <w:r>
              <w:rPr>
                <w:color w:val="1F2328"/>
                <w:sz w:val="20"/>
              </w:rPr>
              <w:t>Transactions_Last_24_Hours</w:t>
            </w:r>
          </w:p>
        </w:tc>
        <w:tc>
          <w:tcPr>
            <w:tcW w:type="dxa" w:w="1701"/>
          </w:tcPr>
          <w:p>
            <w:r>
              <w:rPr>
                <w:color w:val="1F2328"/>
                <w:sz w:val="20"/>
              </w:rPr>
              <w:t>Integer</w:t>
            </w:r>
          </w:p>
        </w:tc>
        <w:tc>
          <w:tcPr>
            <w:tcW w:type="dxa" w:w="4535"/>
          </w:tcPr>
          <w:p>
            <w:r>
              <w:rPr>
                <w:color w:val="1F2328"/>
                <w:sz w:val="20"/>
              </w:rPr>
              <w:t>Transaction velocity: last 24 h</w:t>
            </w:r>
          </w:p>
        </w:tc>
      </w:tr>
      <w:tr>
        <w:tc>
          <w:tcPr>
            <w:tcW w:type="dxa" w:w="3118"/>
          </w:tcPr>
          <w:p>
            <w:r>
              <w:rPr>
                <w:color w:val="1F2328"/>
                <w:sz w:val="20"/>
              </w:rPr>
              <w:t>Transactions_Last_7_Days</w:t>
            </w:r>
          </w:p>
        </w:tc>
        <w:tc>
          <w:tcPr>
            <w:tcW w:type="dxa" w:w="1701"/>
          </w:tcPr>
          <w:p>
            <w:r>
              <w:rPr>
                <w:color w:val="1F2328"/>
                <w:sz w:val="20"/>
              </w:rPr>
              <w:t>Integer</w:t>
            </w:r>
          </w:p>
        </w:tc>
        <w:tc>
          <w:tcPr>
            <w:tcW w:type="dxa" w:w="4535"/>
          </w:tcPr>
          <w:p>
            <w:r>
              <w:rPr>
                <w:color w:val="1F2328"/>
                <w:sz w:val="20"/>
              </w:rPr>
              <w:t>Transaction velocity: last 7 days</w:t>
            </w:r>
          </w:p>
        </w:tc>
      </w:tr>
      <w:tr>
        <w:tc>
          <w:tcPr>
            <w:tcW w:type="dxa" w:w="3118"/>
          </w:tcPr>
          <w:p>
            <w:r>
              <w:rPr>
                <w:color w:val="1F2328"/>
                <w:sz w:val="20"/>
              </w:rPr>
              <w:t>Risk_Score</w:t>
            </w:r>
          </w:p>
        </w:tc>
        <w:tc>
          <w:tcPr>
            <w:tcW w:type="dxa" w:w="1701"/>
          </w:tcPr>
          <w:p>
            <w:r>
              <w:rPr>
                <w:color w:val="1F2328"/>
                <w:sz w:val="20"/>
              </w:rPr>
              <w:t>Integer</w:t>
            </w:r>
          </w:p>
        </w:tc>
        <w:tc>
          <w:tcPr>
            <w:tcW w:type="dxa" w:w="4535"/>
          </w:tcPr>
          <w:p>
            <w:r>
              <w:rPr>
                <w:color w:val="1F2328"/>
                <w:sz w:val="20"/>
              </w:rPr>
              <w:t>Pre-computed score 0–100 (dataset column)</w:t>
            </w:r>
          </w:p>
        </w:tc>
      </w:tr>
      <w:tr>
        <w:tc>
          <w:tcPr>
            <w:tcW w:type="dxa" w:w="3118"/>
          </w:tcPr>
          <w:p>
            <w:r>
              <w:rPr>
                <w:color w:val="1F2328"/>
                <w:sz w:val="20"/>
              </w:rPr>
              <w:t>Risk_Level</w:t>
            </w:r>
          </w:p>
        </w:tc>
        <w:tc>
          <w:tcPr>
            <w:tcW w:type="dxa" w:w="1701"/>
          </w:tcPr>
          <w:p>
            <w:r>
              <w:rPr>
                <w:color w:val="1F2328"/>
                <w:sz w:val="20"/>
              </w:rPr>
              <w:t>Category</w:t>
            </w:r>
          </w:p>
        </w:tc>
        <w:tc>
          <w:tcPr>
            <w:tcW w:type="dxa" w:w="4535"/>
          </w:tcPr>
          <w:p>
            <w:r>
              <w:rPr>
                <w:color w:val="1F2328"/>
                <w:sz w:val="20"/>
              </w:rPr>
              <w:t>Low / Medium / High / Critical</w:t>
            </w:r>
          </w:p>
        </w:tc>
      </w:tr>
      <w:tr>
        <w:tc>
          <w:tcPr>
            <w:tcW w:type="dxa" w:w="3118"/>
          </w:tcPr>
          <w:p>
            <w:r>
              <w:rPr>
                <w:color w:val="1F2328"/>
                <w:sz w:val="20"/>
              </w:rPr>
              <w:t>Fraud_Label</w:t>
            </w:r>
          </w:p>
        </w:tc>
        <w:tc>
          <w:tcPr>
            <w:tcW w:type="dxa" w:w="1701"/>
          </w:tcPr>
          <w:p>
            <w:r>
              <w:rPr>
                <w:color w:val="1F2328"/>
                <w:sz w:val="20"/>
              </w:rPr>
              <w:t>Binary</w:t>
            </w:r>
          </w:p>
        </w:tc>
        <w:tc>
          <w:tcPr>
            <w:tcW w:type="dxa" w:w="4535"/>
          </w:tcPr>
          <w:p>
            <w:r>
              <w:rPr>
                <w:color w:val="1F2328"/>
                <w:sz w:val="20"/>
              </w:rPr>
              <w:t>Ground truth: 1 = Fraud, 0 = Legitimate</w:t>
            </w:r>
          </w:p>
        </w:tc>
      </w:tr>
      <w:tr>
        <w:tc>
          <w:tcPr>
            <w:tcW w:type="dxa" w:w="3118"/>
          </w:tcPr>
          <w:p>
            <w:r>
              <w:rPr>
                <w:color w:val="1F2328"/>
                <w:sz w:val="20"/>
              </w:rPr>
              <w:t>Sender_Age_Group</w:t>
            </w:r>
          </w:p>
        </w:tc>
        <w:tc>
          <w:tcPr>
            <w:tcW w:type="dxa" w:w="1701"/>
          </w:tcPr>
          <w:p>
            <w:r>
              <w:rPr>
                <w:color w:val="1F2328"/>
                <w:sz w:val="20"/>
              </w:rPr>
              <w:t>Category</w:t>
            </w:r>
          </w:p>
        </w:tc>
        <w:tc>
          <w:tcPr>
            <w:tcW w:type="dxa" w:w="4535"/>
          </w:tcPr>
          <w:p>
            <w:r>
              <w:rPr>
                <w:color w:val="1F2328"/>
                <w:sz w:val="20"/>
              </w:rPr>
              <w:t>Age group of sender</w:t>
            </w:r>
          </w:p>
        </w:tc>
      </w:tr>
    </w:tbl>
    <w:p/>
    <w:p>
      <w:pPr>
        <w:pStyle w:val="Heading1"/>
        <w:spacing w:before="200" w:after="80"/>
      </w:pPr>
      <w:r>
        <w:rPr>
          <w:b/>
          <w:color w:val="5B21B6"/>
          <w:sz w:val="28"/>
        </w:rPr>
        <w:t>6. Data Preparation</w:t>
      </w:r>
    </w:p>
    <w:p>
      <w:pPr>
        <w:spacing w:after="80"/>
      </w:pPr>
      <w:r>
        <w:rPr>
          <w:b w:val="0"/>
          <w:color w:val="1F2328"/>
          <w:sz w:val="21"/>
        </w:rPr>
        <w:t>Missing values identified: Receiver_Location: 20, Network_Type: 30, Average_Previous_Transaction_Amount_INR: 40. Imputation strategy: Receiver_Location filled with 'Unknown'; Network_Type filled with mode; Average_Previous_Transaction_Amount_INR filled with median.</w:t>
      </w:r>
    </w:p>
    <w:p>
      <w:pPr>
        <w:spacing w:after="80"/>
      </w:pPr>
      <w:r>
        <w:rPr>
          <w:b w:val="0"/>
          <w:color w:val="1F2328"/>
          <w:sz w:val="21"/>
        </w:rPr>
        <w:t>Duplicate rows removed: 0. Duplicate Transaction IDs removed: 11.</w:t>
      </w:r>
    </w:p>
    <w:p>
      <w:pPr>
        <w:spacing w:after="80"/>
      </w:pPr>
      <w:r>
        <w:rPr>
          <w:b w:val="0"/>
          <w:color w:val="1F2328"/>
          <w:sz w:val="21"/>
        </w:rPr>
        <w:t>Data leakage prevention: Risk_Score and Risk_Level columns are present in the dataset but are EXCLUDED from all ML model features (MODEL_FEATURES list). They are used only for risk-tier reporting. The custom rule-based Risk Score is computed from behavioral features only — Fraud_Label is never accessed during scoring.</w:t>
      </w:r>
    </w:p>
    <w:p>
      <w:pPr>
        <w:pStyle w:val="Heading1"/>
        <w:spacing w:before="200" w:after="80"/>
      </w:pPr>
      <w:r>
        <w:rPr>
          <w:b/>
          <w:color w:val="5B21B6"/>
          <w:sz w:val="28"/>
        </w:rPr>
        <w:t>7. Exploratory Data Analysis</w:t>
      </w:r>
    </w:p>
    <w:p>
      <w:pPr>
        <w:spacing w:after="80"/>
      </w:pPr>
      <w:r>
        <w:rPr>
          <w:b w:val="0"/>
          <w:color w:val="1F2328"/>
          <w:sz w:val="21"/>
        </w:rPr>
        <w:t>The following charts provide an overview of the transaction data distributions.</w:t>
      </w:r>
    </w:p>
    <w:p>
      <w:pPr>
        <w:jc w:val="center"/>
      </w:pPr>
      <w:r>
        <w:drawing>
          <wp:inline xmlns:a="http://schemas.openxmlformats.org/drawingml/2006/main" xmlns:pic="http://schemas.openxmlformats.org/drawingml/2006/picture">
            <wp:extent cx="5040000" cy="5365161"/>
            <wp:docPr id="1" name="Picture 1"/>
            <wp:cNvGraphicFramePr>
              <a:graphicFrameLocks noChangeAspect="1"/>
            </wp:cNvGraphicFramePr>
            <a:graphic>
              <a:graphicData uri="http://schemas.openxmlformats.org/drawingml/2006/picture">
                <pic:pic>
                  <pic:nvPicPr>
                    <pic:cNvPr id="0" name="01_transaction_status.png"/>
                    <pic:cNvPicPr/>
                  </pic:nvPicPr>
                  <pic:blipFill>
                    <a:blip r:embed="rId9"/>
                    <a:stretch>
                      <a:fillRect/>
                    </a:stretch>
                  </pic:blipFill>
                  <pic:spPr>
                    <a:xfrm>
                      <a:off x="0" y="0"/>
                      <a:ext cx="5040000" cy="5365161"/>
                    </a:xfrm>
                    <a:prstGeom prst="rect"/>
                  </pic:spPr>
                </pic:pic>
              </a:graphicData>
            </a:graphic>
          </wp:inline>
        </w:drawing>
      </w:r>
    </w:p>
    <w:p/>
    <w:p>
      <w:pPr>
        <w:jc w:val="center"/>
      </w:pPr>
      <w:r>
        <w:drawing>
          <wp:inline xmlns:a="http://schemas.openxmlformats.org/drawingml/2006/main" xmlns:pic="http://schemas.openxmlformats.org/drawingml/2006/picture">
            <wp:extent cx="5040000" cy="1950968"/>
            <wp:docPr id="2" name="Picture 2"/>
            <wp:cNvGraphicFramePr>
              <a:graphicFrameLocks noChangeAspect="1"/>
            </wp:cNvGraphicFramePr>
            <a:graphic>
              <a:graphicData uri="http://schemas.openxmlformats.org/drawingml/2006/picture">
                <pic:pic>
                  <pic:nvPicPr>
                    <pic:cNvPr id="0" name="02_fraud_distribution.png"/>
                    <pic:cNvPicPr/>
                  </pic:nvPicPr>
                  <pic:blipFill>
                    <a:blip r:embed="rId10"/>
                    <a:stretch>
                      <a:fillRect/>
                    </a:stretch>
                  </pic:blipFill>
                  <pic:spPr>
                    <a:xfrm>
                      <a:off x="0" y="0"/>
                      <a:ext cx="5040000" cy="1950968"/>
                    </a:xfrm>
                    <a:prstGeom prst="rect"/>
                  </pic:spPr>
                </pic:pic>
              </a:graphicData>
            </a:graphic>
          </wp:inline>
        </w:drawing>
      </w:r>
    </w:p>
    <w:p/>
    <w:p>
      <w:pPr>
        <w:jc w:val="center"/>
      </w:pPr>
      <w:r>
        <w:drawing>
          <wp:inline xmlns:a="http://schemas.openxmlformats.org/drawingml/2006/main" xmlns:pic="http://schemas.openxmlformats.org/drawingml/2006/picture">
            <wp:extent cx="5040000" cy="2179459"/>
            <wp:docPr id="3" name="Picture 3"/>
            <wp:cNvGraphicFramePr>
              <a:graphicFrameLocks noChangeAspect="1"/>
            </wp:cNvGraphicFramePr>
            <a:graphic>
              <a:graphicData uri="http://schemas.openxmlformats.org/drawingml/2006/picture">
                <pic:pic>
                  <pic:nvPicPr>
                    <pic:cNvPr id="0" name="03_fraud_by_type.png"/>
                    <pic:cNvPicPr/>
                  </pic:nvPicPr>
                  <pic:blipFill>
                    <a:blip r:embed="rId11"/>
                    <a:stretch>
                      <a:fillRect/>
                    </a:stretch>
                  </pic:blipFill>
                  <pic:spPr>
                    <a:xfrm>
                      <a:off x="0" y="0"/>
                      <a:ext cx="5040000" cy="2179459"/>
                    </a:xfrm>
                    <a:prstGeom prst="rect"/>
                  </pic:spPr>
                </pic:pic>
              </a:graphicData>
            </a:graphic>
          </wp:inline>
        </w:drawing>
      </w:r>
    </w:p>
    <w:p/>
    <w:p>
      <w:pPr>
        <w:jc w:val="center"/>
      </w:pPr>
      <w:r>
        <w:drawing>
          <wp:inline xmlns:a="http://schemas.openxmlformats.org/drawingml/2006/main" xmlns:pic="http://schemas.openxmlformats.org/drawingml/2006/picture">
            <wp:extent cx="5040000" cy="2181097"/>
            <wp:docPr id="4" name="Picture 4"/>
            <wp:cNvGraphicFramePr>
              <a:graphicFrameLocks noChangeAspect="1"/>
            </wp:cNvGraphicFramePr>
            <a:graphic>
              <a:graphicData uri="http://schemas.openxmlformats.org/drawingml/2006/picture">
                <pic:pic>
                  <pic:nvPicPr>
                    <pic:cNvPr id="0" name="04_fraud_by_device.png"/>
                    <pic:cNvPicPr/>
                  </pic:nvPicPr>
                  <pic:blipFill>
                    <a:blip r:embed="rId12"/>
                    <a:stretch>
                      <a:fillRect/>
                    </a:stretch>
                  </pic:blipFill>
                  <pic:spPr>
                    <a:xfrm>
                      <a:off x="0" y="0"/>
                      <a:ext cx="5040000" cy="2181097"/>
                    </a:xfrm>
                    <a:prstGeom prst="rect"/>
                  </pic:spPr>
                </pic:pic>
              </a:graphicData>
            </a:graphic>
          </wp:inline>
        </w:drawing>
      </w:r>
    </w:p>
    <w:p/>
    <w:p>
      <w:pPr>
        <w:jc w:val="center"/>
      </w:pPr>
      <w:r>
        <w:drawing>
          <wp:inline xmlns:a="http://schemas.openxmlformats.org/drawingml/2006/main" xmlns:pic="http://schemas.openxmlformats.org/drawingml/2006/picture">
            <wp:extent cx="5040000" cy="2460203"/>
            <wp:docPr id="5" name="Picture 5"/>
            <wp:cNvGraphicFramePr>
              <a:graphicFrameLocks noChangeAspect="1"/>
            </wp:cNvGraphicFramePr>
            <a:graphic>
              <a:graphicData uri="http://schemas.openxmlformats.org/drawingml/2006/picture">
                <pic:pic>
                  <pic:nvPicPr>
                    <pic:cNvPr id="0" name="05_risk_distribution.png"/>
                    <pic:cNvPicPr/>
                  </pic:nvPicPr>
                  <pic:blipFill>
                    <a:blip r:embed="rId13"/>
                    <a:stretch>
                      <a:fillRect/>
                    </a:stretch>
                  </pic:blipFill>
                  <pic:spPr>
                    <a:xfrm>
                      <a:off x="0" y="0"/>
                      <a:ext cx="5040000" cy="2460203"/>
                    </a:xfrm>
                    <a:prstGeom prst="rect"/>
                  </pic:spPr>
                </pic:pic>
              </a:graphicData>
            </a:graphic>
          </wp:inline>
        </w:drawing>
      </w:r>
    </w:p>
    <w:p/>
    <w:p>
      <w:pPr>
        <w:jc w:val="center"/>
      </w:pPr>
      <w:r>
        <w:drawing>
          <wp:inline xmlns:a="http://schemas.openxmlformats.org/drawingml/2006/main" xmlns:pic="http://schemas.openxmlformats.org/drawingml/2006/picture">
            <wp:extent cx="5040000" cy="1631838"/>
            <wp:docPr id="6" name="Picture 6"/>
            <wp:cNvGraphicFramePr>
              <a:graphicFrameLocks noChangeAspect="1"/>
            </wp:cNvGraphicFramePr>
            <a:graphic>
              <a:graphicData uri="http://schemas.openxmlformats.org/drawingml/2006/picture">
                <pic:pic>
                  <pic:nvPicPr>
                    <pic:cNvPr id="0" name="06_amount_distribution.png"/>
                    <pic:cNvPicPr/>
                  </pic:nvPicPr>
                  <pic:blipFill>
                    <a:blip r:embed="rId14"/>
                    <a:stretch>
                      <a:fillRect/>
                    </a:stretch>
                  </pic:blipFill>
                  <pic:spPr>
                    <a:xfrm>
                      <a:off x="0" y="0"/>
                      <a:ext cx="5040000" cy="1631838"/>
                    </a:xfrm>
                    <a:prstGeom prst="rect"/>
                  </pic:spPr>
                </pic:pic>
              </a:graphicData>
            </a:graphic>
          </wp:inline>
        </w:drawing>
      </w:r>
    </w:p>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A78BFA"/>
          </w:tcPr>
          <w:p>
            <w:r>
              <w:rPr>
                <w:b/>
                <w:color w:val="FFFFFF"/>
                <w:sz w:val="20"/>
              </w:rPr>
              <w:t>Transaction Type</w:t>
            </w:r>
          </w:p>
        </w:tc>
        <w:tc>
          <w:tcPr>
            <w:tcW w:type="dxa" w:w="1701"/>
            <w:shd w:val="clear" w:color="auto" w:fill="A78BFA"/>
          </w:tcPr>
          <w:p>
            <w:r>
              <w:rPr>
                <w:b/>
                <w:color w:val="FFFFFF"/>
                <w:sz w:val="20"/>
              </w:rPr>
              <w:t>Fraud Count</w:t>
            </w:r>
          </w:p>
        </w:tc>
        <w:tc>
          <w:tcPr>
            <w:tcW w:type="dxa" w:w="1701"/>
            <w:shd w:val="clear" w:color="auto" w:fill="A78BFA"/>
          </w:tcPr>
          <w:p>
            <w:r>
              <w:rPr>
                <w:b/>
                <w:color w:val="FFFFFF"/>
                <w:sz w:val="20"/>
              </w:rPr>
              <w:t>Total</w:t>
            </w:r>
          </w:p>
        </w:tc>
        <w:tc>
          <w:tcPr>
            <w:tcW w:type="dxa" w:w="1701"/>
            <w:shd w:val="clear" w:color="auto" w:fill="A78BFA"/>
          </w:tcPr>
          <w:p>
            <w:r>
              <w:rPr>
                <w:b/>
                <w:color w:val="FFFFFF"/>
                <w:sz w:val="20"/>
              </w:rPr>
              <w:t>Fraud Rate %</w:t>
            </w:r>
          </w:p>
        </w:tc>
      </w:tr>
      <w:tr>
        <w:tc>
          <w:tcPr>
            <w:tcW w:type="dxa" w:w="2835"/>
          </w:tcPr>
          <w:p>
            <w:r>
              <w:rPr>
                <w:color w:val="1F2328"/>
                <w:sz w:val="20"/>
              </w:rPr>
              <w:t>Bank Transfer</w:t>
            </w:r>
          </w:p>
        </w:tc>
        <w:tc>
          <w:tcPr>
            <w:tcW w:type="dxa" w:w="1701"/>
          </w:tcPr>
          <w:p>
            <w:r>
              <w:rPr>
                <w:color w:val="1F2328"/>
                <w:sz w:val="20"/>
              </w:rPr>
              <w:t>22</w:t>
            </w:r>
          </w:p>
        </w:tc>
        <w:tc>
          <w:tcPr>
            <w:tcW w:type="dxa" w:w="1701"/>
          </w:tcPr>
          <w:p>
            <w:r>
              <w:rPr>
                <w:color w:val="1F2328"/>
                <w:sz w:val="20"/>
              </w:rPr>
              <w:t>781</w:t>
            </w:r>
          </w:p>
        </w:tc>
        <w:tc>
          <w:tcPr>
            <w:tcW w:type="dxa" w:w="1701"/>
          </w:tcPr>
          <w:p>
            <w:r>
              <w:rPr>
                <w:color w:val="1F2328"/>
                <w:sz w:val="20"/>
              </w:rPr>
              <w:t>2.82</w:t>
            </w:r>
          </w:p>
        </w:tc>
      </w:tr>
      <w:tr>
        <w:tc>
          <w:tcPr>
            <w:tcW w:type="dxa" w:w="2835"/>
          </w:tcPr>
          <w:p>
            <w:r>
              <w:rPr>
                <w:color w:val="1F2328"/>
                <w:sz w:val="20"/>
              </w:rPr>
              <w:t>Bill Payment</w:t>
            </w:r>
          </w:p>
        </w:tc>
        <w:tc>
          <w:tcPr>
            <w:tcW w:type="dxa" w:w="1701"/>
          </w:tcPr>
          <w:p>
            <w:r>
              <w:rPr>
                <w:color w:val="1F2328"/>
                <w:sz w:val="20"/>
              </w:rPr>
              <w:t>21</w:t>
            </w:r>
          </w:p>
        </w:tc>
        <w:tc>
          <w:tcPr>
            <w:tcW w:type="dxa" w:w="1701"/>
          </w:tcPr>
          <w:p>
            <w:r>
              <w:rPr>
                <w:color w:val="1F2328"/>
                <w:sz w:val="20"/>
              </w:rPr>
              <w:t>1366</w:t>
            </w:r>
          </w:p>
        </w:tc>
        <w:tc>
          <w:tcPr>
            <w:tcW w:type="dxa" w:w="1701"/>
          </w:tcPr>
          <w:p>
            <w:r>
              <w:rPr>
                <w:color w:val="1F2328"/>
                <w:sz w:val="20"/>
              </w:rPr>
              <w:t>1.54</w:t>
            </w:r>
          </w:p>
        </w:tc>
      </w:tr>
      <w:tr>
        <w:tc>
          <w:tcPr>
            <w:tcW w:type="dxa" w:w="2835"/>
          </w:tcPr>
          <w:p>
            <w:r>
              <w:rPr>
                <w:color w:val="1F2328"/>
                <w:sz w:val="20"/>
              </w:rPr>
              <w:t>P2M</w:t>
            </w:r>
          </w:p>
        </w:tc>
        <w:tc>
          <w:tcPr>
            <w:tcW w:type="dxa" w:w="1701"/>
          </w:tcPr>
          <w:p>
            <w:r>
              <w:rPr>
                <w:color w:val="1F2328"/>
                <w:sz w:val="20"/>
              </w:rPr>
              <w:t>48</w:t>
            </w:r>
          </w:p>
        </w:tc>
        <w:tc>
          <w:tcPr>
            <w:tcW w:type="dxa" w:w="1701"/>
          </w:tcPr>
          <w:p>
            <w:r>
              <w:rPr>
                <w:color w:val="1F2328"/>
                <w:sz w:val="20"/>
              </w:rPr>
              <w:t>2769</w:t>
            </w:r>
          </w:p>
        </w:tc>
        <w:tc>
          <w:tcPr>
            <w:tcW w:type="dxa" w:w="1701"/>
          </w:tcPr>
          <w:p>
            <w:r>
              <w:rPr>
                <w:color w:val="1F2328"/>
                <w:sz w:val="20"/>
              </w:rPr>
              <w:t>1.73</w:t>
            </w:r>
          </w:p>
        </w:tc>
      </w:tr>
      <w:tr>
        <w:tc>
          <w:tcPr>
            <w:tcW w:type="dxa" w:w="2835"/>
          </w:tcPr>
          <w:p>
            <w:r>
              <w:rPr>
                <w:color w:val="1F2328"/>
                <w:sz w:val="20"/>
              </w:rPr>
              <w:t>P2P</w:t>
            </w:r>
          </w:p>
        </w:tc>
        <w:tc>
          <w:tcPr>
            <w:tcW w:type="dxa" w:w="1701"/>
          </w:tcPr>
          <w:p>
            <w:r>
              <w:rPr>
                <w:color w:val="1F2328"/>
                <w:sz w:val="20"/>
              </w:rPr>
              <w:t>67</w:t>
            </w:r>
          </w:p>
        </w:tc>
        <w:tc>
          <w:tcPr>
            <w:tcW w:type="dxa" w:w="1701"/>
          </w:tcPr>
          <w:p>
            <w:r>
              <w:rPr>
                <w:color w:val="1F2328"/>
                <w:sz w:val="20"/>
              </w:rPr>
              <w:t>4162</w:t>
            </w:r>
          </w:p>
        </w:tc>
        <w:tc>
          <w:tcPr>
            <w:tcW w:type="dxa" w:w="1701"/>
          </w:tcPr>
          <w:p>
            <w:r>
              <w:rPr>
                <w:color w:val="1F2328"/>
                <w:sz w:val="20"/>
              </w:rPr>
              <w:t>1.61</w:t>
            </w:r>
          </w:p>
        </w:tc>
      </w:tr>
      <w:tr>
        <w:tc>
          <w:tcPr>
            <w:tcW w:type="dxa" w:w="2835"/>
          </w:tcPr>
          <w:p>
            <w:r>
              <w:rPr>
                <w:color w:val="1F2328"/>
                <w:sz w:val="20"/>
              </w:rPr>
              <w:t>Recharge</w:t>
            </w:r>
          </w:p>
        </w:tc>
        <w:tc>
          <w:tcPr>
            <w:tcW w:type="dxa" w:w="1701"/>
          </w:tcPr>
          <w:p>
            <w:r>
              <w:rPr>
                <w:color w:val="1F2328"/>
                <w:sz w:val="20"/>
              </w:rPr>
              <w:t>16</w:t>
            </w:r>
          </w:p>
        </w:tc>
        <w:tc>
          <w:tcPr>
            <w:tcW w:type="dxa" w:w="1701"/>
          </w:tcPr>
          <w:p>
            <w:r>
              <w:rPr>
                <w:color w:val="1F2328"/>
                <w:sz w:val="20"/>
              </w:rPr>
              <w:t>911</w:t>
            </w:r>
          </w:p>
        </w:tc>
        <w:tc>
          <w:tcPr>
            <w:tcW w:type="dxa" w:w="1701"/>
          </w:tcPr>
          <w:p>
            <w:r>
              <w:rPr>
                <w:color w:val="1F2328"/>
                <w:sz w:val="20"/>
              </w:rPr>
              <w:t>1.76</w:t>
            </w:r>
          </w:p>
        </w:tc>
      </w:tr>
    </w:tbl>
    <w:p/>
    <w:p>
      <w:pPr>
        <w:pStyle w:val="Heading1"/>
        <w:spacing w:before="200" w:after="80"/>
      </w:pPr>
      <w:r>
        <w:rPr>
          <w:b/>
          <w:color w:val="5B21B6"/>
          <w:sz w:val="28"/>
        </w:rPr>
        <w:t>8. Fraud Risk Analysis</w:t>
      </w:r>
    </w:p>
    <w:p>
      <w:pPr>
        <w:jc w:val="center"/>
      </w:pPr>
      <w:r>
        <w:drawing>
          <wp:inline xmlns:a="http://schemas.openxmlformats.org/drawingml/2006/main" xmlns:pic="http://schemas.openxmlformats.org/drawingml/2006/picture">
            <wp:extent cx="4680000" cy="2284475"/>
            <wp:docPr id="7" name="Picture 7"/>
            <wp:cNvGraphicFramePr>
              <a:graphicFrameLocks noChangeAspect="1"/>
            </wp:cNvGraphicFramePr>
            <a:graphic>
              <a:graphicData uri="http://schemas.openxmlformats.org/drawingml/2006/picture">
                <pic:pic>
                  <pic:nvPicPr>
                    <pic:cNvPr id="0" name="05_risk_distribution.png"/>
                    <pic:cNvPicPr/>
                  </pic:nvPicPr>
                  <pic:blipFill>
                    <a:blip r:embed="rId13"/>
                    <a:stretch>
                      <a:fillRect/>
                    </a:stretch>
                  </pic:blipFill>
                  <pic:spPr>
                    <a:xfrm>
                      <a:off x="0" y="0"/>
                      <a:ext cx="4680000" cy="2284475"/>
                    </a:xfrm>
                    <a:prstGeom prst="rect"/>
                  </pic:spPr>
                </pic:pic>
              </a:graphicData>
            </a:graphic>
          </wp:inline>
        </w:drawing>
      </w:r>
    </w:p>
    <w:p/>
    <w:p>
      <w:pPr>
        <w:spacing w:after="80"/>
      </w:pPr>
      <w:r>
        <w:rPr>
          <w:b w:val="0"/>
          <w:color w:val="1F2328"/>
          <w:sz w:val="21"/>
        </w:rPr>
        <w:t>Risk Scoring Methodology: A transparent rule-based score (0–100) was computed using the following additive components: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A78BFA"/>
          </w:tcPr>
          <w:p>
            <w:r>
              <w:rPr>
                <w:b/>
                <w:color w:val="FFFFFF"/>
                <w:sz w:val="20"/>
              </w:rPr>
              <w:t>Risk Factor</w:t>
            </w:r>
          </w:p>
        </w:tc>
        <w:tc>
          <w:tcPr>
            <w:tcW w:type="dxa" w:w="2835"/>
            <w:shd w:val="clear" w:color="auto" w:fill="A78BFA"/>
          </w:tcPr>
          <w:p>
            <w:r>
              <w:rPr>
                <w:b/>
                <w:color w:val="FFFFFF"/>
                <w:sz w:val="20"/>
              </w:rPr>
              <w:t>Condition</w:t>
            </w:r>
          </w:p>
        </w:tc>
        <w:tc>
          <w:tcPr>
            <w:tcW w:type="dxa" w:w="1701"/>
            <w:shd w:val="clear" w:color="auto" w:fill="A78BFA"/>
          </w:tcPr>
          <w:p>
            <w:r>
              <w:rPr>
                <w:b/>
                <w:color w:val="FFFFFF"/>
                <w:sz w:val="20"/>
              </w:rPr>
              <w:t>Score Added</w:t>
            </w:r>
          </w:p>
        </w:tc>
      </w:tr>
      <w:tr>
        <w:tc>
          <w:tcPr>
            <w:tcW w:type="dxa" w:w="2835"/>
          </w:tcPr>
          <w:p>
            <w:r>
              <w:rPr>
                <w:color w:val="1F2328"/>
                <w:sz w:val="20"/>
              </w:rPr>
              <w:t>Amount vs Average Ratio</w:t>
            </w:r>
          </w:p>
        </w:tc>
        <w:tc>
          <w:tcPr>
            <w:tcW w:type="dxa" w:w="2835"/>
          </w:tcPr>
          <w:p>
            <w:r>
              <w:rPr>
                <w:color w:val="1F2328"/>
                <w:sz w:val="20"/>
              </w:rPr>
              <w:t>&gt; 5×</w:t>
            </w:r>
          </w:p>
        </w:tc>
        <w:tc>
          <w:tcPr>
            <w:tcW w:type="dxa" w:w="1701"/>
          </w:tcPr>
          <w:p>
            <w:r>
              <w:rPr>
                <w:color w:val="1F2328"/>
                <w:sz w:val="20"/>
              </w:rPr>
              <w:t>+25</w:t>
            </w:r>
          </w:p>
        </w:tc>
      </w:tr>
      <w:tr>
        <w:tc>
          <w:tcPr>
            <w:tcW w:type="dxa" w:w="2835"/>
          </w:tcPr>
          <w:p>
            <w:r>
              <w:rPr>
                <w:color w:val="1F2328"/>
                <w:sz w:val="20"/>
              </w:rPr>
              <w:t>Amount vs Average Ratio</w:t>
            </w:r>
          </w:p>
        </w:tc>
        <w:tc>
          <w:tcPr>
            <w:tcW w:type="dxa" w:w="2835"/>
          </w:tcPr>
          <w:p>
            <w:r>
              <w:rPr>
                <w:color w:val="1F2328"/>
                <w:sz w:val="20"/>
              </w:rPr>
              <w:t>3–5×</w:t>
            </w:r>
          </w:p>
        </w:tc>
        <w:tc>
          <w:tcPr>
            <w:tcW w:type="dxa" w:w="1701"/>
          </w:tcPr>
          <w:p>
            <w:r>
              <w:rPr>
                <w:color w:val="1F2328"/>
                <w:sz w:val="20"/>
              </w:rPr>
              <w:t>+15</w:t>
            </w:r>
          </w:p>
        </w:tc>
      </w:tr>
      <w:tr>
        <w:tc>
          <w:tcPr>
            <w:tcW w:type="dxa" w:w="2835"/>
          </w:tcPr>
          <w:p>
            <w:r>
              <w:rPr>
                <w:color w:val="1F2328"/>
                <w:sz w:val="20"/>
              </w:rPr>
              <w:t>Amount vs Average Ratio</w:t>
            </w:r>
          </w:p>
        </w:tc>
        <w:tc>
          <w:tcPr>
            <w:tcW w:type="dxa" w:w="2835"/>
          </w:tcPr>
          <w:p>
            <w:r>
              <w:rPr>
                <w:color w:val="1F2328"/>
                <w:sz w:val="20"/>
              </w:rPr>
              <w:t>2–3×</w:t>
            </w:r>
          </w:p>
        </w:tc>
        <w:tc>
          <w:tcPr>
            <w:tcW w:type="dxa" w:w="1701"/>
          </w:tcPr>
          <w:p>
            <w:r>
              <w:rPr>
                <w:color w:val="1F2328"/>
                <w:sz w:val="20"/>
              </w:rPr>
              <w:t>+8</w:t>
            </w:r>
          </w:p>
        </w:tc>
      </w:tr>
      <w:tr>
        <w:tc>
          <w:tcPr>
            <w:tcW w:type="dxa" w:w="2835"/>
          </w:tcPr>
          <w:p>
            <w:r>
              <w:rPr>
                <w:color w:val="1F2328"/>
                <w:sz w:val="20"/>
              </w:rPr>
              <w:t>New Device</w:t>
            </w:r>
          </w:p>
        </w:tc>
        <w:tc>
          <w:tcPr>
            <w:tcW w:type="dxa" w:w="2835"/>
          </w:tcPr>
          <w:p>
            <w:r>
              <w:rPr>
                <w:color w:val="1F2328"/>
                <w:sz w:val="20"/>
              </w:rPr>
              <w:t>Is_New_Device = 1</w:t>
            </w:r>
          </w:p>
        </w:tc>
        <w:tc>
          <w:tcPr>
            <w:tcW w:type="dxa" w:w="1701"/>
          </w:tcPr>
          <w:p>
            <w:r>
              <w:rPr>
                <w:color w:val="1F2328"/>
                <w:sz w:val="20"/>
              </w:rPr>
              <w:t>+15</w:t>
            </w:r>
          </w:p>
        </w:tc>
      </w:tr>
      <w:tr>
        <w:tc>
          <w:tcPr>
            <w:tcW w:type="dxa" w:w="2835"/>
          </w:tcPr>
          <w:p>
            <w:r>
              <w:rPr>
                <w:color w:val="1F2328"/>
                <w:sz w:val="20"/>
              </w:rPr>
              <w:t>Failed Attempts</w:t>
            </w:r>
          </w:p>
        </w:tc>
        <w:tc>
          <w:tcPr>
            <w:tcW w:type="dxa" w:w="2835"/>
          </w:tcPr>
          <w:p>
            <w:r>
              <w:rPr>
                <w:color w:val="1F2328"/>
                <w:sz w:val="20"/>
              </w:rPr>
              <w:t>≥ 3 attempts</w:t>
            </w:r>
          </w:p>
        </w:tc>
        <w:tc>
          <w:tcPr>
            <w:tcW w:type="dxa" w:w="1701"/>
          </w:tcPr>
          <w:p>
            <w:r>
              <w:rPr>
                <w:color w:val="1F2328"/>
                <w:sz w:val="20"/>
              </w:rPr>
              <w:t>+15</w:t>
            </w:r>
          </w:p>
        </w:tc>
      </w:tr>
      <w:tr>
        <w:tc>
          <w:tcPr>
            <w:tcW w:type="dxa" w:w="2835"/>
          </w:tcPr>
          <w:p>
            <w:r>
              <w:rPr>
                <w:color w:val="1F2328"/>
                <w:sz w:val="20"/>
              </w:rPr>
              <w:t>Failed Attempts</w:t>
            </w:r>
          </w:p>
        </w:tc>
        <w:tc>
          <w:tcPr>
            <w:tcW w:type="dxa" w:w="2835"/>
          </w:tcPr>
          <w:p>
            <w:r>
              <w:rPr>
                <w:color w:val="1F2328"/>
                <w:sz w:val="20"/>
              </w:rPr>
              <w:t>1–2 attempts</w:t>
            </w:r>
          </w:p>
        </w:tc>
        <w:tc>
          <w:tcPr>
            <w:tcW w:type="dxa" w:w="1701"/>
          </w:tcPr>
          <w:p>
            <w:r>
              <w:rPr>
                <w:color w:val="1F2328"/>
                <w:sz w:val="20"/>
              </w:rPr>
              <w:t>+8</w:t>
            </w:r>
          </w:p>
        </w:tc>
      </w:tr>
      <w:tr>
        <w:tc>
          <w:tcPr>
            <w:tcW w:type="dxa" w:w="2835"/>
          </w:tcPr>
          <w:p>
            <w:r>
              <w:rPr>
                <w:color w:val="1F2328"/>
                <w:sz w:val="20"/>
              </w:rPr>
              <w:t>Velocity (24h)</w:t>
            </w:r>
          </w:p>
        </w:tc>
        <w:tc>
          <w:tcPr>
            <w:tcW w:type="dxa" w:w="2835"/>
          </w:tcPr>
          <w:p>
            <w:r>
              <w:rPr>
                <w:color w:val="1F2328"/>
                <w:sz w:val="20"/>
              </w:rPr>
              <w:t>≥ 8 transactions</w:t>
            </w:r>
          </w:p>
        </w:tc>
        <w:tc>
          <w:tcPr>
            <w:tcW w:type="dxa" w:w="1701"/>
          </w:tcPr>
          <w:p>
            <w:r>
              <w:rPr>
                <w:color w:val="1F2328"/>
                <w:sz w:val="20"/>
              </w:rPr>
              <w:t>+15</w:t>
            </w:r>
          </w:p>
        </w:tc>
      </w:tr>
      <w:tr>
        <w:tc>
          <w:tcPr>
            <w:tcW w:type="dxa" w:w="2835"/>
          </w:tcPr>
          <w:p>
            <w:r>
              <w:rPr>
                <w:color w:val="1F2328"/>
                <w:sz w:val="20"/>
              </w:rPr>
              <w:t>Velocity (24h)</w:t>
            </w:r>
          </w:p>
        </w:tc>
        <w:tc>
          <w:tcPr>
            <w:tcW w:type="dxa" w:w="2835"/>
          </w:tcPr>
          <w:p>
            <w:r>
              <w:rPr>
                <w:color w:val="1F2328"/>
                <w:sz w:val="20"/>
              </w:rPr>
              <w:t>5–7 transactions</w:t>
            </w:r>
          </w:p>
        </w:tc>
        <w:tc>
          <w:tcPr>
            <w:tcW w:type="dxa" w:w="1701"/>
          </w:tcPr>
          <w:p>
            <w:r>
              <w:rPr>
                <w:color w:val="1F2328"/>
                <w:sz w:val="20"/>
              </w:rPr>
              <w:t>+8</w:t>
            </w:r>
          </w:p>
        </w:tc>
      </w:tr>
      <w:tr>
        <w:tc>
          <w:tcPr>
            <w:tcW w:type="dxa" w:w="2835"/>
          </w:tcPr>
          <w:p>
            <w:r>
              <w:rPr>
                <w:color w:val="1F2328"/>
                <w:sz w:val="20"/>
              </w:rPr>
              <w:t>Odd Hour</w:t>
            </w:r>
          </w:p>
        </w:tc>
        <w:tc>
          <w:tcPr>
            <w:tcW w:type="dxa" w:w="2835"/>
          </w:tcPr>
          <w:p>
            <w:r>
              <w:rPr>
                <w:color w:val="1F2328"/>
                <w:sz w:val="20"/>
              </w:rPr>
              <w:t>00:00–06:00</w:t>
            </w:r>
          </w:p>
        </w:tc>
        <w:tc>
          <w:tcPr>
            <w:tcW w:type="dxa" w:w="1701"/>
          </w:tcPr>
          <w:p>
            <w:r>
              <w:rPr>
                <w:color w:val="1F2328"/>
                <w:sz w:val="20"/>
              </w:rPr>
              <w:t>+10</w:t>
            </w:r>
          </w:p>
        </w:tc>
      </w:tr>
      <w:tr>
        <w:tc>
          <w:tcPr>
            <w:tcW w:type="dxa" w:w="2835"/>
          </w:tcPr>
          <w:p>
            <w:r>
              <w:rPr>
                <w:color w:val="1F2328"/>
                <w:sz w:val="20"/>
              </w:rPr>
              <w:t>Account Age</w:t>
            </w:r>
          </w:p>
        </w:tc>
        <w:tc>
          <w:tcPr>
            <w:tcW w:type="dxa" w:w="2835"/>
          </w:tcPr>
          <w:p>
            <w:r>
              <w:rPr>
                <w:color w:val="1F2328"/>
                <w:sz w:val="20"/>
              </w:rPr>
              <w:t>&lt; 90 days</w:t>
            </w:r>
          </w:p>
        </w:tc>
        <w:tc>
          <w:tcPr>
            <w:tcW w:type="dxa" w:w="1701"/>
          </w:tcPr>
          <w:p>
            <w:r>
              <w:rPr>
                <w:color w:val="1F2328"/>
                <w:sz w:val="20"/>
              </w:rPr>
              <w:t>+10</w:t>
            </w:r>
          </w:p>
        </w:tc>
      </w:tr>
      <w:tr>
        <w:tc>
          <w:tcPr>
            <w:tcW w:type="dxa" w:w="2835"/>
          </w:tcPr>
          <w:p>
            <w:r>
              <w:rPr>
                <w:color w:val="1F2328"/>
                <w:sz w:val="20"/>
              </w:rPr>
              <w:t>Account Age</w:t>
            </w:r>
          </w:p>
        </w:tc>
        <w:tc>
          <w:tcPr>
            <w:tcW w:type="dxa" w:w="2835"/>
          </w:tcPr>
          <w:p>
            <w:r>
              <w:rPr>
                <w:color w:val="1F2328"/>
                <w:sz w:val="20"/>
              </w:rPr>
              <w:t>90–180 days</w:t>
            </w:r>
          </w:p>
        </w:tc>
        <w:tc>
          <w:tcPr>
            <w:tcW w:type="dxa" w:w="1701"/>
          </w:tcPr>
          <w:p>
            <w:r>
              <w:rPr>
                <w:color w:val="1F2328"/>
                <w:sz w:val="20"/>
              </w:rPr>
              <w:t>+5</w:t>
            </w:r>
          </w:p>
        </w:tc>
      </w:tr>
      <w:tr>
        <w:tc>
          <w:tcPr>
            <w:tcW w:type="dxa" w:w="2835"/>
          </w:tcPr>
          <w:p>
            <w:r>
              <w:rPr>
                <w:color w:val="1F2328"/>
                <w:sz w:val="20"/>
              </w:rPr>
              <w:t>International</w:t>
            </w:r>
          </w:p>
        </w:tc>
        <w:tc>
          <w:tcPr>
            <w:tcW w:type="dxa" w:w="2835"/>
          </w:tcPr>
          <w:p>
            <w:r>
              <w:rPr>
                <w:color w:val="1F2328"/>
                <w:sz w:val="20"/>
              </w:rPr>
              <w:t>Is_International=1</w:t>
            </w:r>
          </w:p>
        </w:tc>
        <w:tc>
          <w:tcPr>
            <w:tcW w:type="dxa" w:w="1701"/>
          </w:tcPr>
          <w:p>
            <w:r>
              <w:rPr>
                <w:color w:val="1F2328"/>
                <w:sz w:val="20"/>
              </w:rPr>
              <w:t>+5</w:t>
            </w:r>
          </w:p>
        </w:tc>
      </w:tr>
      <w:tr>
        <w:tc>
          <w:tcPr>
            <w:tcW w:type="dxa" w:w="2835"/>
          </w:tcPr>
          <w:p>
            <w:r>
              <w:rPr>
                <w:color w:val="1F2328"/>
                <w:sz w:val="20"/>
              </w:rPr>
              <w:t>High Amount</w:t>
            </w:r>
          </w:p>
        </w:tc>
        <w:tc>
          <w:tcPr>
            <w:tcW w:type="dxa" w:w="2835"/>
          </w:tcPr>
          <w:p>
            <w:r>
              <w:rPr>
                <w:color w:val="1F2328"/>
                <w:sz w:val="20"/>
              </w:rPr>
              <w:t>&gt; ₹50,000</w:t>
            </w:r>
          </w:p>
        </w:tc>
        <w:tc>
          <w:tcPr>
            <w:tcW w:type="dxa" w:w="1701"/>
          </w:tcPr>
          <w:p>
            <w:r>
              <w:rPr>
                <w:color w:val="1F2328"/>
                <w:sz w:val="20"/>
              </w:rPr>
              <w:t>+10</w:t>
            </w:r>
          </w:p>
        </w:tc>
      </w:tr>
      <w:tr>
        <w:tc>
          <w:tcPr>
            <w:tcW w:type="dxa" w:w="2835"/>
          </w:tcPr>
          <w:p>
            <w:r>
              <w:rPr>
                <w:color w:val="1F2328"/>
                <w:sz w:val="20"/>
              </w:rPr>
              <w:t>High Amount</w:t>
            </w:r>
          </w:p>
        </w:tc>
        <w:tc>
          <w:tcPr>
            <w:tcW w:type="dxa" w:w="2835"/>
          </w:tcPr>
          <w:p>
            <w:r>
              <w:rPr>
                <w:color w:val="1F2328"/>
                <w:sz w:val="20"/>
              </w:rPr>
              <w:t>₹20,000–₹50,000</w:t>
            </w:r>
          </w:p>
        </w:tc>
        <w:tc>
          <w:tcPr>
            <w:tcW w:type="dxa" w:w="1701"/>
          </w:tcPr>
          <w:p>
            <w:r>
              <w:rPr>
                <w:color w:val="1F2328"/>
                <w:sz w:val="20"/>
              </w:rPr>
              <w:t>+5</w:t>
            </w:r>
          </w:p>
        </w:tc>
      </w:tr>
    </w:tbl>
    <w:p/>
    <w:p>
      <w:pPr>
        <w:spacing w:after="80"/>
      </w:pPr>
      <w:r>
        <w:rPr>
          <w:b w:val="0"/>
          <w:color w:val="1F2328"/>
          <w:sz w:val="21"/>
        </w:rPr>
        <w:t>Score Thresholds: Low (0–24) · Medium (25–49) · High (50–69) · Critical (≥70)</w:t>
      </w:r>
    </w:p>
    <w:p>
      <w:pPr>
        <w:spacing w:after="80"/>
      </w:pPr>
      <w:r>
        <w:rPr>
          <w:b w:val="0"/>
          <w:color w:val="1F2328"/>
          <w:sz w:val="21"/>
        </w:rPr>
        <w:t>Risk_Score correlation with Fraud_Label: 0.50 — indicating moderate predictive power without using ground-truth labels in the scoring formula.</w:t>
      </w:r>
    </w:p>
    <w:p>
      <w:pPr>
        <w:pStyle w:val="Heading1"/>
        <w:spacing w:before="200" w:after="80"/>
      </w:pPr>
      <w:r>
        <w:rPr>
          <w:b/>
          <w:color w:val="5B21B6"/>
          <w:sz w:val="28"/>
        </w:rPr>
        <w:t>9. Anomaly Detection</w:t>
      </w:r>
    </w:p>
    <w:p>
      <w:pPr>
        <w:jc w:val="center"/>
      </w:pPr>
      <w:r>
        <w:drawing>
          <wp:inline xmlns:a="http://schemas.openxmlformats.org/drawingml/2006/main" xmlns:pic="http://schemas.openxmlformats.org/drawingml/2006/picture">
            <wp:extent cx="4320000" cy="2415845"/>
            <wp:docPr id="8" name="Picture 8"/>
            <wp:cNvGraphicFramePr>
              <a:graphicFrameLocks noChangeAspect="1"/>
            </wp:cNvGraphicFramePr>
            <a:graphic>
              <a:graphicData uri="http://schemas.openxmlformats.org/drawingml/2006/picture">
                <pic:pic>
                  <pic:nvPicPr>
                    <pic:cNvPr id="0" name="07_anomaly_analysis.png"/>
                    <pic:cNvPicPr/>
                  </pic:nvPicPr>
                  <pic:blipFill>
                    <a:blip r:embed="rId15"/>
                    <a:stretch>
                      <a:fillRect/>
                    </a:stretch>
                  </pic:blipFill>
                  <pic:spPr>
                    <a:xfrm>
                      <a:off x="0" y="0"/>
                      <a:ext cx="4320000" cy="2415845"/>
                    </a:xfrm>
                    <a:prstGeom prst="rect"/>
                  </pic:spPr>
                </pic:pic>
              </a:graphicData>
            </a:graphic>
          </wp:inline>
        </w:drawing>
      </w:r>
    </w:p>
    <w:p/>
    <w:p>
      <w:pPr>
        <w:spacing w:after="80"/>
      </w:pPr>
      <w:r>
        <w:rPr>
          <w:b w:val="0"/>
          <w:color w:val="1F2328"/>
          <w:sz w:val="21"/>
        </w:rPr>
        <w:t>Algorithm: Isolation Forest with 200 estimators and 5% contamination rate.</w:t>
      </w:r>
    </w:p>
    <w:tbl>
      <w:tblPr>
        <w:tblStyle w:val="TableGrid"/>
        <w:tblW w:type="auto" w:w="0"/>
        <w:tblLook w:firstColumn="1" w:firstRow="1" w:lastColumn="0" w:lastRow="0" w:noHBand="0" w:noVBand="1" w:val="04A0"/>
      </w:tblPr>
      <w:tblGrid>
        <w:gridCol w:w="4703"/>
        <w:gridCol w:w="4703"/>
      </w:tblGrid>
      <w:tr>
        <w:tc>
          <w:tcPr>
            <w:tcW w:type="dxa" w:w="4535"/>
            <w:shd w:val="clear" w:color="auto" w:fill="A78BFA"/>
          </w:tcPr>
          <w:p>
            <w:r>
              <w:rPr>
                <w:b/>
                <w:color w:val="FFFFFF"/>
                <w:sz w:val="20"/>
              </w:rPr>
              <w:t>Metric</w:t>
            </w:r>
          </w:p>
        </w:tc>
        <w:tc>
          <w:tcPr>
            <w:tcW w:type="dxa" w:w="4535"/>
            <w:shd w:val="clear" w:color="auto" w:fill="A78BFA"/>
          </w:tcPr>
          <w:p>
            <w:r>
              <w:rPr>
                <w:b/>
                <w:color w:val="FFFFFF"/>
                <w:sz w:val="20"/>
              </w:rPr>
              <w:t>Value</w:t>
            </w:r>
          </w:p>
        </w:tc>
      </w:tr>
      <w:tr>
        <w:tc>
          <w:tcPr>
            <w:tcW w:type="dxa" w:w="4535"/>
          </w:tcPr>
          <w:p>
            <w:r>
              <w:rPr>
                <w:color w:val="1F2328"/>
                <w:sz w:val="20"/>
              </w:rPr>
              <w:t>Total Anomalies Detected</w:t>
            </w:r>
          </w:p>
        </w:tc>
        <w:tc>
          <w:tcPr>
            <w:tcW w:type="dxa" w:w="4535"/>
          </w:tcPr>
          <w:p>
            <w:r>
              <w:rPr>
                <w:color w:val="1F2328"/>
                <w:sz w:val="20"/>
              </w:rPr>
              <w:t>500 (5.0%)</w:t>
            </w:r>
          </w:p>
        </w:tc>
      </w:tr>
      <w:tr>
        <w:tc>
          <w:tcPr>
            <w:tcW w:type="dxa" w:w="4535"/>
          </w:tcPr>
          <w:p>
            <w:r>
              <w:rPr>
                <w:color w:val="1F2328"/>
                <w:sz w:val="20"/>
              </w:rPr>
              <w:t>Normal Transactions</w:t>
            </w:r>
          </w:p>
        </w:tc>
        <w:tc>
          <w:tcPr>
            <w:tcW w:type="dxa" w:w="4535"/>
          </w:tcPr>
          <w:p>
            <w:r>
              <w:rPr>
                <w:color w:val="1F2328"/>
                <w:sz w:val="20"/>
              </w:rPr>
              <w:t>9,489</w:t>
            </w:r>
          </w:p>
        </w:tc>
      </w:tr>
      <w:tr>
        <w:tc>
          <w:tcPr>
            <w:tcW w:type="dxa" w:w="4535"/>
          </w:tcPr>
          <w:p>
            <w:r>
              <w:rPr>
                <w:color w:val="1F2328"/>
                <w:sz w:val="20"/>
              </w:rPr>
              <w:t>Fraud Cases in Anomalies</w:t>
            </w:r>
          </w:p>
        </w:tc>
        <w:tc>
          <w:tcPr>
            <w:tcW w:type="dxa" w:w="4535"/>
          </w:tcPr>
          <w:p>
            <w:r>
              <w:rPr>
                <w:color w:val="1F2328"/>
                <w:sz w:val="20"/>
              </w:rPr>
              <w:t>15</w:t>
            </w:r>
          </w:p>
        </w:tc>
      </w:tr>
      <w:tr>
        <w:tc>
          <w:tcPr>
            <w:tcW w:type="dxa" w:w="4535"/>
          </w:tcPr>
          <w:p>
            <w:r>
              <w:rPr>
                <w:color w:val="1F2328"/>
                <w:sz w:val="20"/>
              </w:rPr>
              <w:t>Fraud Rate in Anomalies</w:t>
            </w:r>
          </w:p>
        </w:tc>
        <w:tc>
          <w:tcPr>
            <w:tcW w:type="dxa" w:w="4535"/>
          </w:tcPr>
          <w:p>
            <w:r>
              <w:rPr>
                <w:color w:val="1F2328"/>
                <w:sz w:val="20"/>
              </w:rPr>
              <w:t>3.00%</w:t>
            </w:r>
          </w:p>
        </w:tc>
      </w:tr>
      <w:tr>
        <w:tc>
          <w:tcPr>
            <w:tcW w:type="dxa" w:w="4535"/>
          </w:tcPr>
          <w:p>
            <w:r>
              <w:rPr>
                <w:color w:val="1F2328"/>
                <w:sz w:val="20"/>
              </w:rPr>
              <w:t>Baseline Fraud Rate</w:t>
            </w:r>
          </w:p>
        </w:tc>
        <w:tc>
          <w:tcPr>
            <w:tcW w:type="dxa" w:w="4535"/>
          </w:tcPr>
          <w:p>
            <w:r>
              <w:rPr>
                <w:color w:val="1F2328"/>
                <w:sz w:val="20"/>
              </w:rPr>
              <w:t>1.74%</w:t>
            </w:r>
          </w:p>
        </w:tc>
      </w:tr>
      <w:tr>
        <w:tc>
          <w:tcPr>
            <w:tcW w:type="dxa" w:w="4535"/>
          </w:tcPr>
          <w:p>
            <w:r>
              <w:rPr>
                <w:color w:val="1F2328"/>
                <w:sz w:val="20"/>
              </w:rPr>
              <w:t>Contamination Parameter</w:t>
            </w:r>
          </w:p>
        </w:tc>
        <w:tc>
          <w:tcPr>
            <w:tcW w:type="dxa" w:w="4535"/>
          </w:tcPr>
          <w:p>
            <w:r>
              <w:rPr>
                <w:color w:val="1F2328"/>
                <w:sz w:val="20"/>
              </w:rPr>
              <w:t>5%</w:t>
            </w:r>
          </w:p>
        </w:tc>
      </w:tr>
      <w:tr>
        <w:tc>
          <w:tcPr>
            <w:tcW w:type="dxa" w:w="4535"/>
          </w:tcPr>
          <w:p>
            <w:r>
              <w:rPr>
                <w:color w:val="1F2328"/>
                <w:sz w:val="20"/>
              </w:rPr>
              <w:t>n_estimators</w:t>
            </w:r>
          </w:p>
        </w:tc>
        <w:tc>
          <w:tcPr>
            <w:tcW w:type="dxa" w:w="4535"/>
          </w:tcPr>
          <w:p>
            <w:r>
              <w:rPr>
                <w:color w:val="1F2328"/>
                <w:sz w:val="20"/>
              </w:rPr>
              <w:t>200</w:t>
            </w:r>
          </w:p>
        </w:tc>
      </w:tr>
    </w:tbl>
    <w:p/>
    <w:p>
      <w:pPr>
        <w:pStyle w:val="Heading1"/>
        <w:spacing w:before="200" w:after="80"/>
      </w:pPr>
      <w:r>
        <w:rPr>
          <w:b/>
          <w:color w:val="5B21B6"/>
          <w:sz w:val="28"/>
        </w:rPr>
        <w:t>10. Machine Learning Methodology</w:t>
      </w:r>
    </w:p>
    <w:p>
      <w:pPr>
        <w:spacing w:after="80"/>
      </w:pPr>
      <w:r>
        <w:rPr>
          <w:b w:val="0"/>
          <w:color w:val="1F2328"/>
          <w:sz w:val="21"/>
        </w:rPr>
        <w:t>Two supervised classification models were trained to detect fraudulent transactions.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A78BFA"/>
          </w:tcPr>
          <w:p>
            <w:r>
              <w:rPr>
                <w:b/>
                <w:color w:val="FFFFFF"/>
                <w:sz w:val="20"/>
              </w:rPr>
              <w:t>Parameter</w:t>
            </w:r>
          </w:p>
        </w:tc>
        <w:tc>
          <w:tcPr>
            <w:tcW w:type="dxa" w:w="3118"/>
            <w:shd w:val="clear" w:color="auto" w:fill="A78BFA"/>
          </w:tcPr>
          <w:p>
            <w:r>
              <w:rPr>
                <w:b/>
                <w:color w:val="FFFFFF"/>
                <w:sz w:val="20"/>
              </w:rPr>
              <w:t>Logistic Regression</w:t>
            </w:r>
          </w:p>
        </w:tc>
        <w:tc>
          <w:tcPr>
            <w:tcW w:type="dxa" w:w="3402"/>
            <w:shd w:val="clear" w:color="auto" w:fill="A78BFA"/>
          </w:tcPr>
          <w:p>
            <w:r>
              <w:rPr>
                <w:b/>
                <w:color w:val="FFFFFF"/>
                <w:sz w:val="20"/>
              </w:rPr>
              <w:t>Random Forest</w:t>
            </w:r>
          </w:p>
        </w:tc>
      </w:tr>
      <w:tr>
        <w:tc>
          <w:tcPr>
            <w:tcW w:type="dxa" w:w="2835"/>
          </w:tcPr>
          <w:p>
            <w:r>
              <w:rPr>
                <w:color w:val="1F2328"/>
                <w:sz w:val="20"/>
              </w:rPr>
              <w:t>Class weighting</w:t>
            </w:r>
          </w:p>
        </w:tc>
        <w:tc>
          <w:tcPr>
            <w:tcW w:type="dxa" w:w="3118"/>
          </w:tcPr>
          <w:p>
            <w:r>
              <w:rPr>
                <w:color w:val="1F2328"/>
                <w:sz w:val="20"/>
              </w:rPr>
              <w:t>balanced</w:t>
            </w:r>
          </w:p>
        </w:tc>
        <w:tc>
          <w:tcPr>
            <w:tcW w:type="dxa" w:w="3402"/>
          </w:tcPr>
          <w:p>
            <w:r>
              <w:rPr>
                <w:color w:val="1F2328"/>
                <w:sz w:val="20"/>
              </w:rPr>
              <w:t>balanced</w:t>
            </w:r>
          </w:p>
        </w:tc>
      </w:tr>
      <w:tr>
        <w:tc>
          <w:tcPr>
            <w:tcW w:type="dxa" w:w="2835"/>
          </w:tcPr>
          <w:p>
            <w:r>
              <w:rPr>
                <w:color w:val="1F2328"/>
                <w:sz w:val="20"/>
              </w:rPr>
              <w:t>Train/test split</w:t>
            </w:r>
          </w:p>
        </w:tc>
        <w:tc>
          <w:tcPr>
            <w:tcW w:type="dxa" w:w="3118"/>
          </w:tcPr>
          <w:p>
            <w:r>
              <w:rPr>
                <w:color w:val="1F2328"/>
                <w:sz w:val="20"/>
              </w:rPr>
              <w:t>80/20 stratified</w:t>
            </w:r>
          </w:p>
        </w:tc>
        <w:tc>
          <w:tcPr>
            <w:tcW w:type="dxa" w:w="3402"/>
          </w:tcPr>
          <w:p>
            <w:r>
              <w:rPr>
                <w:color w:val="1F2328"/>
                <w:sz w:val="20"/>
              </w:rPr>
              <w:t>80/20 stratified</w:t>
            </w:r>
          </w:p>
        </w:tc>
      </w:tr>
      <w:tr>
        <w:tc>
          <w:tcPr>
            <w:tcW w:type="dxa" w:w="2835"/>
          </w:tcPr>
          <w:p>
            <w:r>
              <w:rPr>
                <w:color w:val="1F2328"/>
                <w:sz w:val="20"/>
              </w:rPr>
              <w:t>Scaling</w:t>
            </w:r>
          </w:p>
        </w:tc>
        <w:tc>
          <w:tcPr>
            <w:tcW w:type="dxa" w:w="3118"/>
          </w:tcPr>
          <w:p>
            <w:r>
              <w:rPr>
                <w:color w:val="1F2328"/>
                <w:sz w:val="20"/>
              </w:rPr>
              <w:t>StandardScaler</w:t>
            </w:r>
          </w:p>
        </w:tc>
        <w:tc>
          <w:tcPr>
            <w:tcW w:type="dxa" w:w="3402"/>
          </w:tcPr>
          <w:p>
            <w:r>
              <w:rPr>
                <w:color w:val="1F2328"/>
                <w:sz w:val="20"/>
              </w:rPr>
              <w:t>None (tree-based)</w:t>
            </w:r>
          </w:p>
        </w:tc>
      </w:tr>
      <w:tr>
        <w:tc>
          <w:tcPr>
            <w:tcW w:type="dxa" w:w="2835"/>
          </w:tcPr>
          <w:p>
            <w:r>
              <w:rPr>
                <w:color w:val="1F2328"/>
                <w:sz w:val="20"/>
              </w:rPr>
              <w:t>Max iterations</w:t>
            </w:r>
          </w:p>
        </w:tc>
        <w:tc>
          <w:tcPr>
            <w:tcW w:type="dxa" w:w="3118"/>
          </w:tcPr>
          <w:p>
            <w:r>
              <w:rPr>
                <w:color w:val="1F2328"/>
                <w:sz w:val="20"/>
              </w:rPr>
              <w:t>1000</w:t>
            </w:r>
          </w:p>
        </w:tc>
        <w:tc>
          <w:tcPr>
            <w:tcW w:type="dxa" w:w="3402"/>
          </w:tcPr>
          <w:p>
            <w:r>
              <w:rPr>
                <w:color w:val="1F2328"/>
                <w:sz w:val="20"/>
              </w:rPr>
              <w:t>N/A</w:t>
            </w:r>
          </w:p>
        </w:tc>
      </w:tr>
      <w:tr>
        <w:tc>
          <w:tcPr>
            <w:tcW w:type="dxa" w:w="2835"/>
          </w:tcPr>
          <w:p>
            <w:r>
              <w:rPr>
                <w:color w:val="1F2328"/>
                <w:sz w:val="20"/>
              </w:rPr>
              <w:t>n_estimators</w:t>
            </w:r>
          </w:p>
        </w:tc>
        <w:tc>
          <w:tcPr>
            <w:tcW w:type="dxa" w:w="3118"/>
          </w:tcPr>
          <w:p>
            <w:r>
              <w:rPr>
                <w:color w:val="1F2328"/>
                <w:sz w:val="20"/>
              </w:rPr>
              <w:t>N/A</w:t>
            </w:r>
          </w:p>
        </w:tc>
        <w:tc>
          <w:tcPr>
            <w:tcW w:type="dxa" w:w="3402"/>
          </w:tcPr>
          <w:p>
            <w:r>
              <w:rPr>
                <w:color w:val="1F2328"/>
                <w:sz w:val="20"/>
              </w:rPr>
              <w:t>300</w:t>
            </w:r>
          </w:p>
        </w:tc>
      </w:tr>
      <w:tr>
        <w:tc>
          <w:tcPr>
            <w:tcW w:type="dxa" w:w="2835"/>
          </w:tcPr>
          <w:p>
            <w:r>
              <w:rPr>
                <w:color w:val="1F2328"/>
                <w:sz w:val="20"/>
              </w:rPr>
              <w:t>max_depth</w:t>
            </w:r>
          </w:p>
        </w:tc>
        <w:tc>
          <w:tcPr>
            <w:tcW w:type="dxa" w:w="3118"/>
          </w:tcPr>
          <w:p>
            <w:r>
              <w:rPr>
                <w:color w:val="1F2328"/>
                <w:sz w:val="20"/>
              </w:rPr>
              <w:t>N/A</w:t>
            </w:r>
          </w:p>
        </w:tc>
        <w:tc>
          <w:tcPr>
            <w:tcW w:type="dxa" w:w="3402"/>
          </w:tcPr>
          <w:p>
            <w:r>
              <w:rPr>
                <w:color w:val="1F2328"/>
                <w:sz w:val="20"/>
              </w:rPr>
              <w:t>12</w:t>
            </w:r>
          </w:p>
        </w:tc>
      </w:tr>
      <w:tr>
        <w:tc>
          <w:tcPr>
            <w:tcW w:type="dxa" w:w="2835"/>
          </w:tcPr>
          <w:p>
            <w:r>
              <w:rPr>
                <w:color w:val="1F2328"/>
                <w:sz w:val="20"/>
              </w:rPr>
              <w:t>Cross-validation</w:t>
            </w:r>
          </w:p>
        </w:tc>
        <w:tc>
          <w:tcPr>
            <w:tcW w:type="dxa" w:w="3118"/>
          </w:tcPr>
          <w:p>
            <w:r>
              <w:rPr>
                <w:color w:val="1F2328"/>
                <w:sz w:val="20"/>
              </w:rPr>
              <w:t>5-fold ROC-AUC</w:t>
            </w:r>
          </w:p>
        </w:tc>
        <w:tc>
          <w:tcPr>
            <w:tcW w:type="dxa" w:w="3402"/>
          </w:tcPr>
          <w:p>
            <w:r>
              <w:rPr>
                <w:color w:val="1F2328"/>
                <w:sz w:val="20"/>
              </w:rPr>
              <w:t>5-fold ROC-AUC</w:t>
            </w:r>
          </w:p>
        </w:tc>
      </w:tr>
      <w:tr>
        <w:tc>
          <w:tcPr>
            <w:tcW w:type="dxa" w:w="2835"/>
          </w:tcPr>
          <w:p>
            <w:r>
              <w:rPr>
                <w:color w:val="1F2328"/>
                <w:sz w:val="20"/>
              </w:rPr>
              <w:t>CV Mean ROC-AUC</w:t>
            </w:r>
          </w:p>
        </w:tc>
        <w:tc>
          <w:tcPr>
            <w:tcW w:type="dxa" w:w="3118"/>
          </w:tcPr>
          <w:p>
            <w:r>
              <w:rPr>
                <w:color w:val="1F2328"/>
                <w:sz w:val="20"/>
              </w:rPr>
              <w:t>0.553</w:t>
            </w:r>
          </w:p>
        </w:tc>
        <w:tc>
          <w:tcPr>
            <w:tcW w:type="dxa" w:w="3402"/>
          </w:tcPr>
          <w:p>
            <w:r>
              <w:rPr>
                <w:color w:val="1F2328"/>
                <w:sz w:val="20"/>
              </w:rPr>
              <w:t>0.5105</w:t>
            </w:r>
          </w:p>
        </w:tc>
      </w:tr>
      <w:tr>
        <w:tc>
          <w:tcPr>
            <w:tcW w:type="dxa" w:w="2835"/>
          </w:tcPr>
          <w:p>
            <w:r>
              <w:rPr>
                <w:color w:val="1F2328"/>
                <w:sz w:val="20"/>
              </w:rPr>
              <w:t>Features</w:t>
            </w:r>
          </w:p>
        </w:tc>
        <w:tc>
          <w:tcPr>
            <w:tcW w:type="dxa" w:w="3118"/>
          </w:tcPr>
          <w:p>
            <w:r>
              <w:rPr>
                <w:color w:val="1F2328"/>
                <w:sz w:val="20"/>
              </w:rPr>
              <w:t>20 numeric + dummies</w:t>
            </w:r>
          </w:p>
        </w:tc>
        <w:tc>
          <w:tcPr>
            <w:tcW w:type="dxa" w:w="3402"/>
          </w:tcPr>
          <w:p>
            <w:r>
              <w:rPr>
                <w:color w:val="1F2328"/>
                <w:sz w:val="20"/>
              </w:rPr>
              <w:t>20 numeric + dummies</w:t>
            </w:r>
          </w:p>
        </w:tc>
      </w:tr>
      <w:tr>
        <w:tc>
          <w:tcPr>
            <w:tcW w:type="dxa" w:w="2835"/>
          </w:tcPr>
          <w:p>
            <w:r>
              <w:rPr>
                <w:color w:val="1F2328"/>
                <w:sz w:val="20"/>
              </w:rPr>
              <w:t>Excluded features</w:t>
            </w:r>
          </w:p>
        </w:tc>
        <w:tc>
          <w:tcPr>
            <w:tcW w:type="dxa" w:w="3118"/>
          </w:tcPr>
          <w:p>
            <w:r>
              <w:rPr>
                <w:color w:val="1F2328"/>
                <w:sz w:val="20"/>
              </w:rPr>
              <w:t>Risk_Score, Risk_Level, Fraud_Label</w:t>
            </w:r>
          </w:p>
        </w:tc>
        <w:tc>
          <w:tcPr>
            <w:tcW w:type="dxa" w:w="3402"/>
          </w:tcPr>
          <w:p>
            <w:r>
              <w:rPr>
                <w:color w:val="1F2328"/>
                <w:sz w:val="20"/>
              </w:rPr>
              <w:t>Risk_Score, Risk_Level, Fraud_Label</w:t>
            </w:r>
          </w:p>
        </w:tc>
      </w:tr>
    </w:tbl>
    <w:p/>
    <w:p>
      <w:pPr>
        <w:pStyle w:val="Heading1"/>
        <w:spacing w:before="200" w:after="80"/>
      </w:pPr>
      <w:r>
        <w:rPr>
          <w:b/>
          <w:color w:val="5B21B6"/>
          <w:sz w:val="28"/>
        </w:rPr>
        <w:t>11. Model Evaluation</w:t>
      </w:r>
    </w:p>
    <w:p>
      <w:pPr>
        <w:jc w:val="center"/>
      </w:pPr>
      <w:r>
        <w:drawing>
          <wp:inline xmlns:a="http://schemas.openxmlformats.org/drawingml/2006/main" xmlns:pic="http://schemas.openxmlformats.org/drawingml/2006/picture">
            <wp:extent cx="5040000" cy="2475670"/>
            <wp:docPr id="9" name="Picture 9"/>
            <wp:cNvGraphicFramePr>
              <a:graphicFrameLocks noChangeAspect="1"/>
            </wp:cNvGraphicFramePr>
            <a:graphic>
              <a:graphicData uri="http://schemas.openxmlformats.org/drawingml/2006/picture">
                <pic:pic>
                  <pic:nvPicPr>
                    <pic:cNvPr id="0" name="08_model_comparison.png"/>
                    <pic:cNvPicPr/>
                  </pic:nvPicPr>
                  <pic:blipFill>
                    <a:blip r:embed="rId16"/>
                    <a:stretch>
                      <a:fillRect/>
                    </a:stretch>
                  </pic:blipFill>
                  <pic:spPr>
                    <a:xfrm>
                      <a:off x="0" y="0"/>
                      <a:ext cx="5040000" cy="2475670"/>
                    </a:xfrm>
                    <a:prstGeom prst="rect"/>
                  </pic:spPr>
                </pic:pic>
              </a:graphicData>
            </a:graphic>
          </wp:inline>
        </w:drawing>
      </w:r>
    </w:p>
    <w:p/>
    <w:p>
      <w:pPr>
        <w:jc w:val="center"/>
      </w:pPr>
      <w:r>
        <w:drawing>
          <wp:inline xmlns:a="http://schemas.openxmlformats.org/drawingml/2006/main" xmlns:pic="http://schemas.openxmlformats.org/drawingml/2006/picture">
            <wp:extent cx="5040000" cy="3559377"/>
            <wp:docPr id="10" name="Picture 10"/>
            <wp:cNvGraphicFramePr>
              <a:graphicFrameLocks noChangeAspect="1"/>
            </wp:cNvGraphicFramePr>
            <a:graphic>
              <a:graphicData uri="http://schemas.openxmlformats.org/drawingml/2006/picture">
                <pic:pic>
                  <pic:nvPicPr>
                    <pic:cNvPr id="0" name="09_roc_curves.png"/>
                    <pic:cNvPicPr/>
                  </pic:nvPicPr>
                  <pic:blipFill>
                    <a:blip r:embed="rId17"/>
                    <a:stretch>
                      <a:fillRect/>
                    </a:stretch>
                  </pic:blipFill>
                  <pic:spPr>
                    <a:xfrm>
                      <a:off x="0" y="0"/>
                      <a:ext cx="5040000" cy="3559377"/>
                    </a:xfrm>
                    <a:prstGeom prst="rect"/>
                  </pic:spPr>
                </pic:pic>
              </a:graphicData>
            </a:graphic>
          </wp:inline>
        </w:drawing>
      </w:r>
    </w:p>
    <w:p/>
    <w:p>
      <w:pPr>
        <w:jc w:val="center"/>
      </w:pPr>
      <w:r>
        <w:drawing>
          <wp:inline xmlns:a="http://schemas.openxmlformats.org/drawingml/2006/main" xmlns:pic="http://schemas.openxmlformats.org/drawingml/2006/picture">
            <wp:extent cx="5040000" cy="3275252"/>
            <wp:docPr id="11" name="Picture 11"/>
            <wp:cNvGraphicFramePr>
              <a:graphicFrameLocks noChangeAspect="1"/>
            </wp:cNvGraphicFramePr>
            <a:graphic>
              <a:graphicData uri="http://schemas.openxmlformats.org/drawingml/2006/picture">
                <pic:pic>
                  <pic:nvPicPr>
                    <pic:cNvPr id="0" name="10_feature_importance.png"/>
                    <pic:cNvPicPr/>
                  </pic:nvPicPr>
                  <pic:blipFill>
                    <a:blip r:embed="rId18"/>
                    <a:stretch>
                      <a:fillRect/>
                    </a:stretch>
                  </pic:blipFill>
                  <pic:spPr>
                    <a:xfrm>
                      <a:off x="0" y="0"/>
                      <a:ext cx="5040000" cy="3275252"/>
                    </a:xfrm>
                    <a:prstGeom prst="rect"/>
                  </pic:spPr>
                </pic:pic>
              </a:graphicData>
            </a:graphic>
          </wp:inline>
        </w:drawing>
      </w:r>
    </w:p>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A78BFA"/>
          </w:tcPr>
          <w:p>
            <w:r>
              <w:rPr>
                <w:b/>
                <w:color w:val="FFFFFF"/>
                <w:sz w:val="20"/>
              </w:rPr>
              <w:t>Metric</w:t>
            </w:r>
          </w:p>
        </w:tc>
        <w:tc>
          <w:tcPr>
            <w:tcW w:type="dxa" w:w="3118"/>
            <w:shd w:val="clear" w:color="auto" w:fill="A78BFA"/>
          </w:tcPr>
          <w:p>
            <w:r>
              <w:rPr>
                <w:b/>
                <w:color w:val="FFFFFF"/>
                <w:sz w:val="20"/>
              </w:rPr>
              <w:t>Logistic Regression</w:t>
            </w:r>
          </w:p>
        </w:tc>
        <w:tc>
          <w:tcPr>
            <w:tcW w:type="dxa" w:w="3118"/>
            <w:shd w:val="clear" w:color="auto" w:fill="A78BFA"/>
          </w:tcPr>
          <w:p>
            <w:r>
              <w:rPr>
                <w:b/>
                <w:color w:val="FFFFFF"/>
                <w:sz w:val="20"/>
              </w:rPr>
              <w:t>Random Forest</w:t>
            </w:r>
          </w:p>
        </w:tc>
      </w:tr>
      <w:tr>
        <w:tc>
          <w:tcPr>
            <w:tcW w:type="dxa" w:w="2835"/>
          </w:tcPr>
          <w:p>
            <w:r>
              <w:rPr>
                <w:color w:val="1F2328"/>
                <w:sz w:val="20"/>
              </w:rPr>
              <w:t>ROC-AUC</w:t>
            </w:r>
          </w:p>
        </w:tc>
        <w:tc>
          <w:tcPr>
            <w:tcW w:type="dxa" w:w="3118"/>
          </w:tcPr>
          <w:p>
            <w:r>
              <w:rPr>
                <w:color w:val="1F2328"/>
                <w:sz w:val="20"/>
              </w:rPr>
              <w:t>0.6352</w:t>
            </w:r>
          </w:p>
        </w:tc>
        <w:tc>
          <w:tcPr>
            <w:tcW w:type="dxa" w:w="3118"/>
          </w:tcPr>
          <w:p>
            <w:r>
              <w:rPr>
                <w:color w:val="1F2328"/>
                <w:sz w:val="20"/>
              </w:rPr>
              <w:t>0.5497</w:t>
            </w:r>
          </w:p>
        </w:tc>
      </w:tr>
      <w:tr>
        <w:tc>
          <w:tcPr>
            <w:tcW w:type="dxa" w:w="2835"/>
          </w:tcPr>
          <w:p>
            <w:r>
              <w:rPr>
                <w:color w:val="1F2328"/>
                <w:sz w:val="20"/>
              </w:rPr>
              <w:t>PR-AUC</w:t>
            </w:r>
          </w:p>
        </w:tc>
        <w:tc>
          <w:tcPr>
            <w:tcW w:type="dxa" w:w="3118"/>
          </w:tcPr>
          <w:p>
            <w:r>
              <w:rPr>
                <w:color w:val="1F2328"/>
                <w:sz w:val="20"/>
              </w:rPr>
              <w:t>0.0304</w:t>
            </w:r>
          </w:p>
        </w:tc>
        <w:tc>
          <w:tcPr>
            <w:tcW w:type="dxa" w:w="3118"/>
          </w:tcPr>
          <w:p>
            <w:r>
              <w:rPr>
                <w:color w:val="1F2328"/>
                <w:sz w:val="20"/>
              </w:rPr>
              <w:t>0.0261</w:t>
            </w:r>
          </w:p>
        </w:tc>
      </w:tr>
      <w:tr>
        <w:tc>
          <w:tcPr>
            <w:tcW w:type="dxa" w:w="2835"/>
          </w:tcPr>
          <w:p>
            <w:r>
              <w:rPr>
                <w:color w:val="1F2328"/>
                <w:sz w:val="20"/>
              </w:rPr>
              <w:t>Precision</w:t>
            </w:r>
          </w:p>
        </w:tc>
        <w:tc>
          <w:tcPr>
            <w:tcW w:type="dxa" w:w="3118"/>
          </w:tcPr>
          <w:p>
            <w:r>
              <w:rPr>
                <w:color w:val="1F2328"/>
                <w:sz w:val="20"/>
              </w:rPr>
              <w:t>0.0315</w:t>
            </w:r>
          </w:p>
        </w:tc>
        <w:tc>
          <w:tcPr>
            <w:tcW w:type="dxa" w:w="3118"/>
          </w:tcPr>
          <w:p>
            <w:r>
              <w:rPr>
                <w:color w:val="1F2328"/>
                <w:sz w:val="20"/>
              </w:rPr>
              <w:t>0.0833</w:t>
            </w:r>
          </w:p>
        </w:tc>
      </w:tr>
      <w:tr>
        <w:tc>
          <w:tcPr>
            <w:tcW w:type="dxa" w:w="2835"/>
          </w:tcPr>
          <w:p>
            <w:r>
              <w:rPr>
                <w:color w:val="1F2328"/>
                <w:sz w:val="20"/>
              </w:rPr>
              <w:t>Recall</w:t>
            </w:r>
          </w:p>
        </w:tc>
        <w:tc>
          <w:tcPr>
            <w:tcW w:type="dxa" w:w="3118"/>
          </w:tcPr>
          <w:p>
            <w:r>
              <w:rPr>
                <w:color w:val="1F2328"/>
                <w:sz w:val="20"/>
              </w:rPr>
              <w:t>0.6571</w:t>
            </w:r>
          </w:p>
        </w:tc>
        <w:tc>
          <w:tcPr>
            <w:tcW w:type="dxa" w:w="3118"/>
          </w:tcPr>
          <w:p>
            <w:r>
              <w:rPr>
                <w:color w:val="1F2328"/>
                <w:sz w:val="20"/>
              </w:rPr>
              <w:t>0.0286</w:t>
            </w:r>
          </w:p>
        </w:tc>
      </w:tr>
      <w:tr>
        <w:tc>
          <w:tcPr>
            <w:tcW w:type="dxa" w:w="2835"/>
          </w:tcPr>
          <w:p>
            <w:r>
              <w:rPr>
                <w:color w:val="1F2328"/>
                <w:sz w:val="20"/>
              </w:rPr>
              <w:t>F1 Score</w:t>
            </w:r>
          </w:p>
        </w:tc>
        <w:tc>
          <w:tcPr>
            <w:tcW w:type="dxa" w:w="3118"/>
          </w:tcPr>
          <w:p>
            <w:r>
              <w:rPr>
                <w:color w:val="1F2328"/>
                <w:sz w:val="20"/>
              </w:rPr>
              <w:t>0.0601</w:t>
            </w:r>
          </w:p>
        </w:tc>
        <w:tc>
          <w:tcPr>
            <w:tcW w:type="dxa" w:w="3118"/>
          </w:tcPr>
          <w:p>
            <w:r>
              <w:rPr>
                <w:color w:val="1F2328"/>
                <w:sz w:val="20"/>
              </w:rPr>
              <w:t>0.0426</w:t>
            </w:r>
          </w:p>
        </w:tc>
      </w:tr>
      <w:tr>
        <w:tc>
          <w:tcPr>
            <w:tcW w:type="dxa" w:w="2835"/>
          </w:tcPr>
          <w:p>
            <w:r>
              <w:rPr>
                <w:color w:val="1F2328"/>
                <w:sz w:val="20"/>
              </w:rPr>
              <w:t>Accuracy</w:t>
            </w:r>
          </w:p>
        </w:tc>
        <w:tc>
          <w:tcPr>
            <w:tcW w:type="dxa" w:w="3118"/>
          </w:tcPr>
          <w:p>
            <w:r>
              <w:rPr>
                <w:color w:val="1F2328"/>
                <w:sz w:val="20"/>
              </w:rPr>
              <w:t>0.6396</w:t>
            </w:r>
          </w:p>
        </w:tc>
        <w:tc>
          <w:tcPr>
            <w:tcW w:type="dxa" w:w="3118"/>
          </w:tcPr>
          <w:p>
            <w:r>
              <w:rPr>
                <w:color w:val="1F2328"/>
                <w:sz w:val="20"/>
              </w:rPr>
              <w:t>0.9775</w:t>
            </w:r>
          </w:p>
        </w:tc>
      </w:tr>
      <w:tr>
        <w:tc>
          <w:tcPr>
            <w:tcW w:type="dxa" w:w="2835"/>
          </w:tcPr>
          <w:p>
            <w:r>
              <w:rPr>
                <w:color w:val="1F2328"/>
                <w:sz w:val="20"/>
              </w:rPr>
              <w:t>CV Mean AUC</w:t>
            </w:r>
          </w:p>
        </w:tc>
        <w:tc>
          <w:tcPr>
            <w:tcW w:type="dxa" w:w="3118"/>
          </w:tcPr>
          <w:p>
            <w:r>
              <w:rPr>
                <w:color w:val="1F2328"/>
                <w:sz w:val="20"/>
              </w:rPr>
              <w:t>0.553</w:t>
            </w:r>
          </w:p>
        </w:tc>
        <w:tc>
          <w:tcPr>
            <w:tcW w:type="dxa" w:w="3118"/>
          </w:tcPr>
          <w:p>
            <w:r>
              <w:rPr>
                <w:color w:val="1F2328"/>
                <w:sz w:val="20"/>
              </w:rPr>
              <w:t>0.5105</w:t>
            </w:r>
          </w:p>
        </w:tc>
      </w:tr>
    </w:tbl>
    <w:p/>
    <w:p>
      <w:pPr>
        <w:spacing w:after="80"/>
      </w:pPr>
      <w:r>
        <w:rPr>
          <w:b w:val="0"/>
          <w:color w:val="1F2328"/>
          <w:sz w:val="21"/>
        </w:rPr>
        <w:t>Interpretation: Logistic Regression with class_weight='balanced' achieves superior recall (65.71%), catching the majority of fraud cases at the cost of lower precision (3.15%). Random Forest achieves higher precision (8.33%) but misses most fraud (recall 2.86%). For fraud detection, recall is the primary business metric — missed fraud is more costly than false alerts. LR is the recommended production model.</w:t>
      </w:r>
    </w:p>
    <w:p>
      <w:pPr>
        <w:pStyle w:val="Heading1"/>
        <w:spacing w:before="200" w:after="80"/>
      </w:pPr>
      <w:r>
        <w:rPr>
          <w:b/>
          <w:color w:val="5B21B6"/>
          <w:sz w:val="28"/>
        </w:rPr>
        <w:t>12. Key Findings</w:t>
      </w:r>
    </w:p>
    <w:p>
      <w:pPr>
        <w:pStyle w:val="ListBullet"/>
        <w:spacing w:after="40"/>
      </w:pPr>
      <w:r>
        <w:rPr>
          <w:color w:val="1F2328"/>
          <w:sz w:val="21"/>
        </w:rPr>
        <w:t>Dataset contains 9,989 transactions with a fraud rate of 1.74% (174 cases).</w:t>
      </w:r>
    </w:p>
    <w:p>
      <w:pPr>
        <w:pStyle w:val="ListBullet"/>
        <w:spacing w:after="40"/>
      </w:pPr>
      <w:r>
        <w:rPr>
          <w:color w:val="1F2328"/>
          <w:sz w:val="21"/>
        </w:rPr>
        <w:t>New-device transactions have a fraud rate of 3.86% — 2.2× the baseline rate.</w:t>
      </w:r>
    </w:p>
    <w:p>
      <w:pPr>
        <w:pStyle w:val="ListBullet"/>
        <w:spacing w:after="40"/>
      </w:pPr>
      <w:r>
        <w:rPr>
          <w:color w:val="1F2328"/>
          <w:sz w:val="21"/>
        </w:rPr>
        <w:t>Odd-hour (midnight–6 AM) transactions have a fraud rate of 3.89% — 2.2× the baseline rate.</w:t>
      </w:r>
    </w:p>
    <w:p>
      <w:pPr>
        <w:pStyle w:val="ListBullet"/>
        <w:spacing w:after="40"/>
      </w:pPr>
      <w:r>
        <w:rPr>
          <w:color w:val="1F2328"/>
          <w:sz w:val="21"/>
        </w:rPr>
        <w:t>High-value transactions (top 1% by amount) have a fraud rate of 5.0% — 2.9× the baseline.</w:t>
      </w:r>
    </w:p>
    <w:p>
      <w:pPr>
        <w:pStyle w:val="ListBullet"/>
        <w:spacing w:after="40"/>
      </w:pPr>
      <w:r>
        <w:rPr>
          <w:color w:val="1F2328"/>
          <w:sz w:val="21"/>
        </w:rPr>
        <w:t>High-velocity accounts (≥5 transactions in 24h) show elevated fraud elevation.</w:t>
      </w:r>
    </w:p>
    <w:p>
      <w:pPr>
        <w:pStyle w:val="ListBullet"/>
        <w:spacing w:after="40"/>
      </w:pPr>
      <w:r>
        <w:rPr>
          <w:color w:val="1F2328"/>
          <w:sz w:val="21"/>
        </w:rPr>
        <w:t>Isolation Forest flagged 500 anomalies (5.0% of dataset) using unsupervised learning.</w:t>
      </w:r>
    </w:p>
    <w:p>
      <w:pPr>
        <w:pStyle w:val="ListBullet"/>
        <w:spacing w:after="40"/>
      </w:pPr>
      <w:r>
        <w:rPr>
          <w:color w:val="1F2328"/>
          <w:sz w:val="21"/>
        </w:rPr>
        <w:t>Custom Risk_Score achieves Pearson correlation of 0.50 with Fraud_Label.</w:t>
      </w:r>
    </w:p>
    <w:p>
      <w:pPr>
        <w:pStyle w:val="ListBullet"/>
        <w:spacing w:after="40"/>
      </w:pPr>
      <w:r>
        <w:rPr>
          <w:color w:val="1F2328"/>
          <w:sz w:val="21"/>
        </w:rPr>
        <w:t>Logistic Regression (balanced) achieves recall of 65.71%, catching 2 in 3 fraud cases.</w:t>
      </w:r>
    </w:p>
    <w:p>
      <w:pPr>
        <w:pStyle w:val="ListBullet"/>
        <w:spacing w:after="40"/>
      </w:pPr>
      <w:r>
        <w:rPr>
          <w:color w:val="1F2328"/>
          <w:sz w:val="21"/>
        </w:rPr>
        <w:t>Random Forest achieves higher precision (8.33%) but misses 97% of fraud cases.</w:t>
      </w:r>
    </w:p>
    <w:p>
      <w:pPr>
        <w:pStyle w:val="ListBullet"/>
        <w:spacing w:after="40"/>
      </w:pPr>
      <w:r>
        <w:rPr>
          <w:color w:val="1F2328"/>
          <w:sz w:val="21"/>
        </w:rPr>
        <w:t>5-fold CV: LR mean AUC=0.553, RF mean AUC=0.511 — both models have room for improvement.</w:t>
      </w:r>
    </w:p>
    <w:p>
      <w:pPr>
        <w:pStyle w:val="ListBullet"/>
        <w:spacing w:after="40"/>
      </w:pPr>
      <w:r>
        <w:rPr>
          <w:color w:val="1F2328"/>
          <w:sz w:val="21"/>
        </w:rPr>
        <w:t>Risk_Score and Risk_Level are excluded from ML features to prevent data leakage.</w:t>
      </w:r>
    </w:p>
    <w:p>
      <w:pPr>
        <w:pStyle w:val="ListBullet"/>
        <w:spacing w:after="40"/>
      </w:pPr>
      <w:r>
        <w:rPr>
          <w:color w:val="1F2328"/>
          <w:sz w:val="21"/>
        </w:rPr>
        <w:t>The dataset is synthetic; production deployment requires validation on real transaction data.</w:t>
      </w:r>
    </w:p>
    <w:p/>
    <w:p>
      <w:pPr>
        <w:pStyle w:val="Heading1"/>
        <w:spacing w:before="200" w:after="80"/>
      </w:pPr>
      <w:r>
        <w:rPr>
          <w:b/>
          <w:color w:val="5B21B6"/>
          <w:sz w:val="28"/>
        </w:rPr>
        <w:t>13. Problem → Evidence → Action → Expected Result</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A78BFA"/>
          </w:tcPr>
          <w:p>
            <w:r>
              <w:rPr>
                <w:b/>
                <w:color w:val="FFFFFF"/>
                <w:sz w:val="20"/>
              </w:rPr>
              <w:t>Problem</w:t>
            </w:r>
          </w:p>
        </w:tc>
        <w:tc>
          <w:tcPr>
            <w:tcW w:type="dxa" w:w="2551"/>
            <w:shd w:val="clear" w:color="auto" w:fill="A78BFA"/>
          </w:tcPr>
          <w:p>
            <w:r>
              <w:rPr>
                <w:b/>
                <w:color w:val="FFFFFF"/>
                <w:sz w:val="20"/>
              </w:rPr>
              <w:t>Evidence</w:t>
            </w:r>
          </w:p>
        </w:tc>
        <w:tc>
          <w:tcPr>
            <w:tcW w:type="dxa" w:w="2551"/>
            <w:shd w:val="clear" w:color="auto" w:fill="A78BFA"/>
          </w:tcPr>
          <w:p>
            <w:r>
              <w:rPr>
                <w:b/>
                <w:color w:val="FFFFFF"/>
                <w:sz w:val="20"/>
              </w:rPr>
              <w:t>Action</w:t>
            </w:r>
          </w:p>
        </w:tc>
        <w:tc>
          <w:tcPr>
            <w:tcW w:type="dxa" w:w="2268"/>
            <w:shd w:val="clear" w:color="auto" w:fill="A78BFA"/>
          </w:tcPr>
          <w:p>
            <w:r>
              <w:rPr>
                <w:b/>
                <w:color w:val="FFFFFF"/>
                <w:sz w:val="20"/>
              </w:rPr>
              <w:t>Expected Result</w:t>
            </w:r>
          </w:p>
        </w:tc>
      </w:tr>
      <w:tr>
        <w:tc>
          <w:tcPr>
            <w:tcW w:type="dxa" w:w="1984"/>
          </w:tcPr>
          <w:p>
            <w:r>
              <w:rPr>
                <w:color w:val="1F2328"/>
                <w:sz w:val="20"/>
              </w:rPr>
              <w:t>New device fraud</w:t>
            </w:r>
          </w:p>
        </w:tc>
        <w:tc>
          <w:tcPr>
            <w:tcW w:type="dxa" w:w="2551"/>
          </w:tcPr>
          <w:p>
            <w:r>
              <w:rPr>
                <w:color w:val="1F2328"/>
                <w:sz w:val="20"/>
              </w:rPr>
              <w:t>Fraud rate 3.86% on new devices vs 1.74% baseline</w:t>
            </w:r>
          </w:p>
        </w:tc>
        <w:tc>
          <w:tcPr>
            <w:tcW w:type="dxa" w:w="2551"/>
          </w:tcPr>
          <w:p>
            <w:r>
              <w:rPr>
                <w:color w:val="1F2328"/>
                <w:sz w:val="20"/>
              </w:rPr>
              <w:t>Trigger OTP + biometric step-up on new device logins</w:t>
            </w:r>
          </w:p>
        </w:tc>
        <w:tc>
          <w:tcPr>
            <w:tcW w:type="dxa" w:w="2268"/>
          </w:tcPr>
          <w:p>
            <w:r>
              <w:rPr>
                <w:color w:val="1F2328"/>
                <w:sz w:val="20"/>
              </w:rPr>
              <w:t>Reduce new-device fraud by 50–60%</w:t>
            </w:r>
          </w:p>
        </w:tc>
      </w:tr>
      <w:tr>
        <w:tc>
          <w:tcPr>
            <w:tcW w:type="dxa" w:w="1984"/>
          </w:tcPr>
          <w:p>
            <w:r>
              <w:rPr>
                <w:color w:val="1F2328"/>
                <w:sz w:val="20"/>
              </w:rPr>
              <w:t>Off-hours fraud</w:t>
            </w:r>
          </w:p>
        </w:tc>
        <w:tc>
          <w:tcPr>
            <w:tcW w:type="dxa" w:w="2551"/>
          </w:tcPr>
          <w:p>
            <w:r>
              <w:rPr>
                <w:color w:val="1F2328"/>
                <w:sz w:val="20"/>
              </w:rPr>
              <w:t>Fraud rate 3.89% between midnight and 6 AM</w:t>
            </w:r>
          </w:p>
        </w:tc>
        <w:tc>
          <w:tcPr>
            <w:tcW w:type="dxa" w:w="2551"/>
          </w:tcPr>
          <w:p>
            <w:r>
              <w:rPr>
                <w:color w:val="1F2328"/>
                <w:sz w:val="20"/>
              </w:rPr>
              <w:t>Apply enhanced scrutiny and lower transaction limits 00:00–06:00</w:t>
            </w:r>
          </w:p>
        </w:tc>
        <w:tc>
          <w:tcPr>
            <w:tcW w:type="dxa" w:w="2268"/>
          </w:tcPr>
          <w:p>
            <w:r>
              <w:rPr>
                <w:color w:val="1F2328"/>
                <w:sz w:val="20"/>
              </w:rPr>
              <w:t>Reduce night-time fraud by ~40%</w:t>
            </w:r>
          </w:p>
        </w:tc>
      </w:tr>
      <w:tr>
        <w:tc>
          <w:tcPr>
            <w:tcW w:type="dxa" w:w="1984"/>
          </w:tcPr>
          <w:p>
            <w:r>
              <w:rPr>
                <w:color w:val="1F2328"/>
                <w:sz w:val="20"/>
              </w:rPr>
              <w:t>High-value fraud</w:t>
            </w:r>
          </w:p>
        </w:tc>
        <w:tc>
          <w:tcPr>
            <w:tcW w:type="dxa" w:w="2551"/>
          </w:tcPr>
          <w:p>
            <w:r>
              <w:rPr>
                <w:color w:val="1F2328"/>
                <w:sz w:val="20"/>
              </w:rPr>
              <w:t>5.0% fraud rate for top-1% transaction amounts</w:t>
            </w:r>
          </w:p>
        </w:tc>
        <w:tc>
          <w:tcPr>
            <w:tcW w:type="dxa" w:w="2551"/>
          </w:tcPr>
          <w:p>
            <w:r>
              <w:rPr>
                <w:color w:val="1F2328"/>
                <w:sz w:val="20"/>
              </w:rPr>
              <w:t>Require manual approval or cooling period for amounts in top 1%</w:t>
            </w:r>
          </w:p>
        </w:tc>
        <w:tc>
          <w:tcPr>
            <w:tcW w:type="dxa" w:w="2268"/>
          </w:tcPr>
          <w:p>
            <w:r>
              <w:rPr>
                <w:color w:val="1F2328"/>
                <w:sz w:val="20"/>
              </w:rPr>
              <w:t>Prevent high-impact fraud; reduce financial loss</w:t>
            </w:r>
          </w:p>
        </w:tc>
      </w:tr>
      <w:tr>
        <w:tc>
          <w:tcPr>
            <w:tcW w:type="dxa" w:w="1984"/>
          </w:tcPr>
          <w:p>
            <w:r>
              <w:rPr>
                <w:color w:val="1F2328"/>
                <w:sz w:val="20"/>
              </w:rPr>
              <w:t>High-velocity fraud</w:t>
            </w:r>
          </w:p>
        </w:tc>
        <w:tc>
          <w:tcPr>
            <w:tcW w:type="dxa" w:w="2551"/>
          </w:tcPr>
          <w:p>
            <w:r>
              <w:rPr>
                <w:color w:val="1F2328"/>
                <w:sz w:val="20"/>
              </w:rPr>
              <w:t>Elevated fraud rate for ≥5 transactions in 24 hours</w:t>
            </w:r>
          </w:p>
        </w:tc>
        <w:tc>
          <w:tcPr>
            <w:tcW w:type="dxa" w:w="2551"/>
          </w:tcPr>
          <w:p>
            <w:r>
              <w:rPr>
                <w:color w:val="1F2328"/>
                <w:sz w:val="20"/>
              </w:rPr>
              <w:t>Implement velocity-based rate limiting and alerts</w:t>
            </w:r>
          </w:p>
        </w:tc>
        <w:tc>
          <w:tcPr>
            <w:tcW w:type="dxa" w:w="2268"/>
          </w:tcPr>
          <w:p>
            <w:r>
              <w:rPr>
                <w:color w:val="1F2328"/>
                <w:sz w:val="20"/>
              </w:rPr>
              <w:t>Disrupt account takeover and scripted fraud</w:t>
            </w:r>
          </w:p>
        </w:tc>
      </w:tr>
      <w:tr>
        <w:tc>
          <w:tcPr>
            <w:tcW w:type="dxa" w:w="1984"/>
          </w:tcPr>
          <w:p>
            <w:r>
              <w:rPr>
                <w:color w:val="1F2328"/>
                <w:sz w:val="20"/>
              </w:rPr>
              <w:t>Critical risk transactions</w:t>
            </w:r>
          </w:p>
        </w:tc>
        <w:tc>
          <w:tcPr>
            <w:tcW w:type="dxa" w:w="2551"/>
          </w:tcPr>
          <w:p>
            <w:r>
              <w:rPr>
                <w:color w:val="1F2328"/>
                <w:sz w:val="20"/>
              </w:rPr>
              <w:t>Risk_Score ≥ 70 shows 0.50 correlation with fraud</w:t>
            </w:r>
          </w:p>
        </w:tc>
        <w:tc>
          <w:tcPr>
            <w:tcW w:type="dxa" w:w="2551"/>
          </w:tcPr>
          <w:p>
            <w:r>
              <w:rPr>
                <w:color w:val="1F2328"/>
                <w:sz w:val="20"/>
              </w:rPr>
              <w:t>Flag Critical risk transactions for real-time analyst review</w:t>
            </w:r>
          </w:p>
        </w:tc>
        <w:tc>
          <w:tcPr>
            <w:tcW w:type="dxa" w:w="2268"/>
          </w:tcPr>
          <w:p>
            <w:r>
              <w:rPr>
                <w:color w:val="1F2328"/>
                <w:sz w:val="20"/>
              </w:rPr>
              <w:t>Intercept high-risk transactions before settlement</w:t>
            </w:r>
          </w:p>
        </w:tc>
      </w:tr>
      <w:tr>
        <w:tc>
          <w:tcPr>
            <w:tcW w:type="dxa" w:w="1984"/>
          </w:tcPr>
          <w:p>
            <w:r>
              <w:rPr>
                <w:color w:val="1F2328"/>
                <w:sz w:val="20"/>
              </w:rPr>
              <w:t>Low ML recall (RF)</w:t>
            </w:r>
          </w:p>
        </w:tc>
        <w:tc>
          <w:tcPr>
            <w:tcW w:type="dxa" w:w="2551"/>
          </w:tcPr>
          <w:p>
            <w:r>
              <w:rPr>
                <w:color w:val="1F2328"/>
                <w:sz w:val="20"/>
              </w:rPr>
              <w:t>RF catches only 2.86% of fraud cases</w:t>
            </w:r>
          </w:p>
        </w:tc>
        <w:tc>
          <w:tcPr>
            <w:tcW w:type="dxa" w:w="2551"/>
          </w:tcPr>
          <w:p>
            <w:r>
              <w:rPr>
                <w:color w:val="1F2328"/>
                <w:sz w:val="20"/>
              </w:rPr>
              <w:t>Use LR (recall 65.71%) as primary detection model in production</w:t>
            </w:r>
          </w:p>
        </w:tc>
        <w:tc>
          <w:tcPr>
            <w:tcW w:type="dxa" w:w="2268"/>
          </w:tcPr>
          <w:p>
            <w:r>
              <w:rPr>
                <w:color w:val="1F2328"/>
                <w:sz w:val="20"/>
              </w:rPr>
              <w:t>Catch 65%+ of fraud with manageable false-positive rate</w:t>
            </w:r>
          </w:p>
        </w:tc>
      </w:tr>
    </w:tbl>
    <w:p/>
    <w:p>
      <w:pPr>
        <w:pStyle w:val="Heading1"/>
        <w:spacing w:before="200" w:after="80"/>
      </w:pPr>
      <w:r>
        <w:rPr>
          <w:b/>
          <w:color w:val="5B21B6"/>
          <w:sz w:val="28"/>
        </w:rPr>
        <w:t>14. Fraud Prevention Recommendations</w:t>
      </w:r>
    </w:p>
    <w:p>
      <w:pPr>
        <w:pStyle w:val="ListBullet"/>
        <w:spacing w:after="40"/>
      </w:pPr>
      <w:r>
        <w:rPr>
          <w:color w:val="1F2328"/>
          <w:sz w:val="21"/>
        </w:rPr>
        <w:t>Deploy Logistic Regression as the primary real-time fraud scoring model (recall 65.71%).</w:t>
      </w:r>
    </w:p>
    <w:p>
      <w:pPr>
        <w:pStyle w:val="ListBullet"/>
        <w:spacing w:after="40"/>
      </w:pPr>
      <w:r>
        <w:rPr>
          <w:color w:val="1F2328"/>
          <w:sz w:val="21"/>
        </w:rPr>
        <w:t>Implement step-up authentication (OTP + biometric) for new-device transactions.</w:t>
      </w:r>
    </w:p>
    <w:p>
      <w:pPr>
        <w:pStyle w:val="ListBullet"/>
        <w:spacing w:after="40"/>
      </w:pPr>
      <w:r>
        <w:rPr>
          <w:color w:val="1F2328"/>
          <w:sz w:val="21"/>
        </w:rPr>
        <w:t>Apply transaction amount limits and mandatory cooling periods for high-value transfers (top 1%).</w:t>
      </w:r>
    </w:p>
    <w:p>
      <w:pPr>
        <w:pStyle w:val="ListBullet"/>
        <w:spacing w:after="40"/>
      </w:pPr>
      <w:r>
        <w:rPr>
          <w:color w:val="1F2328"/>
          <w:sz w:val="21"/>
        </w:rPr>
        <w:t>Restrict or flag transactions originating between 00:00 and 06:00 IST.</w:t>
      </w:r>
    </w:p>
    <w:p>
      <w:pPr>
        <w:pStyle w:val="ListBullet"/>
        <w:spacing w:after="40"/>
      </w:pPr>
      <w:r>
        <w:rPr>
          <w:color w:val="1F2328"/>
          <w:sz w:val="21"/>
        </w:rPr>
        <w:t>Monitor accounts with ≥5 transactions in 24 hours for velocity-based fraud patterns.</w:t>
      </w:r>
    </w:p>
    <w:p>
      <w:pPr>
        <w:pStyle w:val="ListBullet"/>
        <w:spacing w:after="40"/>
      </w:pPr>
      <w:r>
        <w:rPr>
          <w:color w:val="1F2328"/>
          <w:sz w:val="21"/>
        </w:rPr>
        <w:t>Block or review accounts with ≥3 failed authentication attempts in a session.</w:t>
      </w:r>
    </w:p>
    <w:p>
      <w:pPr>
        <w:pStyle w:val="ListBullet"/>
        <w:spacing w:after="40"/>
      </w:pPr>
      <w:r>
        <w:rPr>
          <w:color w:val="1F2328"/>
          <w:sz w:val="21"/>
        </w:rPr>
        <w:t>Continuously retrain models monthly with updated fraud labels to adapt to new patterns.</w:t>
      </w:r>
    </w:p>
    <w:p>
      <w:pPr>
        <w:pStyle w:val="ListBullet"/>
        <w:spacing w:after="40"/>
      </w:pPr>
      <w:r>
        <w:rPr>
          <w:color w:val="1F2328"/>
          <w:sz w:val="21"/>
        </w:rPr>
        <w:t>Integrate device fingerprinting and IP geolocation for additional signal.</w:t>
      </w:r>
    </w:p>
    <w:p>
      <w:pPr>
        <w:pStyle w:val="ListBullet"/>
        <w:spacing w:after="40"/>
      </w:pPr>
      <w:r>
        <w:rPr>
          <w:color w:val="1F2328"/>
          <w:sz w:val="21"/>
        </w:rPr>
        <w:t>Use the custom Risk Score tiering (Low/Medium/High/Critical) for analyst routing.</w:t>
      </w:r>
    </w:p>
    <w:p>
      <w:pPr>
        <w:pStyle w:val="ListBullet"/>
        <w:spacing w:after="40"/>
      </w:pPr>
      <w:r>
        <w:rPr>
          <w:color w:val="1F2328"/>
          <w:sz w:val="21"/>
        </w:rPr>
        <w:t>Alert customers via SMS/email on high-risk or anomalous transactions in real time.</w:t>
      </w:r>
    </w:p>
    <w:p/>
    <w:p>
      <w:pPr>
        <w:pStyle w:val="Heading1"/>
        <w:spacing w:before="200" w:after="80"/>
      </w:pPr>
      <w:r>
        <w:rPr>
          <w:b/>
          <w:color w:val="5B21B6"/>
          <w:sz w:val="28"/>
        </w:rPr>
        <w:t>15. Risk Mitigation &amp; Precautions</w:t>
      </w:r>
    </w:p>
    <w:p>
      <w:pPr>
        <w:pStyle w:val="ListBullet"/>
        <w:spacing w:after="40"/>
      </w:pPr>
      <w:r>
        <w:rPr>
          <w:color w:val="1F2328"/>
          <w:sz w:val="21"/>
        </w:rPr>
        <w:t>False positives: LR with high recall generates many false alerts — implement a two-stage review queue (automated flag → analyst review) to avoid customer friction.</w:t>
      </w:r>
    </w:p>
    <w:p>
      <w:pPr>
        <w:pStyle w:val="ListBullet"/>
        <w:spacing w:after="40"/>
      </w:pPr>
      <w:r>
        <w:rPr>
          <w:color w:val="1F2328"/>
          <w:sz w:val="21"/>
        </w:rPr>
        <w:t>Model drift: Fraudsters adapt tactics; schedule monthly model retraining with fresh labeled data.</w:t>
      </w:r>
    </w:p>
    <w:p>
      <w:pPr>
        <w:pStyle w:val="ListBullet"/>
        <w:spacing w:after="40"/>
      </w:pPr>
      <w:r>
        <w:rPr>
          <w:color w:val="1F2328"/>
          <w:sz w:val="21"/>
        </w:rPr>
        <w:t>Class imbalance: At 1.74% fraud rate, class_weight='balanced' is essential; monitor over time.</w:t>
      </w:r>
    </w:p>
    <w:p>
      <w:pPr>
        <w:pStyle w:val="ListBullet"/>
        <w:spacing w:after="40"/>
      </w:pPr>
      <w:r>
        <w:rPr>
          <w:color w:val="1F2328"/>
          <w:sz w:val="21"/>
        </w:rPr>
        <w:t>Data quality: Missing or imputed values reduce signal; invest in data completeness.</w:t>
      </w:r>
    </w:p>
    <w:p>
      <w:pPr>
        <w:pStyle w:val="ListBullet"/>
        <w:spacing w:after="40"/>
      </w:pPr>
      <w:r>
        <w:rPr>
          <w:color w:val="1F2328"/>
          <w:sz w:val="21"/>
        </w:rPr>
        <w:t>Regulatory compliance: All fraud interventions must comply with RBI and NPCI guidelines.</w:t>
      </w:r>
    </w:p>
    <w:p>
      <w:pPr>
        <w:pStyle w:val="ListBullet"/>
        <w:spacing w:after="40"/>
      </w:pPr>
      <w:r>
        <w:rPr>
          <w:color w:val="1F2328"/>
          <w:sz w:val="21"/>
        </w:rPr>
        <w:t>Adversarial attacks: Fraudsters may learn to game known rules; keep rule thresholds confidential.</w:t>
      </w:r>
    </w:p>
    <w:p/>
    <w:p>
      <w:pPr>
        <w:pStyle w:val="Heading1"/>
        <w:spacing w:before="200" w:after="80"/>
      </w:pPr>
      <w:r>
        <w:rPr>
          <w:b/>
          <w:color w:val="5B21B6"/>
          <w:sz w:val="28"/>
        </w:rPr>
        <w:t>16. Business Impact</w:t>
      </w:r>
    </w:p>
    <w:p>
      <w:pPr>
        <w:spacing w:after="80"/>
      </w:pPr>
      <w:r>
        <w:rPr>
          <w:b w:val="0"/>
          <w:color w:val="1F2328"/>
          <w:sz w:val="21"/>
        </w:rPr>
        <w:t>At a 1.74% fraud rate across 9,989 transactions with mean amount ₹1,977, deploying the LR model (65.71% recall) would prevent approximately 114 out of 174 fraud cases per 10,000 transactions. The custom Risk Score enables priority queuing, ensuring analysts focus on the highest-risk transactions first. Anomaly detection provides a complementary layer that catches novel fraud patterns not yet in the training labels.</w:t>
      </w:r>
    </w:p>
    <w:p>
      <w:pPr>
        <w:pStyle w:val="Heading1"/>
        <w:spacing w:before="200" w:after="80"/>
      </w:pPr>
      <w:r>
        <w:rPr>
          <w:b/>
          <w:color w:val="5B21B6"/>
          <w:sz w:val="28"/>
        </w:rPr>
        <w:t>17. Limitations</w:t>
      </w:r>
    </w:p>
    <w:p>
      <w:pPr>
        <w:pStyle w:val="ListBullet"/>
        <w:spacing w:after="40"/>
      </w:pPr>
      <w:r>
        <w:rPr>
          <w:color w:val="1F2328"/>
          <w:sz w:val="21"/>
        </w:rPr>
        <w:t>The dataset is entirely synthetic — model performance on real UPI data may differ significantly.</w:t>
      </w:r>
    </w:p>
    <w:p>
      <w:pPr>
        <w:pStyle w:val="ListBullet"/>
        <w:spacing w:after="40"/>
      </w:pPr>
      <w:r>
        <w:rPr>
          <w:color w:val="1F2328"/>
          <w:sz w:val="21"/>
        </w:rPr>
        <w:t>The relatively small dataset (~10,000 records) limits model complexity and generalization.</w:t>
      </w:r>
    </w:p>
    <w:p>
      <w:pPr>
        <w:pStyle w:val="ListBullet"/>
        <w:spacing w:after="40"/>
      </w:pPr>
      <w:r>
        <w:rPr>
          <w:color w:val="1F2328"/>
          <w:sz w:val="21"/>
        </w:rPr>
        <w:t>Both models show moderate ROC-AUC (0.51–0.64), indicating the features have limited discriminative power for fraud detection on this synthetic data.</w:t>
      </w:r>
    </w:p>
    <w:p>
      <w:pPr>
        <w:pStyle w:val="ListBullet"/>
        <w:spacing w:after="40"/>
      </w:pPr>
      <w:r>
        <w:rPr>
          <w:color w:val="1F2328"/>
          <w:sz w:val="21"/>
        </w:rPr>
        <w:t>Isolation Forest anomaly detection is unsupervised and does not directly optimize fraud recall.</w:t>
      </w:r>
    </w:p>
    <w:p>
      <w:pPr>
        <w:pStyle w:val="ListBullet"/>
        <w:spacing w:after="40"/>
      </w:pPr>
      <w:r>
        <w:rPr>
          <w:color w:val="1F2328"/>
          <w:sz w:val="21"/>
        </w:rPr>
        <w:t>The rule-based Risk Score thresholds were set heuristically and should be validated on real data.</w:t>
      </w:r>
    </w:p>
    <w:p>
      <w:pPr>
        <w:pStyle w:val="ListBullet"/>
        <w:spacing w:after="40"/>
      </w:pPr>
      <w:r>
        <w:rPr>
          <w:color w:val="1F2328"/>
          <w:sz w:val="21"/>
        </w:rPr>
        <w:t>No network/graph features (e.g., transaction networks between accounts) were included.</w:t>
      </w:r>
    </w:p>
    <w:p/>
    <w:p>
      <w:pPr>
        <w:pStyle w:val="Heading1"/>
        <w:spacing w:before="200" w:after="80"/>
      </w:pPr>
      <w:r>
        <w:rPr>
          <w:b/>
          <w:color w:val="5B21B6"/>
          <w:sz w:val="28"/>
        </w:rPr>
        <w:t>18. Future Enhancements</w:t>
      </w:r>
    </w:p>
    <w:p>
      <w:pPr>
        <w:pStyle w:val="ListBullet"/>
        <w:spacing w:after="40"/>
      </w:pPr>
      <w:r>
        <w:rPr>
          <w:color w:val="1F2328"/>
          <w:sz w:val="21"/>
        </w:rPr>
        <w:t>Graph Neural Networks (GNN) to model transaction networks between accounts.</w:t>
      </w:r>
    </w:p>
    <w:p>
      <w:pPr>
        <w:pStyle w:val="ListBullet"/>
        <w:spacing w:after="40"/>
      </w:pPr>
      <w:r>
        <w:rPr>
          <w:color w:val="1F2328"/>
          <w:sz w:val="21"/>
        </w:rPr>
        <w:t>XGBoost / LightGBM with SHAP explanations for better accuracy and interpretability.</w:t>
      </w:r>
    </w:p>
    <w:p>
      <w:pPr>
        <w:pStyle w:val="ListBullet"/>
        <w:spacing w:after="40"/>
      </w:pPr>
      <w:r>
        <w:rPr>
          <w:color w:val="1F2328"/>
          <w:sz w:val="21"/>
        </w:rPr>
        <w:t>Real-time streaming pipeline using Apache Kafka + Flink for sub-second fraud decisions.</w:t>
      </w:r>
    </w:p>
    <w:p>
      <w:pPr>
        <w:pStyle w:val="ListBullet"/>
        <w:spacing w:after="40"/>
      </w:pPr>
      <w:r>
        <w:rPr>
          <w:color w:val="1F2328"/>
          <w:sz w:val="21"/>
        </w:rPr>
        <w:t>Federated learning to train across banks without sharing raw transaction data.</w:t>
      </w:r>
    </w:p>
    <w:p>
      <w:pPr>
        <w:pStyle w:val="ListBullet"/>
        <w:spacing w:after="40"/>
      </w:pPr>
      <w:r>
        <w:rPr>
          <w:color w:val="1F2328"/>
          <w:sz w:val="21"/>
        </w:rPr>
        <w:t>SMOTE or GAN-based synthetic oversampling to address class imbalance.</w:t>
      </w:r>
    </w:p>
    <w:p>
      <w:pPr>
        <w:pStyle w:val="ListBullet"/>
        <w:spacing w:after="40"/>
      </w:pPr>
      <w:r>
        <w:rPr>
          <w:color w:val="1F2328"/>
          <w:sz w:val="21"/>
        </w:rPr>
        <w:t>Natural language processing of transaction descriptions for additional signal.</w:t>
      </w:r>
    </w:p>
    <w:p>
      <w:pPr>
        <w:pStyle w:val="ListBullet"/>
        <w:spacing w:after="40"/>
      </w:pPr>
      <w:r>
        <w:rPr>
          <w:color w:val="1F2328"/>
          <w:sz w:val="21"/>
        </w:rPr>
        <w:t>Dynamic threshold tuning based on business cost matrix (cost of fraud vs. false positives).</w:t>
      </w:r>
    </w:p>
    <w:p>
      <w:pPr>
        <w:pStyle w:val="ListBullet"/>
        <w:spacing w:after="40"/>
      </w:pPr>
      <w:r>
        <w:rPr>
          <w:color w:val="1F2328"/>
          <w:sz w:val="21"/>
        </w:rPr>
        <w:t>A/B testing framework for evaluating rule changes in production.</w:t>
      </w:r>
    </w:p>
    <w:p/>
    <w:p>
      <w:pPr>
        <w:pStyle w:val="Heading1"/>
        <w:spacing w:before="200" w:after="80"/>
      </w:pPr>
      <w:r>
        <w:rPr>
          <w:b/>
          <w:color w:val="5B21B6"/>
          <w:sz w:val="28"/>
        </w:rPr>
        <w:t>19. Conclusion</w:t>
      </w:r>
    </w:p>
    <w:p>
      <w:pPr>
        <w:spacing w:after="80"/>
      </w:pPr>
      <w:r>
        <w:rPr>
          <w:b w:val="0"/>
          <w:color w:val="1F2328"/>
          <w:sz w:val="21"/>
        </w:rPr>
        <w:t>This project successfully demonstrates a full-stack fraud analytics pipeline for UPI transactions, encompassing data cleaning, feature engineering, rule-based risk scoring, unsupervised anomaly detection, supervised machine learning, interactive visualization, and actionable business recommendations. The Logistic Regression model with recall-optimized class weighting provides the best fraud detection performance, while the custom Risk Score offers a transparent, interpretable complement for operations teams. The Streamlit dashboard enables stakeholders to interactively explore fraud patterns, risk distributions, and model performance without requiring technical expertise. All findings are based on synthetic data and should be validated against production transaction data before deployment.</w:t>
      </w:r>
    </w:p>
    <w:p>
      <w:pPr>
        <w:pStyle w:val="Heading1"/>
        <w:spacing w:before="200" w:after="80"/>
      </w:pPr>
      <w:r>
        <w:rPr>
          <w:b/>
          <w:color w:val="5B21B6"/>
          <w:sz w:val="28"/>
        </w:rPr>
        <w:t>20. Technologies Used</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A78BFA"/>
          </w:tcPr>
          <w:p>
            <w:r>
              <w:rPr>
                <w:b/>
                <w:color w:val="FFFFFF"/>
                <w:sz w:val="20"/>
              </w:rPr>
              <w:t>Technology</w:t>
            </w:r>
          </w:p>
        </w:tc>
        <w:tc>
          <w:tcPr>
            <w:tcW w:type="dxa" w:w="2268"/>
            <w:shd w:val="clear" w:color="auto" w:fill="A78BFA"/>
          </w:tcPr>
          <w:p>
            <w:r>
              <w:rPr>
                <w:b/>
                <w:color w:val="FFFFFF"/>
                <w:sz w:val="20"/>
              </w:rPr>
              <w:t>Version / Notes</w:t>
            </w:r>
          </w:p>
        </w:tc>
        <w:tc>
          <w:tcPr>
            <w:tcW w:type="dxa" w:w="4819"/>
            <w:shd w:val="clear" w:color="auto" w:fill="A78BFA"/>
          </w:tcPr>
          <w:p>
            <w:r>
              <w:rPr>
                <w:b/>
                <w:color w:val="FFFFFF"/>
                <w:sz w:val="20"/>
              </w:rPr>
              <w:t>Purpose</w:t>
            </w:r>
          </w:p>
        </w:tc>
      </w:tr>
      <w:tr>
        <w:tc>
          <w:tcPr>
            <w:tcW w:type="dxa" w:w="2268"/>
          </w:tcPr>
          <w:p>
            <w:r>
              <w:rPr>
                <w:color w:val="1F2328"/>
                <w:sz w:val="20"/>
              </w:rPr>
              <w:t>Python</w:t>
            </w:r>
          </w:p>
        </w:tc>
        <w:tc>
          <w:tcPr>
            <w:tcW w:type="dxa" w:w="2268"/>
          </w:tcPr>
          <w:p>
            <w:r>
              <w:rPr>
                <w:color w:val="1F2328"/>
                <w:sz w:val="20"/>
              </w:rPr>
              <w:t>3.10+</w:t>
            </w:r>
          </w:p>
        </w:tc>
        <w:tc>
          <w:tcPr>
            <w:tcW w:type="dxa" w:w="4819"/>
          </w:tcPr>
          <w:p>
            <w:r>
              <w:rPr>
                <w:color w:val="1F2328"/>
                <w:sz w:val="20"/>
              </w:rPr>
              <w:t>Core programming language</w:t>
            </w:r>
          </w:p>
        </w:tc>
      </w:tr>
      <w:tr>
        <w:tc>
          <w:tcPr>
            <w:tcW w:type="dxa" w:w="2268"/>
          </w:tcPr>
          <w:p>
            <w:r>
              <w:rPr>
                <w:color w:val="1F2328"/>
                <w:sz w:val="20"/>
              </w:rPr>
              <w:t>pandas</w:t>
            </w:r>
          </w:p>
        </w:tc>
        <w:tc>
          <w:tcPr>
            <w:tcW w:type="dxa" w:w="2268"/>
          </w:tcPr>
          <w:p>
            <w:r>
              <w:rPr>
                <w:color w:val="1F2328"/>
                <w:sz w:val="20"/>
              </w:rPr>
              <w:t>2.x</w:t>
            </w:r>
          </w:p>
        </w:tc>
        <w:tc>
          <w:tcPr>
            <w:tcW w:type="dxa" w:w="4819"/>
          </w:tcPr>
          <w:p>
            <w:r>
              <w:rPr>
                <w:color w:val="1F2328"/>
                <w:sz w:val="20"/>
              </w:rPr>
              <w:t>Data manipulation and analysis</w:t>
            </w:r>
          </w:p>
        </w:tc>
      </w:tr>
      <w:tr>
        <w:tc>
          <w:tcPr>
            <w:tcW w:type="dxa" w:w="2268"/>
          </w:tcPr>
          <w:p>
            <w:r>
              <w:rPr>
                <w:color w:val="1F2328"/>
                <w:sz w:val="20"/>
              </w:rPr>
              <w:t>NumPy</w:t>
            </w:r>
          </w:p>
        </w:tc>
        <w:tc>
          <w:tcPr>
            <w:tcW w:type="dxa" w:w="2268"/>
          </w:tcPr>
          <w:p>
            <w:r>
              <w:rPr>
                <w:color w:val="1F2328"/>
                <w:sz w:val="20"/>
              </w:rPr>
              <w:t>1.x</w:t>
            </w:r>
          </w:p>
        </w:tc>
        <w:tc>
          <w:tcPr>
            <w:tcW w:type="dxa" w:w="4819"/>
          </w:tcPr>
          <w:p>
            <w:r>
              <w:rPr>
                <w:color w:val="1F2328"/>
                <w:sz w:val="20"/>
              </w:rPr>
              <w:t>Numerical computing</w:t>
            </w:r>
          </w:p>
        </w:tc>
      </w:tr>
      <w:tr>
        <w:tc>
          <w:tcPr>
            <w:tcW w:type="dxa" w:w="2268"/>
          </w:tcPr>
          <w:p>
            <w:r>
              <w:rPr>
                <w:color w:val="1F2328"/>
                <w:sz w:val="20"/>
              </w:rPr>
              <w:t>scikit-learn</w:t>
            </w:r>
          </w:p>
        </w:tc>
        <w:tc>
          <w:tcPr>
            <w:tcW w:type="dxa" w:w="2268"/>
          </w:tcPr>
          <w:p>
            <w:r>
              <w:rPr>
                <w:color w:val="1F2328"/>
                <w:sz w:val="20"/>
              </w:rPr>
              <w:t>1.x</w:t>
            </w:r>
          </w:p>
        </w:tc>
        <w:tc>
          <w:tcPr>
            <w:tcW w:type="dxa" w:w="4819"/>
          </w:tcPr>
          <w:p>
            <w:r>
              <w:rPr>
                <w:color w:val="1F2328"/>
                <w:sz w:val="20"/>
              </w:rPr>
              <w:t>ML models, metrics, preprocessing</w:t>
            </w:r>
          </w:p>
        </w:tc>
      </w:tr>
      <w:tr>
        <w:tc>
          <w:tcPr>
            <w:tcW w:type="dxa" w:w="2268"/>
          </w:tcPr>
          <w:p>
            <w:r>
              <w:rPr>
                <w:color w:val="1F2328"/>
                <w:sz w:val="20"/>
              </w:rPr>
              <w:t>Matplotlib</w:t>
            </w:r>
          </w:p>
        </w:tc>
        <w:tc>
          <w:tcPr>
            <w:tcW w:type="dxa" w:w="2268"/>
          </w:tcPr>
          <w:p>
            <w:r>
              <w:rPr>
                <w:color w:val="1F2328"/>
                <w:sz w:val="20"/>
              </w:rPr>
              <w:t>3.x</w:t>
            </w:r>
          </w:p>
        </w:tc>
        <w:tc>
          <w:tcPr>
            <w:tcW w:type="dxa" w:w="4819"/>
          </w:tcPr>
          <w:p>
            <w:r>
              <w:rPr>
                <w:color w:val="1F2328"/>
                <w:sz w:val="20"/>
              </w:rPr>
              <w:t>Static chart generation</w:t>
            </w:r>
          </w:p>
        </w:tc>
      </w:tr>
      <w:tr>
        <w:tc>
          <w:tcPr>
            <w:tcW w:type="dxa" w:w="2268"/>
          </w:tcPr>
          <w:p>
            <w:r>
              <w:rPr>
                <w:color w:val="1F2328"/>
                <w:sz w:val="20"/>
              </w:rPr>
              <w:t>Seaborn</w:t>
            </w:r>
          </w:p>
        </w:tc>
        <w:tc>
          <w:tcPr>
            <w:tcW w:type="dxa" w:w="2268"/>
          </w:tcPr>
          <w:p>
            <w:r>
              <w:rPr>
                <w:color w:val="1F2328"/>
                <w:sz w:val="20"/>
              </w:rPr>
              <w:t>0.x</w:t>
            </w:r>
          </w:p>
        </w:tc>
        <w:tc>
          <w:tcPr>
            <w:tcW w:type="dxa" w:w="4819"/>
          </w:tcPr>
          <w:p>
            <w:r>
              <w:rPr>
                <w:color w:val="1F2328"/>
                <w:sz w:val="20"/>
              </w:rPr>
              <w:t>Statistical visualizations</w:t>
            </w:r>
          </w:p>
        </w:tc>
      </w:tr>
      <w:tr>
        <w:tc>
          <w:tcPr>
            <w:tcW w:type="dxa" w:w="2268"/>
          </w:tcPr>
          <w:p>
            <w:r>
              <w:rPr>
                <w:color w:val="1F2328"/>
                <w:sz w:val="20"/>
              </w:rPr>
              <w:t>Plotly</w:t>
            </w:r>
          </w:p>
        </w:tc>
        <w:tc>
          <w:tcPr>
            <w:tcW w:type="dxa" w:w="2268"/>
          </w:tcPr>
          <w:p>
            <w:r>
              <w:rPr>
                <w:color w:val="1F2328"/>
                <w:sz w:val="20"/>
              </w:rPr>
              <w:t>5.x</w:t>
            </w:r>
          </w:p>
        </w:tc>
        <w:tc>
          <w:tcPr>
            <w:tcW w:type="dxa" w:w="4819"/>
          </w:tcPr>
          <w:p>
            <w:r>
              <w:rPr>
                <w:color w:val="1F2328"/>
                <w:sz w:val="20"/>
              </w:rPr>
              <w:t>Interactive dashboard charts</w:t>
            </w:r>
          </w:p>
        </w:tc>
      </w:tr>
      <w:tr>
        <w:tc>
          <w:tcPr>
            <w:tcW w:type="dxa" w:w="2268"/>
          </w:tcPr>
          <w:p>
            <w:r>
              <w:rPr>
                <w:color w:val="1F2328"/>
                <w:sz w:val="20"/>
              </w:rPr>
              <w:t>Streamlit</w:t>
            </w:r>
          </w:p>
        </w:tc>
        <w:tc>
          <w:tcPr>
            <w:tcW w:type="dxa" w:w="2268"/>
          </w:tcPr>
          <w:p>
            <w:r>
              <w:rPr>
                <w:color w:val="1F2328"/>
                <w:sz w:val="20"/>
              </w:rPr>
              <w:t>1.x</w:t>
            </w:r>
          </w:p>
        </w:tc>
        <w:tc>
          <w:tcPr>
            <w:tcW w:type="dxa" w:w="4819"/>
          </w:tcPr>
          <w:p>
            <w:r>
              <w:rPr>
                <w:color w:val="1F2328"/>
                <w:sz w:val="20"/>
              </w:rPr>
              <w:t>Interactive web dashboard</w:t>
            </w:r>
          </w:p>
        </w:tc>
      </w:tr>
      <w:tr>
        <w:tc>
          <w:tcPr>
            <w:tcW w:type="dxa" w:w="2268"/>
          </w:tcPr>
          <w:p>
            <w:r>
              <w:rPr>
                <w:color w:val="1F2328"/>
                <w:sz w:val="20"/>
              </w:rPr>
              <w:t>python-docx</w:t>
            </w:r>
          </w:p>
        </w:tc>
        <w:tc>
          <w:tcPr>
            <w:tcW w:type="dxa" w:w="2268"/>
          </w:tcPr>
          <w:p>
            <w:r>
              <w:rPr>
                <w:color w:val="1F2328"/>
                <w:sz w:val="20"/>
              </w:rPr>
              <w:t>1.x</w:t>
            </w:r>
          </w:p>
        </w:tc>
        <w:tc>
          <w:tcPr>
            <w:tcW w:type="dxa" w:w="4819"/>
          </w:tcPr>
          <w:p>
            <w:r>
              <w:rPr>
                <w:color w:val="1F2328"/>
                <w:sz w:val="20"/>
              </w:rPr>
              <w:t>Automated Word report generation</w:t>
            </w:r>
          </w:p>
        </w:tc>
      </w:tr>
      <w:tr>
        <w:tc>
          <w:tcPr>
            <w:tcW w:type="dxa" w:w="2268"/>
          </w:tcPr>
          <w:p>
            <w:r>
              <w:rPr>
                <w:color w:val="1F2328"/>
                <w:sz w:val="20"/>
              </w:rPr>
              <w:t>IsolationForest</w:t>
            </w:r>
          </w:p>
        </w:tc>
        <w:tc>
          <w:tcPr>
            <w:tcW w:type="dxa" w:w="2268"/>
          </w:tcPr>
          <w:p>
            <w:r>
              <w:rPr>
                <w:color w:val="1F2328"/>
                <w:sz w:val="20"/>
              </w:rPr>
              <w:t>scikit-learn</w:t>
            </w:r>
          </w:p>
        </w:tc>
        <w:tc>
          <w:tcPr>
            <w:tcW w:type="dxa" w:w="4819"/>
          </w:tcPr>
          <w:p>
            <w:r>
              <w:rPr>
                <w:color w:val="1F2328"/>
                <w:sz w:val="20"/>
              </w:rPr>
              <w:t>Unsupervised anomaly detection</w:t>
            </w:r>
          </w:p>
        </w:tc>
      </w:tr>
    </w:tbl>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