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NVIDIA Revenue Analysis FY2024-2026</w:t>
      </w:r>
    </w:p>
    <w:p>
      <w:pPr>
        <w:pStyle w:val="Heading1"/>
      </w:pPr>
      <w:r>
        <w:t xml:space="preserve">Overview</w:t>
      </w:r>
    </w:p>
    <w:p>
      <w:r>
        <w:t xml:space="preserve">Analysis of NVIDIA Corporation revenue from Q2 FY2025 10-Q filing for period ending July 27, 2025.</w:t>
      </w:r>
    </w:p>
    <w:p>
      <w:r>
        <w:t xml:space="preserve"/>
      </w:r>
    </w:p>
    <w:p>
      <w:pPr>
        <w:pStyle w:val="Heading1"/>
      </w:pPr>
      <w:r>
        <w:t xml:space="preserve">Six-Month Revenue Comparison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Period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H1 FY2026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H1 FY2025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Revenue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$90,805M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$56,084M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Growth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b/>
                <w:bCs/>
                <w:color w:val="008000"/>
              </w:rPr>
              <w:t xml:space="preserve">+62%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Q2 Revenue Comparison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Period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Q2 FY2026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Q2 FY2025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Revenue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$46,743M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$30,040M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Growth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b/>
                <w:bCs/>
                <w:color w:val="008000"/>
              </w:rPr>
              <w:t xml:space="preserve">+56%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Revenue by Segment (H1 FY2026)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Segment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H1 FY2026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Growth vs H1 FY2025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Compute &amp; Networking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$80,920M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b/>
                <w:bCs/>
              </w:rPr>
              <w:t xml:space="preserve">+65%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Graphics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$9,885M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rPr>
                <w:b/>
                <w:bCs/>
              </w:rPr>
              <w:t xml:space="preserve">+42%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Revenue by Market (H1 FY2026)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Market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H1 FY2026 Revenue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Data Center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$78,304M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Gaming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$6,144M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Professional Visualization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$2,162M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Automotive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$2,095M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OEM &amp; Other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right"/>
            </w:pPr>
            <w:r>
              <w:t xml:space="preserve">$2,100M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Key Highlights</w:t>
      </w:r>
    </w:p>
    <w:p>
      <w:r>
        <w:t xml:space="preserve">Data Center revenue grew 64% YoY, driven by AI infrastructure demand for Hopper GPU computing platform and networking solutions.</w:t>
      </w:r>
    </w:p>
    <w:p>
      <w:r>
        <w:t xml:space="preserve"/>
      </w:r>
    </w:p>
    <w:p>
      <w:r>
        <w:t xml:space="preserve">Customer Concentration: Two customers represented 20% and 15% of total revenue in H1 FY2026.</w:t>
      </w:r>
    </w:p>
    <w:p>
      <w:r>
        <w:t xml:space="preserve"/>
      </w:r>
    </w:p>
    <w:p>
      <w:r>
        <w:t xml:space="preserve">Compute &amp; Networking segment dominates at 89% of total revenue ($80.9B of $90.8B).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2025-10-24T13:34:10.542Z</dcterms:created>
  <dcterms:modified xsi:type="dcterms:W3CDTF">2025-10-24T13:34:10.542Z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