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sz w:val="36"/>
        </w:rPr>
        <w:t>血尿临床思维训练项目 RAG 知识库摘要</w:t>
      </w:r>
    </w:p>
    <w:p>
      <w:pPr>
        <w:jc w:val="center"/>
      </w:pPr>
      <w:r>
        <w:rPr>
          <w:rFonts w:ascii="Microsoft YaHei" w:hAnsi="Microsoft YaHei" w:eastAsia="Microsoft YaHei"/>
          <w:sz w:val="20"/>
        </w:rPr>
        <w:t>用于 Codex 更新多智能体血尿教学系统；原创教学摘要，不复制教材/指南原文</w:t>
      </w:r>
    </w:p>
    <w:p>
      <w:r>
        <w:t>生成日期：2026-07-01</w:t>
      </w:r>
    </w:p>
    <w:p>
      <w:r>
        <w:t>使用说明：本文档可作为 /rag_sources/ 中的长文本知识源；配套 Excel《血尿项目_RAG知识库_结构化知识表.xlsx》用于结构化检索、规则校验和 Agent 护栏。</w:t>
      </w:r>
    </w:p>
    <w:p>
      <w:r>
        <w:t>版权边界：未复制人卫版《诊断学》或《中国泌尿外科和男科疾病诊断治疗指南》原文。若你持有正版PDF，可将其作为更高优先级RAG源接入；本文件用于训练系统原型和教学路径设计。</w:t>
      </w:r>
    </w:p>
    <w:p>
      <w:pPr>
        <w:pStyle w:val="Heading1"/>
      </w:pPr>
      <w:r>
        <w:t>一、血尿教学总框架</w:t>
      </w:r>
    </w:p>
    <w:p>
      <w:r>
        <w:t>血尿训练系统的第一目标不是让学生直接猜诊断，而是训练其按顺序完成：确认真性血尿、判断严重程度、定位内科性/外科性来源、识别急症、选择检查、发起MDT、制定治疗与随访。</w:t>
      </w:r>
    </w:p>
    <w:p>
      <w:r>
        <w:t>先确认：尿液变红不等于血尿。尿潜血阳性需要尿沉渣镜检确认红细胞；若潜血阳性但镜检红细胞不匹配，要考虑血红蛋白尿、肌红蛋白尿或假性血尿。</w:t>
      </w:r>
    </w:p>
    <w:p>
      <w:r>
        <w:t>再分类：肉眼血尿/镜下血尿；起始/终末/全程血尿；有无血块；疼痛性/无痛性；间断/持续；感染/结石/肿瘤/肾小球线索。</w:t>
      </w:r>
    </w:p>
    <w:p>
      <w:r>
        <w:t>再分层：高龄、男性、吸烟、职业暴露、无痛肉眼血尿、血块、反复发作属于泌尿系肿瘤高危线索。</w:t>
      </w:r>
    </w:p>
    <w:p>
      <w:r>
        <w:t>同时保留肾内科安全网：蛋白尿、泡沫尿、水肿、高血压、畸形红细胞、红细胞管型、AKI、上感后血尿提示肾小球性血尿。</w:t>
      </w:r>
    </w:p>
    <w:p>
      <w:r>
        <w:t>最后再治疗：肿瘤治疗必须基于病理与分期；感染梗阻结石先引流抗感染，不能直接碎石；抗凝药不能作为血尿唯一解释。</w:t>
      </w:r>
    </w:p>
    <w:p>
      <w:pPr>
        <w:pStyle w:val="Heading1"/>
      </w:pPr>
      <w:r>
        <w:t>二、诊断学症状学：问诊必须覆盖的血尿要点</w:t>
      </w:r>
    </w:p>
    <w:p>
      <w:r>
        <w:t>模拟患者系统必须做到“学生问到哪个点，就能返回明确答案”。尤其是血尿时相：学生问“是不是一直红”“是不是拉到最后才红”“刚开始红还是最后红”，系统都要能按病例回答。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701"/>
            <w:vAlign w:val="top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问诊点</w:t>
            </w:r>
          </w:p>
        </w:tc>
        <w:tc>
          <w:tcPr>
            <w:tcW w:type="dxa" w:w="3402"/>
            <w:vAlign w:val="top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模拟患者答案类型</w:t>
            </w:r>
          </w:p>
        </w:tc>
        <w:tc>
          <w:tcPr>
            <w:tcW w:type="dxa" w:w="4535"/>
            <w:vAlign w:val="top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教学意义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血尿可见性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肉眼能见红/洗肉水样/茶色，或体检尿检发现镜下血尿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决定风险分层和后续检查强度。肉眼血尿通常更需要肿瘤排查。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血尿时相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起始、终末、全程、镜下、无法判断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起始偏尿道；终末偏膀胱颈/三角区/后尿道/前列腺；全程偏膀胱以上或出血量较大。只是线索，不是最终诊断。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是否一直红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从开始到结束都红，还是只在末端/起始出现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网页必须给出明确回答，例如“不是一直红，是快尿完时更明显”。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颜色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鲜红、暗红、洗肉水样、茶色/可乐色、粉红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鲜红和血块偏下尿路/非肾小球；茶色/可乐色结合蛋白尿和管型提示肾小球来源。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血块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无、有小血块、有条索状血块、有血块堵塞尿道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血块常提示非肾小球来源；血块尿潴留是急症。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疼痛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无痛、尿痛、肾绞痛、腰痛、下腹痛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无痛肉眼血尿警惕肿瘤；肾绞痛警惕结石；尿痛尿急提示感染。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感染症状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尿频、尿急、尿痛、发热、寒战、肾区痛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区分局限性UTI与系统性UTI；系统性症状需血液检查、影像、静脉抗感染和住院评估。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肾小球线索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泡沫尿、水肿、高血压、上感后、皮疹关节痛、听力异常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触发肾内科会诊和尿蛋白/肾功能/免疫学/肾活检评估。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危险因素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吸烟、职业暴露、放疗、环磷酰胺、结石史、反复感染、家族史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训练低年级住培识别肿瘤、结石、肾病和药物相关风险。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假性血尿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月经/阴道出血、色素食物、药物、血红蛋白尿/肌红蛋白尿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女性病例必须排除污染；红色尿要结合尿沉渣。</w:t>
            </w:r>
          </w:p>
        </w:tc>
      </w:tr>
    </w:tbl>
    <w:p/>
    <w:p>
      <w:pPr>
        <w:pStyle w:val="Heading1"/>
      </w:pPr>
      <w:r>
        <w:t>三、检查检验开单路径</w:t>
      </w:r>
    </w:p>
    <w:p>
      <w:r>
        <w:t>系统设计上，住培医生必须输入具体医嘱，Order Result Agent 才返回对应结果；不能在病例一开始就把所有检查结果暴露。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814"/>
            <w:vAlign w:val="top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路径</w:t>
            </w:r>
          </w:p>
        </w:tc>
        <w:tc>
          <w:tcPr>
            <w:tcW w:type="dxa" w:w="3969"/>
            <w:vAlign w:val="top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推荐开单</w:t>
            </w:r>
          </w:p>
        </w:tc>
        <w:tc>
          <w:tcPr>
            <w:tcW w:type="dxa" w:w="3969"/>
            <w:vAlign w:val="top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系统返回/评分意义</w:t>
            </w:r>
          </w:p>
        </w:tc>
      </w:tr>
      <w:tr>
        <w:tc>
          <w:tcPr>
            <w:tcW w:type="dxa" w:w="181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基础必开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尿常规+尿沉渣、血常规、肾功能/eGFR、电解质、凝血功能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确认真性血尿、贫血/感染、造影与用药安全、围术期风险。</w:t>
            </w:r>
          </w:p>
        </w:tc>
      </w:tr>
      <w:tr>
        <w:tc>
          <w:tcPr>
            <w:tcW w:type="dxa" w:w="181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感染路径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尿培养+药敏、血培养、CRP/PCT/乳酸、泌尿系超声或CT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发热寒战/系统性UTI/梗阻感染时必须采样并尽早抗感染。</w:t>
            </w:r>
          </w:p>
        </w:tc>
      </w:tr>
      <w:tr>
        <w:tc>
          <w:tcPr>
            <w:tcW w:type="dxa" w:w="181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结石路径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非增强CT KUB、尿pH、结石成分分析、代谢评估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急性肾绞痛定位结石大小位置；复发结石需要预防策略。</w:t>
            </w:r>
          </w:p>
        </w:tc>
      </w:tr>
      <w:tr>
        <w:tc>
          <w:tcPr>
            <w:tcW w:type="dxa" w:w="181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肿瘤路径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CTU、膀胱镜、尿细胞学、TURBT病理、增强CT/MRI分期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高危肉眼血尿不能只做超声；肿瘤治疗以病理和分期为依据。</w:t>
            </w:r>
          </w:p>
        </w:tc>
      </w:tr>
      <w:tr>
        <w:tc>
          <w:tcPr>
            <w:tcW w:type="dxa" w:w="181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肾小球路径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尿蛋白/肌酐比或24h尿蛋白、尿RBC形态、肾功能、补体、ANA/ANCA/抗GBM等、必要时肾活检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蛋白尿/管型/畸形RBC/AKI时必须触发。</w:t>
            </w:r>
          </w:p>
        </w:tc>
      </w:tr>
      <w:tr>
        <w:tc>
          <w:tcPr>
            <w:tcW w:type="dxa" w:w="181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女性/妊娠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清洁中段尿或导尿尿标本、妊娠试验、超声优先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排除污染，避免不必要放射和禁忌用药。</w:t>
            </w:r>
          </w:p>
        </w:tc>
      </w:tr>
      <w:tr>
        <w:tc>
          <w:tcPr>
            <w:tcW w:type="dxa" w:w="181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外伤路径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增强CT、CT膀胱造影、逆行尿道造影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外伤后肉眼血尿/骨盆骨折/尿道口出血需排查泌尿系损伤。</w:t>
            </w:r>
          </w:p>
        </w:tc>
      </w:tr>
    </w:tbl>
    <w:p/>
    <w:p>
      <w:pPr>
        <w:pStyle w:val="Heading1"/>
      </w:pPr>
      <w:r>
        <w:t>四、疾病路径与治疗要点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701"/>
            <w:vAlign w:val="top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疾病路径</w:t>
            </w:r>
          </w:p>
        </w:tc>
        <w:tc>
          <w:tcPr>
            <w:tcW w:type="dxa" w:w="2608"/>
            <w:vAlign w:val="top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关键线索</w:t>
            </w:r>
          </w:p>
        </w:tc>
        <w:tc>
          <w:tcPr>
            <w:tcW w:type="dxa" w:w="3005"/>
            <w:vAlign w:val="top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检查策略</w:t>
            </w:r>
          </w:p>
        </w:tc>
        <w:tc>
          <w:tcPr>
            <w:tcW w:type="dxa" w:w="3005"/>
            <w:vAlign w:val="top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治疗/会诊要点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膀胱癌</w:t>
            </w:r>
          </w:p>
        </w:tc>
        <w:tc>
          <w:tcPr>
            <w:tcW w:type="dxa" w:w="2608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高龄男性、无痛性肉眼血尿、血块、吸烟/职业暴露</w:t>
            </w:r>
          </w:p>
        </w:tc>
        <w:tc>
          <w:tcPr>
            <w:tcW w:type="dxa" w:w="3005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尿常规、肾功能、泌尿系影像、膀胱镜；影像明确肿瘤可TURBT</w:t>
            </w:r>
          </w:p>
        </w:tc>
        <w:tc>
          <w:tcPr>
            <w:tcW w:type="dxa" w:w="3005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TURBT病理和分期后决定NMIBC/MIBC路径；不能无病理治疗。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UTUC</w:t>
            </w:r>
          </w:p>
        </w:tc>
        <w:tc>
          <w:tcPr>
            <w:tcW w:type="dxa" w:w="2608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肉眼血尿、腰痛/血块梗阻、肾盂/输尿管占位</w:t>
            </w:r>
          </w:p>
        </w:tc>
        <w:tc>
          <w:tcPr>
            <w:tcW w:type="dxa" w:w="3005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CTU/MRU、膀胱镜、尿细胞学、必要时输尿管镜活检</w:t>
            </w:r>
          </w:p>
        </w:tc>
        <w:tc>
          <w:tcPr>
            <w:tcW w:type="dxa" w:w="3005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按风险分层考虑肾输尿管切除或保肾治疗；高危/转移需MDT。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结石</w:t>
            </w:r>
          </w:p>
        </w:tc>
        <w:tc>
          <w:tcPr>
            <w:tcW w:type="dxa" w:w="2608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突发肾绞痛、向腹股沟放射、恶心呕吐、镜下/肉眼血尿</w:t>
            </w:r>
          </w:p>
        </w:tc>
        <w:tc>
          <w:tcPr>
            <w:tcW w:type="dxa" w:w="3005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尿常规、血常规、肌酐、CRP、超声、非增强CT</w:t>
            </w:r>
          </w:p>
        </w:tc>
        <w:tc>
          <w:tcPr>
            <w:tcW w:type="dxa" w:w="3005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镇痛、补液、止吐；感染/梗阻/AKI则急诊处理。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感染性梗阻</w:t>
            </w:r>
          </w:p>
        </w:tc>
        <w:tc>
          <w:tcPr>
            <w:tcW w:type="dxa" w:w="2608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发热寒战、肾区痛、梗阻结石/肾积水、无尿/AKI</w:t>
            </w:r>
          </w:p>
        </w:tc>
        <w:tc>
          <w:tcPr>
            <w:tcW w:type="dxa" w:w="3005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尿血培养、血常规、CRP/PCT、影像确认梗阻</w:t>
            </w:r>
          </w:p>
        </w:tc>
        <w:tc>
          <w:tcPr>
            <w:tcW w:type="dxa" w:w="3005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立即抗感染+输尿管支架或肾造瘘引流，感染控制后再碎石。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局限性UTI/系统性UTI</w:t>
            </w:r>
          </w:p>
        </w:tc>
        <w:tc>
          <w:tcPr>
            <w:tcW w:type="dxa" w:w="2608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尿频尿急尿痛；若发热寒战/低血压/肾区痛为系统性</w:t>
            </w:r>
          </w:p>
        </w:tc>
        <w:tc>
          <w:tcPr>
            <w:tcW w:type="dxa" w:w="3005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尿常规、尿培养；系统性需血液检查和影像</w:t>
            </w:r>
          </w:p>
        </w:tc>
        <w:tc>
          <w:tcPr>
            <w:tcW w:type="dxa" w:w="3005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按严重程度选择门诊口服或住院静脉抗菌药，治疗后复查血尿。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肾小球性血尿</w:t>
            </w:r>
          </w:p>
        </w:tc>
        <w:tc>
          <w:tcPr>
            <w:tcW w:type="dxa" w:w="2608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茶色/可乐色、泡沫尿、水肿、高血压、上感后、蛋白尿/管型</w:t>
            </w:r>
          </w:p>
        </w:tc>
        <w:tc>
          <w:tcPr>
            <w:tcW w:type="dxa" w:w="3005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尿蛋白定量、肾功能、免疫学、肾内科会诊、必要时肾活检</w:t>
            </w:r>
          </w:p>
        </w:tc>
        <w:tc>
          <w:tcPr>
            <w:tcW w:type="dxa" w:w="3005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控制血压和蛋白尿，具体免疫治疗由肾内科根据病理决定。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BPH/前列腺相关</w:t>
            </w:r>
          </w:p>
        </w:tc>
        <w:tc>
          <w:tcPr>
            <w:tcW w:type="dxa" w:w="2608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老年男性、LUTS、终末血尿/尿潴留</w:t>
            </w:r>
          </w:p>
        </w:tc>
        <w:tc>
          <w:tcPr>
            <w:tcW w:type="dxa" w:w="3005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尿常规、残余尿、前列腺体积、PSA解释、必要时膀胱镜</w:t>
            </w:r>
          </w:p>
        </w:tc>
        <w:tc>
          <w:tcPr>
            <w:tcW w:type="dxa" w:w="3005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解除尿潴留、药物/手术；但不能漏排膀胱癌。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抗凝相关血尿</w:t>
            </w:r>
          </w:p>
        </w:tc>
        <w:tc>
          <w:tcPr>
            <w:tcW w:type="dxa" w:w="2608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长期阿司匹林/氯吡格雷/华法林/DOAC</w:t>
            </w:r>
          </w:p>
        </w:tc>
        <w:tc>
          <w:tcPr>
            <w:tcW w:type="dxa" w:w="3005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同等完成血尿病因评估；术前凝血和心脑血管风险评估</w:t>
            </w:r>
          </w:p>
        </w:tc>
        <w:tc>
          <w:tcPr>
            <w:tcW w:type="dxa" w:w="3005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抗凝可加重血尿但不是唯一病因；围术期MDT。</w:t>
            </w:r>
          </w:p>
        </w:tc>
      </w:tr>
    </w:tbl>
    <w:p/>
    <w:p>
      <w:pPr>
        <w:pStyle w:val="Heading1"/>
      </w:pPr>
      <w:r>
        <w:t>五、MDT触发机制</w:t>
      </w:r>
    </w:p>
    <w:p>
      <w:r>
        <w:t>本项目不是单纯诊断训练，还要训练低年级住培医生“知道什么时候不能单科处理”。以下触发点应进入Evaluator核心评分。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814"/>
            <w:vAlign w:val="top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会诊科室</w:t>
            </w:r>
          </w:p>
        </w:tc>
        <w:tc>
          <w:tcPr>
            <w:tcW w:type="dxa" w:w="3969"/>
            <w:vAlign w:val="top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触发条件</w:t>
            </w:r>
          </w:p>
        </w:tc>
        <w:tc>
          <w:tcPr>
            <w:tcW w:type="dxa" w:w="3969"/>
            <w:vAlign w:val="top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会诊要解决的问题</w:t>
            </w:r>
          </w:p>
        </w:tc>
      </w:tr>
      <w:tr>
        <w:tc>
          <w:tcPr>
            <w:tcW w:type="dxa" w:w="181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肾内科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蛋白尿、RBC管型/畸形RBC、AKI、显著高血压、水肿、泡沫尿、上感后血尿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判断肾小球性血尿；是否需肾活检；控制血压/蛋白尿；是否免疫治疗。</w:t>
            </w:r>
          </w:p>
        </w:tc>
      </w:tr>
      <w:tr>
        <w:tc>
          <w:tcPr>
            <w:tcW w:type="dxa" w:w="181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感染科/ICU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系统性UTI、发热寒战、低血压、心动过速、耐药菌、免疫抑制、感染性梗阻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抗菌药选择、培养解读、脓毒症处理、降阶梯治疗。</w:t>
            </w:r>
          </w:p>
        </w:tc>
      </w:tr>
      <w:tr>
        <w:tc>
          <w:tcPr>
            <w:tcW w:type="dxa" w:w="181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影像科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CTU不明确、肾占位分期、输尿管充盈缺损、肾静脉/下腔静脉瘤栓、外伤损伤分级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选择合适影像；解释病变来源和分期；指导介入或手术规划。</w:t>
            </w:r>
          </w:p>
        </w:tc>
      </w:tr>
      <w:tr>
        <w:tc>
          <w:tcPr>
            <w:tcW w:type="dxa" w:w="181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泌尿肿瘤/肿瘤内科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MIBC、高危UTUC、转移性尿路上皮癌、肾癌疑转移、需要新辅助/辅助治疗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分期、病理、全身治疗、MDT治疗顺序。</w:t>
            </w:r>
          </w:p>
        </w:tc>
      </w:tr>
      <w:tr>
        <w:tc>
          <w:tcPr>
            <w:tcW w:type="dxa" w:w="181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血管外科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巨大肾占位伴肾静脉/下腔静脉瘤栓、复杂血管受累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瘤栓范围、血管控制、联合手术和风险评估。</w:t>
            </w:r>
          </w:p>
        </w:tc>
      </w:tr>
      <w:tr>
        <w:tc>
          <w:tcPr>
            <w:tcW w:type="dxa" w:w="181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麻醉科/ICU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严重贫血、感染休克、重大手术、肾功能不全、高龄衰弱、抗栓药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围术期风险评估、输血、术后ICU、抗栓管理。</w:t>
            </w:r>
          </w:p>
        </w:tc>
      </w:tr>
      <w:tr>
        <w:tc>
          <w:tcPr>
            <w:tcW w:type="dxa" w:w="181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心内科/神经内科/血液科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冠脉支架、房颤、脑梗、机械瓣、长期抗凝/抗血小板、凝血异常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停药/桥接/继续抗栓方案，平衡血栓与出血风险。</w:t>
            </w:r>
          </w:p>
        </w:tc>
      </w:tr>
      <w:tr>
        <w:tc>
          <w:tcPr>
            <w:tcW w:type="dxa" w:w="181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妇产科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女性血尿样表现与月经、阴道出血、妊娠混杂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排除妇科出血污染；妊娠期影像和用药安全。</w:t>
            </w:r>
          </w:p>
        </w:tc>
      </w:tr>
      <w:tr>
        <w:tc>
          <w:tcPr>
            <w:tcW w:type="dxa" w:w="181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病理科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TURBT、肾穿刺、输尿管镜活检、肾肿瘤术后病理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确认组织学、分级、肌层是否存在、免疫组化/分子检测。</w:t>
            </w:r>
          </w:p>
        </w:tc>
      </w:tr>
      <w:tr>
        <w:tc>
          <w:tcPr>
            <w:tcW w:type="dxa" w:w="181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创伤外科/介入科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外伤后肉眼血尿、休克、肾裂伤、盆骨骨折、疑膀胱/尿道损伤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出血控制、损伤分级、介入栓塞或手术。</w:t>
            </w:r>
          </w:p>
        </w:tc>
      </w:tr>
    </w:tbl>
    <w:p/>
    <w:p>
      <w:pPr>
        <w:pStyle w:val="Heading1"/>
      </w:pPr>
      <w:r>
        <w:t>六、多智能体护栏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701"/>
            <w:vAlign w:val="top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Agent</w:t>
            </w:r>
          </w:p>
        </w:tc>
        <w:tc>
          <w:tcPr>
            <w:tcW w:type="dxa" w:w="1587"/>
            <w:vAlign w:val="top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角色</w:t>
            </w:r>
          </w:p>
        </w:tc>
        <w:tc>
          <w:tcPr>
            <w:tcW w:type="dxa" w:w="3969"/>
            <w:vAlign w:val="top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允许行为/提示词要点</w:t>
            </w:r>
          </w:p>
        </w:tc>
        <w:tc>
          <w:tcPr>
            <w:tcW w:type="dxa" w:w="2835"/>
            <w:vAlign w:val="top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禁止行为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Patient Agent</w:t>
            </w:r>
          </w:p>
        </w:tc>
        <w:tc>
          <w:tcPr>
            <w:tcW w:type="dxa" w:w="1587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模拟患者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只回答医生问到的内容；不主动泄露吸烟、抗凝药、职业暴露、家族史、上感等关键线索。回答要符合病例年龄、情绪和疾病。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不能给诊断、不能解释检查意义、不能说出教师端答案。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Order Result Agent</w:t>
            </w:r>
          </w:p>
        </w:tc>
        <w:tc>
          <w:tcPr>
            <w:tcW w:type="dxa" w:w="1587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检查检验返回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仅当医生明确下达医嘱后返回对应结果；若医嘱含糊，应要求明确项目。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不能一次性吐出全部检查；不能给未开项目结果。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MDT Consultants Agent</w:t>
            </w:r>
          </w:p>
        </w:tc>
        <w:tc>
          <w:tcPr>
            <w:tcW w:type="dxa" w:w="1587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多学科专家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根据被邀请科室身份发言：肾内科/影像/感染/肿瘤/麻醉/血管外科等；先确认关键信息是否足够，再给建议。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不能替代主治医生做最终决定；不能超出本科室专业边界。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Evaluator Agent</w:t>
            </w:r>
          </w:p>
        </w:tc>
        <w:tc>
          <w:tcPr>
            <w:tcW w:type="dxa" w:w="1587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后台导师评分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隐蔽运行，记录问诊槽位、开单、诊断、MDT、治疗与随访；按rubric实时扣分。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不能提前暴露标准答案；不能与学生直接讨论隐藏评分细节。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Orchestrator Agent</w:t>
            </w:r>
          </w:p>
        </w:tc>
        <w:tc>
          <w:tcPr>
            <w:tcW w:type="dxa" w:w="1587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主控调度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管理训练阶段、会话状态、可见字段、已问槽位、已开医嘱、MDT开启状态。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不得让前端直接读隐藏答案。</w:t>
            </w:r>
          </w:p>
        </w:tc>
      </w:tr>
    </w:tbl>
    <w:p/>
    <w:p>
      <w:pPr>
        <w:pStyle w:val="Heading1"/>
      </w:pPr>
      <w:r>
        <w:t>七、Evaluator扣分规则摘要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268"/>
            <w:vAlign w:val="top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扣分主题</w:t>
            </w:r>
          </w:p>
        </w:tc>
        <w:tc>
          <w:tcPr>
            <w:tcW w:type="dxa" w:w="3402"/>
            <w:vAlign w:val="top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错误表现</w:t>
            </w:r>
          </w:p>
        </w:tc>
        <w:tc>
          <w:tcPr>
            <w:tcW w:type="dxa" w:w="3969"/>
            <w:vAlign w:val="top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系统反馈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未确认真性血尿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未开尿常规/尿沉渣就诊断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严重扣分；提示缺乏诊断依据。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漏问血尿时相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未问起始/终末/全程或是否一直红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问诊扣分；无法完成症状学定位。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漏问肿瘤风险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无痛肉眼血尿病例未问吸烟、职业暴露、血块、体重下降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高危漏项，触发肿瘤安全网。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漏掉肾内科线索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蛋白尿/泡沫尿/水肿/高血压/上感后未问未查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触发肾内科专家质询。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感染梗阻误处理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发热梗阻直接碎石或只口服抗生素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危险错误，重扣分。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抗凝归因错误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将阿司匹林/华法林当作唯一原因，不继续排查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高危错误。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不及时MDT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巨大肾占位伴瘤栓/严重贫血/晚期肿瘤不发起MDT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核心胜任力扣分。</w:t>
            </w:r>
          </w:p>
        </w:tc>
      </w:tr>
    </w:tbl>
    <w:p/>
    <w:p>
      <w:pPr>
        <w:pStyle w:val="Heading1"/>
      </w:pPr>
      <w:r>
        <w:t>八、建议放入项目的RAG目录结构</w:t>
      </w:r>
    </w:p>
    <w:p>
      <w:r>
        <w:br/>
        <w:t>rag_sources/</w:t>
        <w:br/>
        <w:t xml:space="preserve">  hematuria_rag_summary.docx</w:t>
        <w:br/>
        <w:t xml:space="preserve">  hematuria_rag_knowledge.xlsx</w:t>
        <w:br/>
        <w:t xml:space="preserve">  chinese_guidelines/</w:t>
        <w:br/>
        <w:t xml:space="preserve">    中国泌尿外科和男科疾病诊断治疗指南_正版PDF_用户提供.pdf</w:t>
        <w:br/>
        <w:t xml:space="preserve">  textbook/</w:t>
        <w:br/>
        <w:t xml:space="preserve">    诊断学_人卫版_血尿章节_正版PDF_用户提供.pdf</w:t>
        <w:br/>
        <w:t xml:space="preserve">  local_hospital_pathways/</w:t>
        <w:br/>
        <w:t xml:space="preserve">    本院血尿诊疗路径.pdf</w:t>
        <w:br/>
        <w:t xml:space="preserve">    本院围术期抗栓药管理路径.pdf</w:t>
        <w:br/>
      </w:r>
    </w:p>
    <w:p>
      <w:pPr>
        <w:pStyle w:val="Heading1"/>
      </w:pPr>
      <w:r>
        <w:t>九、可直接给 Codex 的RAG接入提示词</w:t>
      </w:r>
    </w:p>
    <w:p>
      <w:r>
        <w:t>请把我提供的《血尿项目_RAG知识库_结构化知识表.xlsx》和《血尿项目_RAG知识库_指南诊断学摘要.docx》放入项目 /rag_sources/ 目录，并更新血尿临床思维训练系统。</w:t>
      </w:r>
    </w:p>
    <w:p>
      <w:r>
        <w:t>目标：在原有病例库和多智能体训练系统基础上，增加 Clinical Pathway Guardrails + RAG 知识库。系统应把血尿教学中的“诊断学症状学框架”和“泌尿外科/肾内科/感染/肿瘤路径”作为后台规则，强制约束 Patient Agent、Order Result Agent、MDT Agent 和 Evaluator Agent。</w:t>
      </w:r>
    </w:p>
    <w:p>
      <w:r>
        <w:t>一、RAG文件读取</w:t>
        <w:br/>
        <w:t>1. 读取 xlsx 中以下工作表：</w:t>
        <w:br/>
        <w:t xml:space="preserve">   - 知识条目_路径规则</w:t>
        <w:br/>
        <w:t xml:space="preserve">   - 问诊槽位_诊断学</w:t>
        <w:br/>
        <w:t xml:space="preserve">   - 开单返回_项目库</w:t>
        <w:br/>
        <w:t xml:space="preserve">   - MDT触发规则</w:t>
        <w:br/>
        <w:t xml:space="preserve">   - Agent护栏</w:t>
        <w:br/>
        <w:t xml:space="preserve">   - 来源与优先级</w:t>
        <w:br/>
        <w:t>2. docx 作为长文本RAG源，用于语义检索和教师端知识解释。</w:t>
        <w:br/>
        <w:t>3. 若后续我提供《中国泌尿外科和男科疾病诊断治疗指南》正版PDF或人卫版《诊断学》血尿章节PDF，应放在 /rag_sources/chinese_guidelines/ 和 /rag_sources/textbook/，并设置为最高优先级。</w:t>
      </w:r>
    </w:p>
    <w:p>
      <w:r>
        <w:t>二、知识优先级</w:t>
        <w:br/>
        <w:t>本院路径/带教老师审核规则 &gt; 中国指南正版PDF &gt; 人卫《诊断学》教材 &gt; EAU/AUA指南 &gt; NCBI/政府医学资料 &gt; 其他综述。若来源冲突，以优先级高者为准，并在教师端提示“需人工确认”。</w:t>
      </w:r>
    </w:p>
    <w:p>
      <w:r>
        <w:t>三、信息分层释放</w:t>
        <w:br/>
        <w:t>1. 问诊阶段：Patient Agent只返回被问到的槽位答案，不主动透露危险因素。</w:t>
        <w:br/>
        <w:t>2. 开单阶段：Order Result Agent只返回已开医嘱的检查结果。</w:t>
        <w:br/>
        <w:t>3. 诊断阶段：若未完成尿常规/尿沉渣确认真性血尿，提示“缺乏诊断依据”。</w:t>
        <w:br/>
        <w:t>4. 治疗阶段：无病理/分期不得给肿瘤确定性治疗；感染性梗阻不得直接碎石。</w:t>
      </w:r>
    </w:p>
    <w:p>
      <w:r>
        <w:t>四、必须实现的安全网</w:t>
        <w:br/>
        <w:t>1. 高危血尿安全网：高龄、男性、吸烟、职业暴露、无痛肉眼血尿、血块、反复发作，必须触发膀胱癌/UTUC/RCC排查。</w:t>
        <w:br/>
        <w:t>2. 肾内科安全网：蛋白尿、泡沫尿、水肿、高血压、RBC管型/畸形RBC、AKI、上感后血尿，必须触发肾小球性血尿鉴别和肾内科会诊提示。</w:t>
        <w:br/>
        <w:t>3. 感染梗阻急症：发热寒战/脓毒症 + 结石/肾积水/梗阻/无尿，必须提示抗感染、培养、急诊引流，禁止直接碎石。</w:t>
        <w:br/>
        <w:t>4. 抗凝药规则：阿司匹林、氯吡格雷、华法林、DOAC不能作为血尿唯一解释。</w:t>
        <w:br/>
        <w:t>5. 女性污染规则：女性血尿样表现必须排除月经/阴道出血污染和妊娠。</w:t>
      </w:r>
    </w:p>
    <w:p>
      <w:r>
        <w:t>五、自由问诊匹配</w:t>
        <w:br/>
        <w:t>使用《问诊槽位_诊断学》的slot_id和同义问法建立自由文本匹配。重点支持：</w:t>
        <w:br/>
        <w:t>- “是不是一直红？” -&gt; HX006</w:t>
        <w:br/>
        <w:t>- “是拉到最后才红吗？” -&gt; HX007</w:t>
        <w:br/>
        <w:t>- “刚开始红还是最后红？” -&gt; HX005/HX008/HX007</w:t>
        <w:br/>
        <w:t>- “有没有血块？” -&gt; HX010</w:t>
        <w:br/>
        <w:t>- “像茶色还是鲜红？” -&gt; HX003</w:t>
        <w:br/>
        <w:t>- “有没有泡沫尿/水肿/高血压/上感？” -&gt; HX019-HX022</w:t>
        <w:br/>
        <w:t>- “有没有抽烟/职业暴露/抗凝药？” -&gt; HX027-HX030</w:t>
      </w:r>
    </w:p>
    <w:p>
      <w:r>
        <w:t>六、后台Evaluator评分</w:t>
        <w:br/>
        <w:t>记录：</w:t>
        <w:br/>
        <w:t>- 已问槽位/未问关键槽位</w:t>
        <w:br/>
        <w:t>- 已开医嘱/漏开关键项目/不必要项目</w:t>
        <w:br/>
        <w:t>- 是否识别急症</w:t>
        <w:br/>
        <w:t>- 是否完成内科性 vs 外科性血尿鉴别</w:t>
        <w:br/>
        <w:t>- 是否按时发起MDT</w:t>
        <w:br/>
        <w:t>- 是否存在高危错误</w:t>
        <w:br/>
        <w:t>最终输出：总分、维度分、漏项、危险错误、复习建议。</w:t>
      </w:r>
    </w:p>
    <w:p>
      <w:r>
        <w:t>七、教师端</w:t>
        <w:br/>
        <w:t>教师端显示每条规则的来源source_id、RAG片段、路径解释和人工覆盖按钮。学生端不得显示最终诊断和评分答案。</w:t>
      </w:r>
    </w:p>
    <w:p>
      <w:r>
        <w:t>八、版权与边界</w:t>
        <w:br/>
        <w:t>这些资料是原创教学摘要与公开指南摘要，不是教材或指南原文复制。系统中显示“仅用于医学教育训练，不作为真实患者诊疗建议”。</w:t>
      </w:r>
    </w:p>
    <w:p>
      <w:pPr>
        <w:pStyle w:val="Heading1"/>
      </w:pPr>
      <w:r>
        <w:t>十、参考来源与替换建议</w:t>
      </w:r>
    </w:p>
    <w:p>
      <w:r>
        <w:t>以下是本摘要参考的公开来源和需要你后续用正版文件替换的来源。Excel中也保留了 source_id。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134"/>
            <w:vAlign w:val="top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source_id</w:t>
            </w:r>
          </w:p>
        </w:tc>
        <w:tc>
          <w:tcPr>
            <w:tcW w:type="dxa" w:w="2551"/>
            <w:vAlign w:val="top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来源</w:t>
            </w:r>
          </w:p>
        </w:tc>
        <w:tc>
          <w:tcPr>
            <w:tcW w:type="dxa" w:w="3685"/>
            <w:vAlign w:val="top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URL/来源位置</w:t>
            </w:r>
          </w:p>
        </w:tc>
        <w:tc>
          <w:tcPr>
            <w:tcW w:type="dxa" w:w="2835"/>
            <w:vAlign w:val="top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说明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SRC001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NCBI Bookshelf StatPearls: Gross and Microscopic Hematuria</w:t>
            </w:r>
          </w:p>
        </w:tc>
        <w:tc>
          <w:tcPr>
            <w:tcW w:type="dxa" w:w="3685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https://www.ncbi.nlm.nih.gov/books/NBK534213/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用于血尿定义、显微镜确认、假性血尿、抗凝药不能单独解释血尿、问诊线索、风险分层等。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SRC002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EAU Guidelines: Muscle-invasive and Metastatic Bladder Cancer - Diagnostic Evaluation</w:t>
            </w:r>
          </w:p>
        </w:tc>
        <w:tc>
          <w:tcPr>
            <w:tcW w:type="dxa" w:w="3685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https://uroweb.org/guidelines/muscle-invasive-and-metastatic-bladder-cancer/chapter/diagnostic-evaluation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用于膀胱癌诊断路径：膀胱镜、尿细胞学、TURBT病理和分期。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SRC003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EAU Guidelines: MIBC - Epidemiology and Aetiology</w:t>
            </w:r>
          </w:p>
        </w:tc>
        <w:tc>
          <w:tcPr>
            <w:tcW w:type="dxa" w:w="3685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https://uroweb.org/guidelines/muscle-invasive-and-metastatic-bladder-cancer/chapter/epidemiology-and-aetiology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用于膀胱癌临床表现、吸烟与职业暴露危险因素。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SRC004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EAU Guidelines: Upper Urinary Tract Urothelial Cell Carcinoma - Diagnosis</w:t>
            </w:r>
          </w:p>
        </w:tc>
        <w:tc>
          <w:tcPr>
            <w:tcW w:type="dxa" w:w="3685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https://uroweb.org/guidelines/upper-urinary-tract-urothelial-cell-carcinoma/chapter/diagnosis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用于UTUC症状、CTU、膀胱镜、尿细胞学、输尿管镜等路径。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SRC005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EAU Guidelines: Urolithiasis</w:t>
            </w:r>
          </w:p>
        </w:tc>
        <w:tc>
          <w:tcPr>
            <w:tcW w:type="dxa" w:w="3685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https://uroweb.org/guidelines/urolithiasis/chapter/guidelines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用于肾绞痛、结石检查、感染性梗阻急诊引流、抗凝围术期处理等。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SRC006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EAU Guidelines: Urological Infections</w:t>
            </w:r>
          </w:p>
        </w:tc>
        <w:tc>
          <w:tcPr>
            <w:tcW w:type="dxa" w:w="3685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https://uroweb.org/guidelines/urological-infections/chapter/the-guideline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用于局限性UTI/系统性UTI区分、风险因素、影像和住院/静脉抗感染指征。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SRC007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NCBI Bookshelf StatPearls: Acute Renal Colic</w:t>
            </w:r>
          </w:p>
        </w:tc>
        <w:tc>
          <w:tcPr>
            <w:tcW w:type="dxa" w:w="3685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https://www.ncbi.nlm.nih.gov/books/NBK431091/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用于肾绞痛特征、影像、止痛、感染梗阻紧急引流。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SRC008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NIDDK: IgA Nephropathy</w:t>
            </w:r>
          </w:p>
        </w:tc>
        <w:tc>
          <w:tcPr>
            <w:tcW w:type="dxa" w:w="3685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https://www.niddk.nih.gov/health-information/kidney-disease/iga-nephropathy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用于IgA肾病血尿、蛋白尿、水肿、上感后发作、肾活检与肾内科管理。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SRC009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AUA/SUFU Microhematuria Guideline page</w:t>
            </w:r>
          </w:p>
        </w:tc>
        <w:tc>
          <w:tcPr>
            <w:tcW w:type="dxa" w:w="3685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https://www.auanet.org/guidelines-and-quality/guidelines/microhematuria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网页可能有访问限制；项目RAG中可保留入口，若本地有PDF应替换为本地文档。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SRC010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人卫版《诊断学》血尿章节</w:t>
            </w:r>
          </w:p>
        </w:tc>
        <w:tc>
          <w:tcPr>
            <w:tcW w:type="dxa" w:w="3685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需用户自行提供正版来源；本文件不复制原文。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本包只按诊断学常用症状学框架做原创总结：血尿性质、时相、伴随症状、定位和鉴别。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SRC011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《中国泌尿外科和男科疾病诊断治疗指南》</w:t>
            </w:r>
          </w:p>
        </w:tc>
        <w:tc>
          <w:tcPr>
            <w:tcW w:type="dxa" w:w="3685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建议放入项目 /rag_sources/chinese_guidelines/ 目录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本包按公开EAU/AUA/NCBI及通用国内教学路径做摘要；若有中国指南PDF，应设为RAG最高优先级。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血尿临床思维训练项目 RAG知识库摘要 | 教学用途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