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MATRIZ DE VARIABLES DE INVESTIGACIÓN</w:t>
      </w:r>
    </w:p>
    <w:p>
      <w:pPr>
        <w:pStyle w:val="Heading2"/>
      </w:pPr>
      <w:r>
        <w:t xml:space="preserve">Proyecto "Filoxenia" — IA Conversacional Meta-Humana</w:t>
      </w:r>
    </w:p>
    <w:p>
      <w:r>
        <w:rPr>
          <w:b/>
          <w:bCs/>
        </w:rPr>
        <w:t xml:space="preserve">Universidad de Cundinamarca · Extensión Chía · Ingeniería de Sistemas</w:t>
      </w:r>
      <w:r>
        <w:t xml:space="preserve"> Documento complementario al Anteproyecto y al RAE (Resumen Analítico Especializado).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2"/>
      </w:pPr>
      <w:r>
        <w:t xml:space="preserve">1. Propósito del documento</w:t>
      </w:r>
    </w:p>
    <w:p>
      <w:r>
        <w:t xml:space="preserve">Este documento sistematiza </w:t>
      </w:r>
      <w:r>
        <w:rPr>
          <w:b/>
          <w:bCs/>
        </w:rPr>
        <w:t xml:space="preserve">todas las variables</w:t>
      </w:r>
      <w:r>
        <w:t xml:space="preserve"> identificadas en el proyecto de investigación, extraídas a partir de dos fuentes:</w:t>
      </w:r>
    </w:p>
    <w:p>
      <w:r>
        <w:t xml:space="preserve">• </w:t>
      </w:r>
      <w:r>
        <w:rPr>
          <w:b/>
          <w:bCs/>
        </w:rPr>
        <w:t xml:space="preserve">La pregunta problema</w:t>
      </w:r>
      <w:r>
        <w:t xml:space="preserve"> y los objetivos del anteproyecto (variables propias del proyecto).</w:t>
      </w:r>
    </w:p>
    <w:p>
      <w:r>
        <w:t xml:space="preserve">• </w:t>
      </w:r>
      <w:r>
        <w:rPr>
          <w:b/>
          <w:bCs/>
        </w:rPr>
        <w:t xml:space="preserve">Los 30 artículos académicos</w:t>
      </w:r>
      <w:r>
        <w:t xml:space="preserve"> revisados en el RAE (variables utilizadas por otros autores en estudios afines).</w:t>
      </w:r>
    </w:p>
    <w:p>
      <w:r>
        <w:t xml:space="preserve">Para cada variable se registra: (a) nombre, (b) autor(es) que la emplean, (c) definición según el autor, (d) comparación entre autores cuando existen divergencias, (e) decisión de nuestro equipo sobre qué definición adoptamos y por qué. El propósito final es contar con una </w:t>
      </w:r>
      <w:r>
        <w:rPr>
          <w:b/>
          <w:bCs/>
        </w:rPr>
        <w:t xml:space="preserve">matriz operacional de variables</w:t>
      </w:r>
      <w:r>
        <w:t xml:space="preserve"> que guíe el diseño del prototipo, los instrumentos de validación y el análisis de resultados.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2"/>
      </w:pPr>
      <w:r>
        <w:t xml:space="preserve">2. Metodología de extracción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Barrido 1 — Pregunta problema:</w:t>
      </w:r>
      <w:r>
        <w:t xml:space="preserve"> se descompuso la pregunta en constructos atómicos para identificar variables dependientes, independientes y moderadoras.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Barrido 2 — Por autor:</w:t>
      </w:r>
      <w:r>
        <w:t xml:space="preserve"> de cada uno de los 30 artículos del RAE se extrajeron entre 4 y 8 variables centrales.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Barrido 3 — Detección de coincidencias:</w:t>
      </w:r>
      <w:r>
        <w:t xml:space="preserve"> se agruparon variables equivalentes aunque fueran nombradas de forma distinta por distintos autores (ej. </w:t>
      </w:r>
      <w:r>
        <w:rPr>
          <w:i/>
          <w:iCs/>
        </w:rPr>
        <w:t xml:space="preserve">presencia social</w:t>
      </w:r>
      <w:r>
        <w:t xml:space="preserve"> ≈ </w:t>
      </w:r>
      <w:r>
        <w:rPr>
          <w:i/>
          <w:iCs/>
        </w:rPr>
        <w:t xml:space="preserve">sentido de presencia</w:t>
      </w:r>
      <w:r>
        <w:t xml:space="preserve"> ≈ </w:t>
      </w:r>
      <w:r>
        <w:rPr>
          <w:i/>
          <w:iCs/>
        </w:rPr>
        <w:t xml:space="preserve">co-presencia</w:t>
      </w:r>
      <w: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Barrido 4 — Resolución de conflictos:</w:t>
      </w:r>
      <w:r>
        <w:t xml:space="preserve"> cuando dos autores definen una misma variable de forma distinta, se documenta la discrepancia y se adopta la definición más compatible con el enfoque de Filoxenia.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2"/>
      </w:pPr>
      <w:r>
        <w:t xml:space="preserve">3. Variables derivadas de la pregunta problema</w:t>
      </w:r>
    </w:p>
    <w:p>
      <w:pPr>
        <w:ind w:left="360"/>
      </w:pPr>
      <w:r>
        <w:rPr>
          <w:i/>
          <w:iCs/>
        </w:rPr>
        <w:t xml:space="preserve">"¿Cómo se puede diseñar e implementar un prototipo de meta-humano interactivo basado en inteligencia artificial, capaz de comprender el lenguaje verbal, visual y corporal, que permita fortalecer las habilidades comunicativas de los usuarios y facilitar su integración social sin generar dependencia tecnológica?"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Definición operacional propia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Prototipo de meta-humano interactivo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Independiente (artefacto)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Sistema digital que integra PLN, visión por computador y síntesis multimodal para simular interacción humana.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Comprensión del lenguaje verbal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Independiente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Capacidad del sistema para procesar, interpretar y generar respuesta coherente a entrada hablada/escrita del usuario.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Comprensión del lenguaje visual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Independiente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Reconocimiento de expresiones faciales, microexpresiones y regiones informativas (ojos, boca) del usuario.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Comprensión del lenguaje corporal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Independiente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Detección de gestos, postura y cinemática corporal que acompañan al discurso.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Habilidades comunicativas del usuario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Dependiente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Fluidez verbal, organización de ideas, vocabulario, escucha activa y confianza al hablar.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Integración social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Dependiente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Grado de participación del usuario en interacciones humanas reales (académicas, laborales, cotidianas) tras usar el prototipo.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Dependencia tecnológica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Variable de control (a minimizar)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Nivel de uso compulsivo o sustitución de vínculos humanos por interacción con el agente.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V8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Inteligencia artificial como mediador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Independiente (marco)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Rol de la IA como facilitadora del aprendizaje social, no como sustituto del vínculo humano.</w:t>
            </w:r>
          </w:p>
        </w:tc>
      </w:tr>
    </w:tbl>
    <w:p>
      <w:r>
        <w:t xml:space="preserve"/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2"/>
      </w:pPr>
      <w:r>
        <w:t xml:space="preserve">4. Variables por autor (RAE · 30 artículos)</w:t>
      </w:r>
    </w:p>
    <w:p>
      <w:pPr>
        <w:ind w:left="360"/>
      </w:pPr>
      <w:r>
        <w:rPr>
          <w:i/>
          <w:iCs/>
        </w:rPr>
        <w:t xml:space="preserve">Formato: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Autor (año)</w:t>
      </w:r>
      <w:r>
        <w:rPr>
          <w:i/>
          <w:iCs/>
        </w:rPr>
        <w:t xml:space="preserve"> — Variables centrales con su definición breve.</w:t>
      </w:r>
    </w:p>
    <w:p>
      <w:pPr>
        <w:pStyle w:val="Heading3"/>
      </w:pPr>
      <w:r>
        <w:t xml:space="preserve">Eje 1. Avatares virtuales e interacción humano-IA</w:t>
      </w:r>
    </w:p>
    <w:p>
      <w:r>
        <w:t xml:space="preserve">*</w:t>
      </w:r>
      <w:r>
        <w:rPr>
          <w:i/>
          <w:iCs/>
        </w:rPr>
        <w:t xml:space="preserve">1. Nam et al. (2025) — </w:t>
      </w:r>
      <w:r>
        <w:t xml:space="preserve">Avagent***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Presencia social (social presence):</w:t>
      </w:r>
      <w:r>
        <w:t xml:space="preserve"> sensación de que el otro está "realmente ahí" durante la interacción mediada.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Sentido de pertenencia (sense of belonging):</w:t>
      </w:r>
      <w:r>
        <w:t xml:space="preserve"> grado de inclusión percibida en el grupo virtual.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Intimidad emocional:</w:t>
      </w:r>
      <w:r>
        <w:t xml:space="preserve"> cercanía afectiva establecida durante la conversación.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Señales verbales y no verbales replicadas:</w:t>
      </w:r>
      <w:r>
        <w:t xml:space="preserve"> fidelidad del avatar al reproducir gestos y voz del usuario.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Calidad de la comunicación:</w:t>
      </w:r>
      <w:r>
        <w:t xml:space="preserve"> claridad, naturalidad y sincronía percibidas.</w:t>
      </w:r>
    </w:p>
    <w:p>
      <w:r>
        <w:rPr>
          <w:b/>
          <w:bCs/>
        </w:rPr>
        <w:t xml:space="preserve">2. Nowak &amp; Fox (2018)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Representación digital (avatar):</w:t>
      </w:r>
      <w:r>
        <w:t xml:space="preserve"> cualquier entidad gráfica que representa al usuario en entorno virtual.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Antropomorfismo:</w:t>
      </w:r>
      <w:r>
        <w:t xml:space="preserve"> grado en que el avatar presenta rasgos humanos.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Realismo visual:</w:t>
      </w:r>
      <w:r>
        <w:t xml:space="preserve"> fidelidad fotográfica del avatar.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Identificación del usuario con el avatar.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Efectos sobre la percepción social.</w:t>
      </w:r>
    </w:p>
    <w:p>
      <w:r>
        <w:rPr>
          <w:b/>
          <w:bCs/>
        </w:rPr>
        <w:t xml:space="preserve">3. Lazebnik et al. (2025)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Cortesía (politeness) en la interacción.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Tipo de interlocutor (humano vs IA).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Apariencia humana del avatar.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Duración / sostenimiento de la interacción.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Normas sociales aplicadas al agente artificial.</w:t>
      </w:r>
    </w:p>
    <w:p>
      <w:r>
        <w:rPr>
          <w:b/>
          <w:bCs/>
        </w:rPr>
        <w:t xml:space="preserve">4. Osorio-Andrade et al. (2024)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Credibilidad percibida del comunicador.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Tipo de presentador (humano / avatar IA realista).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Efecto "valle inquietante" (uncanny valley).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Realismo del avatar.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Intención de creer en la noticia/mensaje.</w:t>
      </w:r>
    </w:p>
    <w:p>
      <w:r>
        <w:rPr>
          <w:b/>
          <w:bCs/>
        </w:rPr>
        <w:t xml:space="preserve">5. Chattopadhyay et al. (2020)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Humano virtual (virtual human).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Interacción paciente-sistema.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Calidad de la comunicación clínica.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Adherencia a la intervención.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Satisfacción del usuario.</w:t>
      </w:r>
    </w:p>
    <w:p>
      <w:r>
        <w:t xml:space="preserve">*</w:t>
      </w:r>
      <w:r>
        <w:rPr>
          <w:i/>
          <w:iCs/>
        </w:rPr>
        <w:t xml:space="preserve">6. Collins et al. (2024) — </w:t>
      </w:r>
      <w:r>
        <w:t xml:space="preserve">Metahuman Project***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Metahumano educativo.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Habilidades blandas (soft skills).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Simulación inmersiva.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Práctica de conversaciones profesionales.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Entorno seguro de aprendizaje.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3"/>
      </w:pPr>
      <w:r>
        <w:t xml:space="preserve">Eje 2. Inteligencia artificial y habilidades comunicativas</w:t>
      </w:r>
    </w:p>
    <w:p>
      <w:r>
        <w:rPr>
          <w:b/>
          <w:bCs/>
        </w:rPr>
        <w:t xml:space="preserve">7. Chocobar Reyes et al. (2025)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IA generativa.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Habilidades comunicativas orales.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Confianza al hablar.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Organización de ideas.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Adquisición de vocabulario.</w:t>
      </w:r>
    </w:p>
    <w:p>
      <w:r>
        <w:rPr>
          <w:b/>
          <w:bCs/>
        </w:rPr>
        <w:t xml:space="preserve">8. González Olaya (2023)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Entornos de aprendizaje interactivos.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Fortalecimiento de habilidades comunicativas.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Mediación tecnológica.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Retroalimentación personalizada.</w:t>
      </w:r>
    </w:p>
    <w:p>
      <w:r>
        <w:rPr>
          <w:b/>
          <w:bCs/>
        </w:rPr>
        <w:t xml:space="preserve">9. Ayala Hernández &amp; Haro Esquivel (2024)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IA como mediadora pedagógica.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Retroalimentación inmediata.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Personalización del aprendizaje.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Comunicación en el aula.</w:t>
      </w:r>
    </w:p>
    <w:p>
      <w:r>
        <w:rPr>
          <w:b/>
          <w:bCs/>
        </w:rPr>
        <w:t xml:space="preserve">10. Toledo Purguaya et al. (2025)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Fluidez verbal.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Vocabulario.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Confianza comunicativa.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Integración temprana de IA (nivel inicial).</w:t>
      </w:r>
    </w:p>
    <w:p>
      <w:r>
        <w:rPr>
          <w:b/>
          <w:bCs/>
        </w:rPr>
        <w:t xml:space="preserve">11. Infante-Miranda et al. (2024)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Competencia comunicativa.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Educación superior.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Procesos interactivos de aprendizaje.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Impacto de la IA en el estudiante.</w:t>
      </w:r>
    </w:p>
    <w:p>
      <w:r>
        <w:rPr>
          <w:b/>
          <w:bCs/>
        </w:rPr>
        <w:t xml:space="preserve">12. Cely Betancourt et al. (s.f.)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Enseñanza de habilidades comunicativas (EFL).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Interacción personalizada.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Feedback automático.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Aprendizaje del inglés como lengua extranjera.</w:t>
      </w:r>
    </w:p>
    <w:p>
      <w:r>
        <w:rPr>
          <w:b/>
          <w:bCs/>
        </w:rPr>
        <w:t xml:space="preserve">13. Murcia et al. (s.f.)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GenAI en enseñanza de lenguas.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Percepción de stakeholders (docentes/estudiantes).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Evaluación mediada por IA.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Ética académica.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3"/>
      </w:pPr>
      <w:r>
        <w:t xml:space="preserve">Eje 3. Procesamiento de lenguaje natural y reconocimiento emocional</w:t>
      </w:r>
    </w:p>
    <w:p>
      <w:r>
        <w:rPr>
          <w:b/>
          <w:bCs/>
        </w:rPr>
        <w:t xml:space="preserve">14. Chen et al. (s.f.)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Procesamiento de Lenguaje Natural (PLN).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Modelos basados en reglas vs. aprendizaje profundo.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Chatbots y asistentes virtuales.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Comprensión y generación del lenguaje.</w:t>
      </w:r>
    </w:p>
    <w:p>
      <w:r>
        <w:rPr>
          <w:b/>
          <w:bCs/>
        </w:rPr>
        <w:t xml:space="preserve">15. Mundlamuri et al. (2025)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Machine learning clásico.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Modelos de lenguaje grande (LLM).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Arquitectura RAG (Retrieval-Augmented Generation).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Contextualización de respuestas.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Evolución histórica de la IA.</w:t>
      </w:r>
    </w:p>
    <w:p>
      <w:r>
        <w:rPr>
          <w:b/>
          <w:bCs/>
        </w:rPr>
        <w:t xml:space="preserve">16. Burgos et al. (s.f.)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Análisis de percepción.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Lingüística computacional.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Extracción de información relevante.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Contexto colombiano (U. de Nariño).</w:t>
      </w:r>
    </w:p>
    <w:p>
      <w:r>
        <w:rPr>
          <w:b/>
          <w:bCs/>
        </w:rPr>
        <w:t xml:space="preserve">17. Qian et al. (2024)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Reconocimiento de emociones faciales en tiempo real.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Redes neuronales convolucionales (CNN).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Siete emociones básicas (Ekman).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Precisión del clasificador.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Latencia del sistema.</w:t>
      </w:r>
    </w:p>
    <w:p>
      <w:r>
        <w:rPr>
          <w:b/>
          <w:bCs/>
        </w:rPr>
        <w:t xml:space="preserve">18. Sowden et al. (2019)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Cinemática facial (movimiento).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Velocidad del gesto expresivo.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Dinámica temporal de la emoción.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Reconocimiento emocional basado en movimiento.</w:t>
      </w:r>
    </w:p>
    <w:p>
      <w:r>
        <w:rPr>
          <w:b/>
          <w:bCs/>
        </w:rPr>
        <w:t xml:space="preserve">19. Wegrzyn et al. (2017)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Regiones faciales informativas.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Relevancia de ojos y boca.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Mapeo emocional del rostro.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Precisión del reconocimiento por región.</w:t>
      </w:r>
    </w:p>
    <w:p>
      <w:r>
        <w:rPr>
          <w:b/>
          <w:bCs/>
        </w:rPr>
        <w:t xml:space="preserve">20. Romero-Gomez &amp; Orjuela-Cañón (s.f.)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Análisis de procesos de aprendizaje mediante PLN.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Minería de texto educativo.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Bioinformática como dominio de prueba.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3"/>
      </w:pPr>
      <w:r>
        <w:t xml:space="preserve">Eje 4. Diseño y ética en sistemas de IA</w:t>
      </w:r>
    </w:p>
    <w:p>
      <w:r>
        <w:rPr>
          <w:b/>
          <w:bCs/>
        </w:rPr>
        <w:t xml:space="preserve">21. Amershi et al. (2019)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Guías de diseño humano-IA (18 guidelines).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Transparencia.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Control del usuario.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Manejo de errores.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Confianza en el sistema.</w:t>
      </w:r>
    </w:p>
    <w:p>
      <w:r>
        <w:rPr>
          <w:b/>
          <w:bCs/>
        </w:rPr>
        <w:t xml:space="preserve">22. Campana Ruiz et al. (2024)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Empatía genuina (vs simulada).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Experiencia subjetiva.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IA como complemento (no sustituto).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Ética en salud mental.</w:t>
      </w:r>
    </w:p>
    <w:p>
      <w:r>
        <w:rPr>
          <w:b/>
          <w:bCs/>
        </w:rPr>
        <w:t xml:space="preserve">23. González, F. (2025)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"Supereyo digital" (autocontrol algorítmico ético).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Aplicaciones de la IA en investigación psicológica.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Sesgo algorítmico.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Responsabilidad del investigador.</w:t>
      </w:r>
    </w:p>
    <w:p>
      <w:r>
        <w:rPr>
          <w:b/>
          <w:bCs/>
        </w:rPr>
        <w:t xml:space="preserve">24. Rojas Rodríguez (2024)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Herramientas de IA en comunicación social.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Calidad educativa.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Políticas éticas.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Metodologías pedagógicas responsables.</w:t>
      </w:r>
    </w:p>
    <w:p>
      <w:r>
        <w:rPr>
          <w:b/>
          <w:bCs/>
        </w:rPr>
        <w:t xml:space="preserve">25. Florido Álvarez (2020)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Chatbot institucional.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Business Process Management (BPM).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Automatización en sector público.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Viabilidad en entornos colombianos.</w:t>
      </w:r>
    </w:p>
    <w:p>
      <w:r>
        <w:rPr>
          <w:b/>
          <w:bCs/>
        </w:rPr>
        <w:t xml:space="preserve">26. Trillos León &amp; Trillos León (2025)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Asistente virtual.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Design Thinking.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Atención al usuario.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Digitalización de servicios jurídicos.</w:t>
      </w:r>
    </w:p>
    <w:p>
      <w:r>
        <w:rPr>
          <w:b/>
          <w:bCs/>
        </w:rPr>
        <w:t xml:space="preserve">27. Serrano Gómez (2025)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Asistente digital IA.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ASR (Reconocimiento automático de voz).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RAG (recuperación aumentada).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Asistencia cognitiva.</w:t>
      </w:r>
    </w:p>
    <w:p>
      <w:r>
        <w:rPr>
          <w:b/>
          <w:bCs/>
        </w:rPr>
        <w:t xml:space="preserve">28. Rojas-Contreras et al. (s.f.)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IA generativa en comunicación científica.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Calidad y confiabilidad del contenido.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Autoría y ética.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3"/>
      </w:pPr>
      <w:r>
        <w:t xml:space="preserve">Referencias de salud / psicología social</w:t>
      </w:r>
    </w:p>
    <w:p>
      <w:r>
        <w:rPr>
          <w:b/>
          <w:bCs/>
        </w:rPr>
        <w:t xml:space="preserve">29. De Choudhury et al. (2013)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Predicción de depresión.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Señales de redes sociales.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Actividad social en línea.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Expresión de emociones negativas.</w:t>
      </w:r>
    </w:p>
    <w:p>
      <w:r>
        <w:rPr>
          <w:b/>
          <w:bCs/>
        </w:rPr>
        <w:t xml:space="preserve">30. Holt-Lunstad (2018)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Relaciones sociales.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Aislamiento social como factor de riesgo.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Salud física y mental.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</w:rPr>
        <w:t xml:space="preserve">Enfoque sistémico de protección.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2"/>
      </w:pPr>
      <w:r>
        <w:t xml:space="preserve">5. Análisis comparativo — variables con divergencias entre autores</w:t>
      </w:r>
    </w:p>
    <w:p>
      <w:r>
        <w:t xml:space="preserve">A continuación se documentan las variables que aparecen en múltiples estudios con </w:t>
      </w:r>
      <w:r>
        <w:rPr>
          <w:b/>
          <w:bCs/>
        </w:rPr>
        <w:t xml:space="preserve">definiciones distintas</w:t>
      </w:r>
      <w:r>
        <w:t xml:space="preserve">. Para cada una se indica la postura de los autores, la tensión identificada y la definición adoptada por el equipo Filoxenia.</w:t>
      </w:r>
    </w:p>
    <w:p>
      <w:pPr>
        <w:pStyle w:val="Heading3"/>
      </w:pPr>
      <w:r>
        <w:t xml:space="preserve">5.1 Realismo del avatar / antropomorfismo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Postura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Nam et al. (2025)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 mayor fidelidad verbal/no verbal del avatar → mayor presencia social y conexión. El realismo </w:t>
            </w:r>
            <w:r>
              <w:rPr>
                <w:b/>
                <w:bCs/>
              </w:rPr>
              <w:t xml:space="preserve">favorece</w:t>
            </w:r>
            <w:r>
              <w:t xml:space="preserve"> la interacción.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Nowak &amp; Fox (2018)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El realismo y el antropomorfismo influyen pero no linealmente: dependen del contexto y la identificación del usuario.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Lazebnik et al. (2025)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Avatares con apariencia humana generan </w:t>
            </w:r>
            <w:r>
              <w:rPr>
                <w:b/>
                <w:bCs/>
              </w:rPr>
              <w:t xml:space="preserve">más cortesía</w:t>
            </w:r>
            <w:r>
              <w:t xml:space="preserve"> y sostenimiento de la interacción.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Osorio-Andrade et al. (2024)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Avatares </w:t>
            </w:r>
            <w:r>
              <w:rPr>
                <w:b/>
                <w:bCs/>
              </w:rPr>
              <w:t xml:space="preserve">excesivamente</w:t>
            </w:r>
            <w:r>
              <w:t xml:space="preserve"> realistas pierden credibilidad por el "valle inquietante".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Tensión:</w:t>
      </w:r>
      <w:r>
        <w:t xml:space="preserve"> Nam y Lazebnik empujan hacia el máximo realismo; Osorio-Andrade advierte que pasarse del umbral es contraproducente.</w:t>
      </w:r>
    </w:p>
    <w:p>
      <w:r>
        <w:rPr>
          <w:b/>
          <w:bCs/>
        </w:rPr>
        <w:t xml:space="preserve">Decisión Filoxenia:</w:t>
      </w:r>
      <w:r>
        <w:t xml:space="preserve"> Adoptamos la postura de </w:t>
      </w:r>
      <w:r>
        <w:rPr>
          <w:b/>
          <w:bCs/>
        </w:rPr>
        <w:t xml:space="preserve">Osorio-Andrade et al.</w:t>
      </w:r>
      <w:r>
        <w:t xml:space="preserve"> como restricción de diseño (no cruzar el valle inquietante) y la postura de </w:t>
      </w:r>
      <w:r>
        <w:rPr>
          <w:b/>
          <w:bCs/>
        </w:rPr>
        <w:t xml:space="preserve">Nam et al.</w:t>
      </w:r>
      <w:r>
        <w:t xml:space="preserve"> como objetivo funcional (alta fidelidad en señales verbales/no verbales). Es decir, realismo </w:t>
      </w:r>
      <w:r>
        <w:rPr>
          <w:b/>
          <w:bCs/>
        </w:rPr>
        <w:t xml:space="preserve">estilizado</w:t>
      </w:r>
      <w:r>
        <w:t xml:space="preserve"> pero expresivamente fiel, no foto-realista al 100%.</w:t>
      </w:r>
    </w:p>
    <w:p>
      <w:pPr>
        <w:pStyle w:val="Heading3"/>
      </w:pPr>
      <w:r>
        <w:t xml:space="preserve">5.2 Rol de la IA en la comunicación humana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Postura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Chocobar Reyes et al. (2025); Toledo Purguaya et al. (2025); Infante-Miranda et al. (2024)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La IA </w:t>
            </w:r>
            <w:r>
              <w:rPr>
                <w:b/>
                <w:bCs/>
              </w:rPr>
              <w:t xml:space="preserve">fortalece</w:t>
            </w:r>
            <w:r>
              <w:t xml:space="preserve"> activamente las habilidades comunicativas.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Ayala Hernández &amp; Haro Esquivel (2024); González Olaya (2023)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La IA es </w:t>
            </w:r>
            <w:r>
              <w:rPr>
                <w:b/>
                <w:bCs/>
              </w:rPr>
              <w:t xml:space="preserve">mediadora pedagógica</w:t>
            </w:r>
            <w:r>
              <w:t xml:space="preserve"> con retroalimentación inmediata.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Campana Ruiz et al. (2024)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La IA es </w:t>
            </w:r>
            <w:r>
              <w:rPr>
                <w:b/>
                <w:bCs/>
              </w:rPr>
              <w:t xml:space="preserve">complemento</w:t>
            </w:r>
            <w:r>
              <w:t xml:space="preserve">, nunca sustituto, por carecer de empatía genuina.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Turkle (2011) </w:t>
            </w:r>
            <w:r>
              <w:rPr>
                <w:i/>
                <w:iCs/>
              </w:rPr>
              <w:t xml:space="preserve">(referencia marco)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Riesgo de que la tecnología reemplace el vínculo humano.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Decisión Filoxenia:</w:t>
      </w:r>
      <w:r>
        <w:t xml:space="preserve"> La IA es </w:t>
      </w:r>
      <w:r>
        <w:rPr>
          <w:b/>
          <w:bCs/>
        </w:rPr>
        <w:t xml:space="preserve">mediadora y entrenadora de habilidades</w:t>
      </w:r>
      <w:r>
        <w:t xml:space="preserve">, nunca sustituto del vínculo humano. Integramos el principio ético de Campana Ruiz y Turkle como </w:t>
      </w:r>
      <w:r>
        <w:rPr>
          <w:b/>
          <w:bCs/>
        </w:rPr>
        <w:t xml:space="preserve">límite de diseño</w:t>
      </w:r>
      <w:r>
        <w:t xml:space="preserve"> (V7 — dependencia tecnológica a minimizar) y la función pedagógica de Ayala/Chocobar como </w:t>
      </w:r>
      <w:r>
        <w:rPr>
          <w:b/>
          <w:bCs/>
        </w:rPr>
        <w:t xml:space="preserve">función principal</w:t>
      </w:r>
      <w:r>
        <w:t xml:space="preserve">.</w:t>
      </w:r>
    </w:p>
    <w:p>
      <w:pPr>
        <w:pStyle w:val="Heading3"/>
      </w:pPr>
      <w:r>
        <w:t xml:space="preserve">5.3 Reconocimiento emocional — ¿qué variable facial es más informativa?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Variable priorizada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Qian et al. (2024)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Rostro completo analizado por CNN; precisión ~alta en 7 emociones básicas.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Sowden et al. (2019)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La </w:t>
            </w:r>
            <w:r>
              <w:rPr>
                <w:b/>
                <w:bCs/>
              </w:rPr>
              <w:t xml:space="preserve">cinemática</w:t>
            </w:r>
            <w:r>
              <w:t xml:space="preserve"> (movimiento) es la clave, más que la forma estática.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Wegrzyn et al. (2017)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Ojos y boca</w:t>
            </w:r>
            <w:r>
              <w:t xml:space="preserve"> concentran la información emocional.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Decisión Filoxenia:</w:t>
      </w:r>
      <w:r>
        <w:t xml:space="preserve"> Usaremos una arquitectura CNN sobre rostro completo (Qian) </w:t>
      </w:r>
      <w:r>
        <w:rPr>
          <w:b/>
          <w:bCs/>
        </w:rPr>
        <w:t xml:space="preserve">ponderando</w:t>
      </w:r>
      <w:r>
        <w:t xml:space="preserve"> las regiones de ojos y boca (Wegrzyn) e incorporando ventana temporal para capturar cinemática (Sowden). Es decir, combinamos las tres aproximaciones.</w:t>
      </w:r>
    </w:p>
    <w:p>
      <w:pPr>
        <w:pStyle w:val="Heading3"/>
      </w:pPr>
      <w:r>
        <w:t xml:space="preserve">5.4 Presencia social / co-presencia / sentido de pertenencia</w:t>
      </w:r>
    </w:p>
    <w:p>
      <w:r>
        <w:t xml:space="preserve">Variables que en diferentes autores reciben nombres distintos pero describen fenómenos cercanos.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Nombre usado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Nam et al. (2025)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Social presence, sense of belonging, emotional intimacy.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Chattopadhyay et al. (2020)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Patient-system engagement.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Collins et al. (2024)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Experiencia inmersiva de aprendizaje.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Decisión Filoxenia:</w:t>
      </w:r>
      <w:r>
        <w:t xml:space="preserve"> Unificamos bajo la variable </w:t>
      </w:r>
      <w:r>
        <w:rPr>
          <w:b/>
          <w:bCs/>
        </w:rPr>
        <w:t xml:space="preserve">"Presencia social percibida"</w:t>
      </w:r>
      <w:r>
        <w:t xml:space="preserve">, con tres dimensiones medibles: (a) co-presencia, (b) pertenencia, (c) intimidad emocional — siguiendo el esquema de Nam et al. por ser el más operacionalizable.</w:t>
      </w:r>
    </w:p>
    <w:p>
      <w:pPr>
        <w:pStyle w:val="Heading3"/>
      </w:pPr>
      <w:r>
        <w:t xml:space="preserve">5.5 Habilidades comunicativas — ¿qué sub-variables la componen?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Sub-variables propuestas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Chocobar Reyes et al. (2025)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Confianza + organización de ideas + vocabulario.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Toledo Purguaya et al. (2025)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Fluidez verbal + vocabulario + confianza.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Infante-Miranda et al. (2024)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Competencia comunicativa (global).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Decisión Filoxenia:</w:t>
      </w:r>
      <w:r>
        <w:t xml:space="preserve"> Adoptamos el esquema </w:t>
      </w:r>
      <w:r>
        <w:rPr>
          <w:b/>
          <w:bCs/>
        </w:rPr>
        <w:t xml:space="preserve">más granular</w:t>
      </w:r>
      <w:r>
        <w:t xml:space="preserve"> combinando Chocobar + Toledo: </w:t>
      </w:r>
      <w:r>
        <w:rPr>
          <w:i/>
          <w:iCs/>
        </w:rPr>
        <w:t xml:space="preserve">confianza al hablar, organización de ideas, fluidez verbal, vocabulario, escucha activa</w:t>
      </w:r>
      <w:r>
        <w:t xml:space="preserve">. La "escucha activa" la añadimos nosotros porque ningún autor la consideró y es central en nuestro proyecto.</w:t>
      </w:r>
    </w:p>
    <w:p>
      <w:pPr>
        <w:pStyle w:val="Heading3"/>
      </w:pPr>
      <w:r>
        <w:t xml:space="preserve">5.6 Ética e interacción responsable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Aporte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Amershi et al. (2019)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18 guías operativas de diseño (transparencia, control, manejo de error).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González, F. (2025)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"Supereyo digital" como capa ética.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Campana Ruiz et al. (2024)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Límite: IA no reemplaza vínculo humano.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Decisión Filoxenia:</w:t>
      </w:r>
      <w:r>
        <w:t xml:space="preserve"> Adoptamos las </w:t>
      </w:r>
      <w:r>
        <w:rPr>
          <w:b/>
          <w:bCs/>
        </w:rPr>
        <w:t xml:space="preserve">18 guías de Amershi</w:t>
      </w:r>
      <w:r>
        <w:t xml:space="preserve"> como checklist de diseño, el "supereyo digital" de González como capa arquitectónica (módulo de autorregulación ética), y el límite de Campana como principio rector del producto.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2"/>
      </w:pPr>
      <w:r>
        <w:t xml:space="preserve">6. Matriz consolidada de variables del proyecto Filoxenia</w:t>
      </w:r>
    </w:p>
    <w:p>
      <w:pPr>
        <w:pStyle w:val="Heading3"/>
      </w:pPr>
      <w:r>
        <w:t xml:space="preserve">6.1 Variables independientes (lo que manipulamos / construimos)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Dimensiones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Autor(es) de referencia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VI-01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Prototipo meta-humano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Arquitectura multimodal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Collins (2024); Nam (2025)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VI-02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Procesamiento de lenguaje natural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LLM + RAG + ASR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Mundlamuri (2025); Chen (s.f.); Serrano (2025)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VI-03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Reconocimiento emocional facial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CNN + cinemática + regiones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Qian (2024); Sowden (2019); Wegrzyn (2017)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VI-04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Reconocimiento corporal / gestual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Detección de postura y gesto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Breazeal (2003); Nam (2025)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VI-05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Síntesis de voz expresiva (TTS)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Entonación + prosodia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Serrano (2025)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VI-06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Nivel de antropomorfismo del avatar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Diseño visual estilizado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Nowak &amp; Fox (2018); Osorio-Andrade (2024)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VI-07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Módulo ético (supereyo digital)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Auditoría de respuestas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González F. (2025); Amershi (2019)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6.2 Variables dependientes (lo que medimos como efecto)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Sub-dimensiones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 de referencia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VD-01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Habilidades comunicativas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Confianza · fluidez · organización · vocabulario · escucha activa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Chocobar (2025); Toledo (2025)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VD-02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Presencia social percibida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Co-presencia · pertenencia · intimidad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Nam (2025); Chattopadhyay (2020)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VD-03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Credibilidad del agente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Confianza · aceptación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Osorio-Andrade (2024); Amershi (2019)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VD-04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Integración social del usuario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Participación en interacciones humanas reales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Holt-Lunstad (2018); De Choudhury (2013)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VD-05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Satisfacción y usabilidad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SUS + entrevistas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Chattopadhyay (2020)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6.3 Variables moderadoras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Cómo modera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VM-01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Personalidad / timidez del usuario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Modula respuesta al avatar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APA (2013); Rubin et al. (2011)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VM-02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Experiencia previa con IA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Nivel de adopción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Herazo Hoyos (2024)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VM-03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Contexto institucional (UdeC)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Uso académico vs casual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Rojas Rodríguez (2024)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6.4 Variables de control / a minimizar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Código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Variable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Estrategia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</w:rPr>
              <w:t xml:space="preserve">Autor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VC-01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Dependencia tecnológica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Límites de uso + diseño no adictivo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Turkle (2011); Campana Ruiz (2024)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VC-02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Valle inquietante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Estilo visual estilizado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Osorio-Andrade (2024)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VC-03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Sesgo algorítmico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Auditoría continua del supereyo digital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González F. (2025); Amershi (2019)</w:t>
            </w:r>
          </w:p>
        </w:tc>
      </w:tr>
      <w:tr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VC-04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Latencia del sistema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&lt;2s respuesta (RNF del anteproyecto)</w:t>
            </w:r>
          </w:p>
        </w:tc>
        <w:tc>
          <w:tcPr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t xml:space="preserve">Qian (2024)</w:t>
            </w:r>
          </w:p>
        </w:tc>
      </w:tr>
    </w:tbl>
    <w:p>
      <w:r>
        <w:t xml:space="preserve"/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2"/>
      </w:pPr>
      <w:r>
        <w:t xml:space="preserve">7. Síntesis final — variables mínimas para el diseño y la validación</w:t>
      </w:r>
    </w:p>
    <w:p>
      <w:r>
        <w:t xml:space="preserve">Del cruce entre pregunta problema y 30 autores, el equipo Filoxenia operacionaliza el proyecto alrededor de </w:t>
      </w:r>
      <w:r>
        <w:rPr>
          <w:b/>
          <w:bCs/>
        </w:rPr>
        <w:t xml:space="preserve">19 variables fundamentales</w:t>
      </w:r>
      <w:r>
        <w:t xml:space="preserve"> (7 independientes + 5 dependientes + 3 moderadoras + 4 de control), cada una trazable a uno o varios autores del RAE.</w:t>
      </w:r>
    </w:p>
    <w:p>
      <w:r>
        <w:t xml:space="preserve">Esta matriz alimentará directamente:</w:t>
      </w:r>
    </w:p>
    <w:p>
      <w:pPr>
        <w:pStyle w:val="ListParagraph"/>
        <w:numPr>
          <w:ilvl w:val="0"/>
          <w:numId w:val="1"/>
        </w:numPr>
      </w:pPr>
      <w:r>
        <w:t xml:space="preserve">El </w:t>
      </w:r>
      <w:r>
        <w:rPr>
          <w:b/>
          <w:bCs/>
        </w:rPr>
        <w:t xml:space="preserve">diseño del prototipo</w:t>
      </w:r>
      <w:r>
        <w:t xml:space="preserve"> (VI-01 a VI-07 → módulos de la arquitectura).</w:t>
      </w:r>
    </w:p>
    <w:p>
      <w:pPr>
        <w:pStyle w:val="ListParagraph"/>
        <w:numPr>
          <w:ilvl w:val="0"/>
          <w:numId w:val="1"/>
        </w:numPr>
      </w:pPr>
      <w:r>
        <w:t xml:space="preserve">Los </w:t>
      </w:r>
      <w:r>
        <w:rPr>
          <w:b/>
          <w:bCs/>
        </w:rPr>
        <w:t xml:space="preserve">instrumentos de validación</w:t>
      </w:r>
      <w:r>
        <w:t xml:space="preserve"> de la fase de pruebas piloto (VD-01 a VD-05 → encuestas, escalas, registros).</w:t>
      </w:r>
    </w:p>
    <w:p>
      <w:pPr>
        <w:pStyle w:val="ListParagraph"/>
        <w:numPr>
          <w:ilvl w:val="0"/>
          <w:numId w:val="1"/>
        </w:numPr>
      </w:pPr>
      <w:r>
        <w:t xml:space="preserve">El </w:t>
      </w:r>
      <w:r>
        <w:rPr>
          <w:b/>
          <w:bCs/>
        </w:rPr>
        <w:t xml:space="preserve">marco ético y de control</w:t>
      </w:r>
      <w:r>
        <w:t xml:space="preserve"> del sistema (VC-01 a VC-04 → restricciones de diseño).</w:t>
      </w:r>
    </w:p>
    <w:p>
      <w:r>
        <w:t xml:space="preserve">―――――――――――――――――――――――――――――――――――――</w:t>
      </w:r>
    </w:p>
    <w:p>
      <w:pPr>
        <w:pStyle w:val="Heading2"/>
      </w:pPr>
      <w:r>
        <w:t xml:space="preserve">8. Próximos pasos</w:t>
      </w:r>
    </w:p>
    <w:p>
      <w:r>
        <w:t xml:space="preserve">• Validar esta matriz con el director de proyecto.</w:t>
      </w:r>
    </w:p>
    <w:p>
      <w:r>
        <w:t xml:space="preserve">• Operacionalizar cada variable dependiente con un instrumento específico (escala, ítem, métrica).</w:t>
      </w:r>
    </w:p>
    <w:p>
      <w:r>
        <w:t xml:space="preserve">• Integrar la matriz en la Matriz de Consistencia existente del proyecto.</w:t>
      </w:r>
    </w:p>
    <w:p>
      <w:r>
        <w:t xml:space="preserve">• Revisar trimestralmente a medida que avance la revisión bibliográfica.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Variables de Investigacion</dc:title>
  <dc:creator>Filoxenia</dc:creator>
  <cp:lastModifiedBy>Un-named</cp:lastModifiedBy>
  <cp:revision>1</cp:revision>
  <dcterms:created xsi:type="dcterms:W3CDTF">2026-04-14T14:22:27.109Z</dcterms:created>
  <dcterms:modified xsi:type="dcterms:W3CDTF">2026-04-14T14:22:27.113Z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