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Guess Market Exercise 3</w:t>
      </w:r>
    </w:p>
    <w:p>
      <w:pPr>
        <w:pStyle w:val="Subtitle"/>
      </w:pPr>
      <w:r>
        <w:t>Submission guide and implementation reference</w:t>
      </w:r>
    </w:p>
    <w:p>
      <w:r>
        <w:rPr>
          <w:b/>
        </w:rPr>
        <w:t>Chat bonus implemented.</w:t>
      </w:r>
      <w:r>
        <w:t xml:space="preserve"> The Chat tab lets logged-in users exchange messages through the central server. The newest 500 messages are shared automatically.</w:t>
      </w:r>
    </w:p>
    <w:p>
      <w:r>
        <w:t>Guess Market now runs as a Tomcat application with separate JavaFX clients. One server owns every event, account and trade. This guide explains deployment, the grading workflow, the main new classes and the choices made for Exercise 3.</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60"/>
        <w:gridCol w:w="7675"/>
      </w:tblGrid>
      <w:tr>
        <w:trPr>
          <w:cantSplit/>
          <w:tblHeader/>
        </w:trPr>
        <w:tc>
          <w:tcPr>
            <w:tcW w:type="dxa" w:w="2160"/>
            <w:vAlign w:val="center"/>
            <w:tcMar>
              <w:top w:w="90" w:type="dxa"/>
              <w:left w:w="90" w:type="dxa"/>
              <w:bottom w:w="90" w:type="dxa"/>
              <w:right w:w="90" w:type="dxa"/>
            </w:tcMar>
            <w:shd w:fill="E7EEF5"/>
          </w:tcPr>
          <w:p>
            <w:pPr>
              <w:spacing w:after="0" w:line="245" w:lineRule="auto"/>
            </w:pPr>
            <w:r>
              <w:rPr>
                <w:b/>
                <w:sz w:val="20"/>
              </w:rPr>
              <w:t>Submitter</w:t>
            </w:r>
          </w:p>
        </w:tc>
        <w:tc>
          <w:tcPr>
            <w:tcW w:type="dxa" w:w="7675"/>
            <w:vAlign w:val="center"/>
            <w:tcMar>
              <w:top w:w="90" w:type="dxa"/>
              <w:left w:w="90" w:type="dxa"/>
              <w:bottom w:w="90" w:type="dxa"/>
              <w:right w:w="90" w:type="dxa"/>
            </w:tcMar>
            <w:shd w:fill="E7EEF5"/>
          </w:tcPr>
          <w:p>
            <w:pPr>
              <w:spacing w:after="0" w:line="245" w:lineRule="auto"/>
            </w:pPr>
            <w:r>
              <w:rPr>
                <w:b/>
                <w:sz w:val="20"/>
              </w:rPr>
              <w:t>Details</w:t>
            </w:r>
          </w:p>
        </w:tc>
      </w:tr>
      <w:tr>
        <w:trPr>
          <w:cantSplit/>
        </w:trPr>
        <w:tc>
          <w:tcPr>
            <w:tcW w:type="dxa" w:w="2160"/>
            <w:vAlign w:val="center"/>
            <w:tcMar>
              <w:top w:w="90" w:type="dxa"/>
              <w:left w:w="90" w:type="dxa"/>
              <w:bottom w:w="90" w:type="dxa"/>
              <w:right w:w="90" w:type="dxa"/>
            </w:tcMar>
          </w:tcPr>
          <w:p>
            <w:pPr>
              <w:spacing w:after="0" w:line="245" w:lineRule="auto"/>
            </w:pPr>
            <w:r>
              <w:rPr>
                <w:b w:val="0"/>
                <w:sz w:val="20"/>
              </w:rPr>
              <w:t>Name</w:t>
            </w:r>
          </w:p>
        </w:tc>
        <w:tc>
          <w:tcPr>
            <w:tcW w:type="dxa" w:w="7675"/>
            <w:vAlign w:val="center"/>
            <w:tcMar>
              <w:top w:w="90" w:type="dxa"/>
              <w:left w:w="90" w:type="dxa"/>
              <w:bottom w:w="90" w:type="dxa"/>
              <w:right w:w="90" w:type="dxa"/>
            </w:tcMar>
          </w:tcPr>
          <w:p>
            <w:pPr>
              <w:spacing w:after="0" w:line="245" w:lineRule="auto"/>
            </w:pPr>
            <w:r>
              <w:rPr>
                <w:b w:val="0"/>
                <w:sz w:val="20"/>
              </w:rPr>
              <w:t>Niv Libovitch</w:t>
            </w:r>
          </w:p>
        </w:tc>
      </w:tr>
      <w:tr>
        <w:trPr>
          <w:cantSplit/>
        </w:trPr>
        <w:tc>
          <w:tcPr>
            <w:tcW w:type="dxa" w:w="2160"/>
            <w:vAlign w:val="center"/>
            <w:tcMar>
              <w:top w:w="90" w:type="dxa"/>
              <w:left w:w="90" w:type="dxa"/>
              <w:bottom w:w="90" w:type="dxa"/>
              <w:right w:w="90" w:type="dxa"/>
            </w:tcMar>
          </w:tcPr>
          <w:p>
            <w:pPr>
              <w:spacing w:after="0" w:line="245" w:lineRule="auto"/>
            </w:pPr>
            <w:r>
              <w:rPr>
                <w:b w:val="0"/>
                <w:sz w:val="20"/>
              </w:rPr>
              <w:t>ID number</w:t>
            </w:r>
          </w:p>
        </w:tc>
        <w:tc>
          <w:tcPr>
            <w:tcW w:type="dxa" w:w="7675"/>
            <w:vAlign w:val="center"/>
            <w:tcMar>
              <w:top w:w="90" w:type="dxa"/>
              <w:left w:w="90" w:type="dxa"/>
              <w:bottom w:w="90" w:type="dxa"/>
              <w:right w:w="90" w:type="dxa"/>
            </w:tcMar>
          </w:tcPr>
          <w:p>
            <w:pPr>
              <w:spacing w:after="0" w:line="245" w:lineRule="auto"/>
            </w:pPr>
            <w:r>
              <w:rPr>
                <w:b w:val="0"/>
                <w:sz w:val="20"/>
              </w:rPr>
              <w:t>207298514</w:t>
            </w:r>
          </w:p>
        </w:tc>
      </w:tr>
      <w:tr>
        <w:trPr>
          <w:cantSplit/>
        </w:trPr>
        <w:tc>
          <w:tcPr>
            <w:tcW w:type="dxa" w:w="2160"/>
            <w:vAlign w:val="center"/>
            <w:tcMar>
              <w:top w:w="90" w:type="dxa"/>
              <w:left w:w="90" w:type="dxa"/>
              <w:bottom w:w="90" w:type="dxa"/>
              <w:right w:w="90" w:type="dxa"/>
            </w:tcMar>
          </w:tcPr>
          <w:p>
            <w:pPr>
              <w:spacing w:after="0" w:line="245" w:lineRule="auto"/>
            </w:pPr>
            <w:r>
              <w:rPr>
                <w:b w:val="0"/>
                <w:sz w:val="20"/>
              </w:rPr>
              <w:t>Email</w:t>
            </w:r>
          </w:p>
        </w:tc>
        <w:tc>
          <w:tcPr>
            <w:tcW w:type="dxa" w:w="7675"/>
            <w:vAlign w:val="center"/>
            <w:tcMar>
              <w:top w:w="90" w:type="dxa"/>
              <w:left w:w="90" w:type="dxa"/>
              <w:bottom w:w="90" w:type="dxa"/>
              <w:right w:w="90" w:type="dxa"/>
            </w:tcMar>
          </w:tcPr>
          <w:p>
            <w:pPr>
              <w:spacing w:after="0" w:line="245" w:lineRule="auto"/>
            </w:pPr>
            <w:r>
              <w:rPr>
                <w:b w:val="0"/>
                <w:sz w:val="20"/>
              </w:rPr>
              <w:t>anivbniv@gmail.com</w:t>
            </w:r>
          </w:p>
        </w:tc>
      </w:tr>
      <w:tr>
        <w:trPr>
          <w:cantSplit/>
        </w:trPr>
        <w:tc>
          <w:tcPr>
            <w:tcW w:type="dxa" w:w="2160"/>
            <w:vAlign w:val="center"/>
            <w:tcMar>
              <w:top w:w="90" w:type="dxa"/>
              <w:left w:w="90" w:type="dxa"/>
              <w:bottom w:w="90" w:type="dxa"/>
              <w:right w:w="90" w:type="dxa"/>
            </w:tcMar>
          </w:tcPr>
          <w:p>
            <w:pPr>
              <w:spacing w:after="0" w:line="245" w:lineRule="auto"/>
            </w:pPr>
            <w:r>
              <w:rPr>
                <w:b w:val="0"/>
                <w:sz w:val="20"/>
              </w:rPr>
              <w:t>GitHub repository</w:t>
            </w:r>
          </w:p>
        </w:tc>
        <w:tc>
          <w:tcPr>
            <w:tcW w:type="dxa" w:w="7675"/>
            <w:vAlign w:val="center"/>
            <w:tcMar>
              <w:top w:w="90" w:type="dxa"/>
              <w:left w:w="90" w:type="dxa"/>
              <w:bottom w:w="90" w:type="dxa"/>
              <w:right w:w="90" w:type="dxa"/>
            </w:tcMar>
          </w:tcPr>
          <w:p>
            <w:pPr>
              <w:spacing w:after="0" w:line="245" w:lineRule="auto"/>
            </w:pPr>
            <w:r>
              <w:rPr>
                <w:b w:val="0"/>
                <w:sz w:val="20"/>
              </w:rPr>
              <w:t>https://github.com/Niv20/guess-market</w:t>
            </w:r>
          </w:p>
        </w:tc>
      </w:tr>
    </w:tbl>
    <w:p>
      <w:pPr>
        <w:spacing w:after="0"/>
      </w:pPr>
    </w:p>
    <w:p>
      <w:pPr>
        <w:pStyle w:val="Heading2"/>
      </w:pPr>
      <w:r>
        <w:t>Run the submitted application</w:t>
      </w:r>
    </w:p>
    <w:p>
      <w:pPr>
        <w:pStyle w:val="ListNumber"/>
        <w:spacing w:after="100"/>
      </w:pPr>
      <w:r>
        <w:t>Install Java 25 or newer and Apache Tomcat 10.1. Start Tomcat with that Java runtime. The application uses Jakarta Servlet 6; Tomcat 9 is incompatible.</w:t>
      </w:r>
    </w:p>
    <w:p>
      <w:pPr>
        <w:pStyle w:val="ListNumber"/>
        <w:spacing w:after="100"/>
      </w:pPr>
      <w:r>
        <w:t>Extract the submission ZIP. Copy its single guess-market.war into Tomcat's webapps directory, retaining that filename. Start Tomcat and allow automatic deployment to finish.</w:t>
      </w:r>
    </w:p>
    <w:p>
      <w:pPr>
        <w:pStyle w:val="ListNumber"/>
        <w:spacing w:after="100"/>
      </w:pPr>
      <w:r>
        <w:t>Open the client directory and run run.bat. JavaFX and the client dependencies are included; Java itself and Tomcat must be installed separately.</w:t>
      </w:r>
    </w:p>
    <w:p>
      <w:pPr>
        <w:pStyle w:val="ListNumber"/>
        <w:spacing w:after="100"/>
      </w:pPr>
      <w:r>
        <w:t>Leave the server address at its default, enter an unused username and select the login button. No password or separate registration is required.</w:t>
      </w:r>
    </w:p>
    <w:p>
      <w:pPr>
        <w:pStyle w:val="ListNumber"/>
        <w:spacing w:after="100"/>
      </w:pPr>
      <w:r>
        <w:t>Launch run.bat again for another independent user. Load funds, then upload an Exercise 3 XML file from one client; its events appear in the other client automatically.</w:t>
      </w:r>
    </w:p>
    <w:p>
      <w:pPr>
        <w:pStyle w:val="Heading2"/>
      </w:pPr>
      <w:r>
        <w:t>Server address</w:t>
      </w:r>
    </w:p>
    <w:p>
      <w:r>
        <w:t>The default API address is http://localhost:8080/guess-market/api/. The login screen has an editable Server field. A launch argument can also override it:</w:t>
      </w:r>
    </w:p>
    <w:p>
      <w:pPr>
        <w:spacing w:after="160"/>
      </w:pPr>
      <w:r>
        <w:rPr>
          <w:rFonts w:ascii="Courier New" w:hAnsi="Courier New"/>
          <w:sz w:val="18"/>
        </w:rPr>
        <w:t>run.bat --server=http://localhost:8080/guess-market/api/</w:t>
      </w:r>
    </w:p>
    <w:p>
      <w:r>
        <w:t>The health endpoint is /api/health under the deployed context.</w:t>
      </w:r>
    </w:p>
    <w:p>
      <w:pPr>
        <w:pStyle w:val="Heading2"/>
      </w:pPr>
      <w:r>
        <w:t>Run from the source repository</w:t>
      </w:r>
    </w:p>
    <w:p>
      <w:r>
        <w:t>On macOS or Linux, install JDK 25 or newer and run these commands from the repository root. If the client has not been built, run ./build.sh before ./run.sh:</w:t>
      </w:r>
    </w:p>
    <w:p>
      <w:pPr>
        <w:spacing w:after="160"/>
      </w:pPr>
      <w:r>
        <w:rPr>
          <w:rFonts w:ascii="Courier New" w:hAnsi="Courier New"/>
          <w:sz w:val="18"/>
        </w:rPr>
        <w:t>./start-guess-market.sh     # start the server</w:t>
      </w:r>
      <w:r>
        <w:br/>
      </w:r>
      <w:r>
        <w:rPr>
          <w:rFonts w:ascii="Courier New" w:hAnsi="Courier New"/>
          <w:sz w:val="18"/>
        </w:rPr>
        <w:t>./run.sh                   # launch a client separately</w:t>
      </w:r>
      <w:r>
        <w:br/>
      </w:r>
      <w:r>
        <w:rPr>
          <w:rFonts w:ascii="Courier New" w:hAnsi="Courier New"/>
          <w:sz w:val="18"/>
        </w:rPr>
        <w:t>./start-guess-market.sh --stop</w:t>
      </w:r>
    </w:p>
    <w:p>
      <w:r>
        <w:t>The launcher builds and starts only the server. On first use it downloads Tomcat 10.1.59, unless CATALINA_HOME points to an existing Tomcat 10.1 installation. Downloads and local server files stay in .runtime. Its server-only build preserves existing client outputs.</w:t>
      </w:r>
    </w:p>
    <w:p>
      <w:r>
        <w:t>Use --port 8081 to choose another port and update the client Server field to match. Use --no-build to start the existing WAR. Stop the local server before rebuilding or changing its port.</w:t>
      </w:r>
    </w:p>
    <w:p>
      <w:r>
        <w:br w:type="page"/>
      </w:r>
    </w:p>
    <w:p>
      <w:pPr>
        <w:pStyle w:val="Heading1"/>
      </w:pPr>
      <w:r>
        <w:t>Using the application</w:t>
      </w:r>
    </w:p>
    <w:p>
      <w:pPr>
        <w:pStyle w:val="Heading2"/>
      </w:pPr>
      <w:r>
        <w:t>Events and trading</w:t>
      </w:r>
    </w:p>
    <w:p>
      <w:r>
        <w:t>The Events tab lists every event, including unopened, active and closed markets. Search by event, description or market maker, and filter by trading method, status or commission method. Select a tile to see its description, options, terms, account, participants, transactions, order books and price history.</w:t>
      </w:r>
    </w:p>
    <w:p>
      <w:r>
        <w:t>Only your own identity is available for actions. An event's market maker can fund and open it, then choose the winning option and close it. An active LMSR event accepts share purchases; an order book event accepts buy and sell orders with a quantity and limit price. Matching, partial fills, minting, commissions and settlement use the existing engine rules.</w:t>
      </w:r>
    </w:p>
    <w:p>
      <w:r>
        <w:t>Get quote asks the server for the current LMSR share cost before commission. The quote is indicative: a completed purchase recalculates its price against the latest market. Another user may trade between the quote and the purchase. Closing an event requires confirmation in the client.</w:t>
      </w:r>
    </w:p>
    <w:p>
      <w:pPr>
        <w:pStyle w:val="Heading2"/>
      </w:pPr>
      <w:r>
        <w:t>My account and the shared header</w:t>
      </w:r>
    </w:p>
    <w:p>
      <w:r>
        <w:t>My account follows the supplied sketch: the left side shows public summaries of other users, your own balance and funding controls, the account ledger and balance chart. The right side shows events you run or participate in, your holdings and orders, full event details and the same trading controls used on Events.</w:t>
      </w:r>
    </w:p>
    <w:p>
      <w:r>
        <w:t>Other users are represented by username, balance and market-maker status only. Private account rows and personal involvement records always belong to the logged-in user. The header keeps the current balance visible and provides Upload events, Save state and Restore state. Midnight, Daylight and Neon reuse the earlier design.</w:t>
      </w:r>
    </w:p>
    <w:p>
      <w:pPr>
        <w:pStyle w:val="Heading2"/>
      </w:pPr>
      <w:r>
        <w:t>Upload event files</w:t>
      </w:r>
    </w:p>
    <w:p>
      <w:r>
        <w:t>Use Upload events to choose an XML file of at most 2 MB. The server accepts the supplied Exercise 3 format in data/ex3/GM-EX3-Schema.xsd, illustrated by data/ex3/small.xml and data/ex3/multiple.xml. Files contain events without event IDs or a users section. Exercise 1 and 2 system files are not accepted by the online upload endpoint.</w:t>
      </w:r>
    </w:p>
    <w:p>
      <w:r>
        <w:t>Every accepted upload adds to the existing market. The server generates unique event IDs and assigns the uploading user as market maker of every event in that file. It checks the supplied schema, the event-definition rules, duplicate names within the file and names already present on the server. A rejected file reports its reasons and adds nothing. A successful upload does not open the events or debit a subsidy.</w:t>
      </w:r>
    </w:p>
    <w:p>
      <w:pPr>
        <w:pStyle w:val="Heading2"/>
      </w:pPr>
      <w:r>
        <w:t>Save and restore Exercise 3 state</w:t>
      </w:r>
    </w:p>
    <w:p>
      <w:r>
        <w:t>Save state downloads a versioned .gmstate snapshot from the server. This file is separate from the Exercise 3 XML schema: XML uploads still contain only event definitions, with no GM-users element and no event id. The state snapshot stores the generated IDs and the running market model, including registered users, balances, blocking status, holdings, open orders, trades, settlements, price histories and account histories.</w:t>
      </w:r>
    </w:p>
    <w:p>
      <w:r>
        <w:t>Restore state accepts only a .gmstate file exported by the Exercise 3 server, up to 16 MB, and atomically replaces the shared market for every client. The uploader's current username must exist in the file. Connected users present in the restored state keep their sessions; an absent user is signed out on the next request. After a restart, restored user names may each be claimed once by a client.</w:t>
      </w:r>
    </w:p>
    <w:p>
      <w:r>
        <w:t>Chat and HTTP sessions are intentionally not serialized. Restoring state clears the transient chat. A rejected, damaged, oversized or wrong-version file leaves the current market untouched, and an allowlist restricts the classes accepted during deserialization. Uploaded XML and state bytes remain in memory and are never written to the server filesystem.</w:t>
      </w:r>
    </w:p>
    <w:p>
      <w:pPr>
        <w:pStyle w:val="Heading2"/>
      </w:pPr>
      <w:r>
        <w:t>Live updates and chat</w:t>
      </w:r>
    </w:p>
    <w:p>
      <w:r>
        <w:t>The client pulls a complete snapshot about once per second, with no overlapping requests. Views preserve selections and refresh when their data changes. The Chat tab shares messages with every client; messages contain server-supplied names and timestamps. It accepts up to 1,000 characters and retains the newest 500 entries.</w:t>
      </w:r>
    </w:p>
    <w:p>
      <w:r>
        <w:t>Layouts wrap controls, provide scrolling and rearrange their split panes vertically in narrower windows. Window resizing leaves both the event and private account details accessible.</w:t>
      </w:r>
    </w:p>
    <w:p>
      <w:pPr>
        <w:pStyle w:val="Heading1"/>
      </w:pPr>
      <w:r>
        <w:t>Server and engine architecture</w:t>
      </w:r>
    </w:p>
    <w:p>
      <w:r>
        <w:t>The client communicates only through HTTP. Tomcat creates one application service and one online engine for the deployment. Existing DTO-based display components are repackaged for the client, while the full trading engine stays inside the WAR.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8"/>
        <w:gridCol w:w="7387"/>
      </w:tblGrid>
      <w:tr>
        <w:trPr>
          <w:cantSplit/>
          <w:tblHeader/>
        </w:trPr>
        <w:tc>
          <w:tcPr>
            <w:tcW w:type="dxa" w:w="2448"/>
            <w:vAlign w:val="center"/>
            <w:tcMar>
              <w:top w:w="90" w:type="dxa"/>
              <w:left w:w="90" w:type="dxa"/>
              <w:bottom w:w="90" w:type="dxa"/>
              <w:right w:w="90" w:type="dxa"/>
            </w:tcMar>
            <w:shd w:fill="E7EEF5"/>
          </w:tcPr>
          <w:p>
            <w:pPr>
              <w:spacing w:after="0" w:line="245" w:lineRule="auto"/>
            </w:pPr>
            <w:r>
              <w:rPr>
                <w:b/>
                <w:sz w:val="19"/>
              </w:rPr>
              <w:t>Module or artifact</w:t>
            </w:r>
          </w:p>
        </w:tc>
        <w:tc>
          <w:tcPr>
            <w:tcW w:type="dxa" w:w="7387"/>
            <w:vAlign w:val="center"/>
            <w:tcMar>
              <w:top w:w="90" w:type="dxa"/>
              <w:left w:w="90" w:type="dxa"/>
              <w:bottom w:w="90" w:type="dxa"/>
              <w:right w:w="90" w:type="dxa"/>
            </w:tcMar>
            <w:shd w:fill="E7EEF5"/>
          </w:tcPr>
          <w:p>
            <w:pPr>
              <w:spacing w:after="0" w:line="245" w:lineRule="auto"/>
            </w:pPr>
            <w:r>
              <w:rPr>
                <w:b/>
                <w:sz w:val="19"/>
              </w:rPr>
              <w:t>Responsibility</w:t>
            </w:r>
          </w:p>
        </w:tc>
      </w:tr>
      <w:tr>
        <w:trPr>
          <w:cantSplit/>
        </w:trPr>
        <w:tc>
          <w:tcPr>
            <w:tcW w:type="dxa" w:w="2448"/>
            <w:vAlign w:val="center"/>
            <w:tcMar>
              <w:top w:w="90" w:type="dxa"/>
              <w:left w:w="90" w:type="dxa"/>
              <w:bottom w:w="90" w:type="dxa"/>
              <w:right w:w="90" w:type="dxa"/>
            </w:tcMar>
          </w:tcPr>
          <w:p>
            <w:pPr>
              <w:spacing w:after="0" w:line="245" w:lineRule="auto"/>
            </w:pPr>
            <w:r>
              <w:rPr>
                <w:b w:val="0"/>
                <w:sz w:val="19"/>
              </w:rPr>
              <w:t>server / guess-market.war</w:t>
            </w:r>
          </w:p>
        </w:tc>
        <w:tc>
          <w:tcPr>
            <w:tcW w:type="dxa" w:w="7387"/>
            <w:vAlign w:val="center"/>
            <w:tcMar>
              <w:top w:w="90" w:type="dxa"/>
              <w:left w:w="90" w:type="dxa"/>
              <w:bottom w:w="90" w:type="dxa"/>
              <w:right w:w="90" w:type="dxa"/>
            </w:tcMar>
          </w:tcPr>
          <w:p>
            <w:pPr>
              <w:spacing w:after="0" w:line="245" w:lineRule="auto"/>
            </w:pPr>
            <w:r>
              <w:rPr>
                <w:b w:val="0"/>
                <w:sz w:val="19"/>
              </w:rPr>
              <w:t>Servlet endpoints, sessions, shared application lifecycle and native multipart handling. The WAR embeds engine.jar, dto.jar, Gson and the JAXB runtime dependencies.</w:t>
            </w:r>
          </w:p>
        </w:tc>
      </w:tr>
      <w:tr>
        <w:trPr>
          <w:cantSplit/>
        </w:trPr>
        <w:tc>
          <w:tcPr>
            <w:tcW w:type="dxa" w:w="2448"/>
            <w:vAlign w:val="center"/>
            <w:tcMar>
              <w:top w:w="90" w:type="dxa"/>
              <w:left w:w="90" w:type="dxa"/>
              <w:bottom w:w="90" w:type="dxa"/>
              <w:right w:w="90" w:type="dxa"/>
            </w:tcMar>
          </w:tcPr>
          <w:p>
            <w:pPr>
              <w:spacing w:after="0" w:line="245" w:lineRule="auto"/>
            </w:pPr>
            <w:r>
              <w:rPr>
                <w:b w:val="0"/>
                <w:sz w:val="19"/>
              </w:rPr>
              <w:t>engine / engine.jar</w:t>
            </w:r>
          </w:p>
        </w:tc>
        <w:tc>
          <w:tcPr>
            <w:tcW w:type="dxa" w:w="7387"/>
            <w:vAlign w:val="center"/>
            <w:tcMar>
              <w:top w:w="90" w:type="dxa"/>
              <w:left w:w="90" w:type="dxa"/>
              <w:bottom w:w="90" w:type="dxa"/>
              <w:right w:w="90" w:type="dxa"/>
            </w:tcMar>
          </w:tcPr>
          <w:p>
            <w:pPr>
              <w:spacing w:after="0" w:line="245" w:lineRule="auto"/>
            </w:pPr>
            <w:r>
              <w:rPr>
                <w:b w:val="0"/>
                <w:sz w:val="19"/>
              </w:rPr>
              <w:t>Market model, trading, accounts, XML validation and the online engine extension. The supplied Exercise 3 schema is included as a resource.</w:t>
            </w:r>
          </w:p>
        </w:tc>
      </w:tr>
      <w:tr>
        <w:trPr>
          <w:cantSplit/>
        </w:trPr>
        <w:tc>
          <w:tcPr>
            <w:tcW w:type="dxa" w:w="2448"/>
            <w:vAlign w:val="center"/>
            <w:tcMar>
              <w:top w:w="90" w:type="dxa"/>
              <w:left w:w="90" w:type="dxa"/>
              <w:bottom w:w="90" w:type="dxa"/>
              <w:right w:w="90" w:type="dxa"/>
            </w:tcMar>
          </w:tcPr>
          <w:p>
            <w:pPr>
              <w:spacing w:after="0" w:line="245" w:lineRule="auto"/>
            </w:pPr>
            <w:r>
              <w:rPr>
                <w:b w:val="0"/>
                <w:sz w:val="19"/>
              </w:rPr>
              <w:t>dto / dto.jar</w:t>
            </w:r>
          </w:p>
        </w:tc>
        <w:tc>
          <w:tcPr>
            <w:tcW w:type="dxa" w:w="7387"/>
            <w:vAlign w:val="center"/>
            <w:tcMar>
              <w:top w:w="90" w:type="dxa"/>
              <w:left w:w="90" w:type="dxa"/>
              <w:bottom w:w="90" w:type="dxa"/>
              <w:right w:w="90" w:type="dxa"/>
            </w:tcMar>
          </w:tcPr>
          <w:p>
            <w:pPr>
              <w:spacing w:after="0" w:line="245" w:lineRule="auto"/>
            </w:pPr>
            <w:r>
              <w:rPr>
                <w:b w:val="0"/>
                <w:sz w:val="19"/>
              </w:rPr>
              <w:t>Immutable request, result and network records shared by the server and client.</w:t>
            </w:r>
          </w:p>
        </w:tc>
      </w:tr>
      <w:tr>
        <w:trPr>
          <w:cantSplit/>
        </w:trPr>
        <w:tc>
          <w:tcPr>
            <w:tcW w:type="dxa" w:w="2448"/>
            <w:vAlign w:val="center"/>
            <w:tcMar>
              <w:top w:w="90" w:type="dxa"/>
              <w:left w:w="90" w:type="dxa"/>
              <w:bottom w:w="90" w:type="dxa"/>
              <w:right w:w="90" w:type="dxa"/>
            </w:tcMar>
          </w:tcPr>
          <w:p>
            <w:pPr>
              <w:spacing w:after="0" w:line="245" w:lineRule="auto"/>
            </w:pPr>
            <w:r>
              <w:rPr>
                <w:b w:val="0"/>
                <w:sz w:val="19"/>
              </w:rPr>
              <w:t>client / client.jar</w:t>
            </w:r>
          </w:p>
        </w:tc>
        <w:tc>
          <w:tcPr>
            <w:tcW w:type="dxa" w:w="7387"/>
            <w:vAlign w:val="center"/>
            <w:tcMar>
              <w:top w:w="90" w:type="dxa"/>
              <w:left w:w="90" w:type="dxa"/>
              <w:bottom w:w="90" w:type="dxa"/>
              <w:right w:w="90" w:type="dxa"/>
            </w:tcMar>
          </w:tcPr>
          <w:p>
            <w:pPr>
              <w:spacing w:after="0" w:line="245" w:lineRule="auto"/>
            </w:pPr>
            <w:r>
              <w:rPr>
                <w:b w:val="0"/>
                <w:sz w:val="19"/>
              </w:rPr>
              <w:t>The independent JavaFX application, HTTP transport and polling lifecycle.</w:t>
            </w:r>
          </w:p>
        </w:tc>
      </w:tr>
      <w:tr>
        <w:trPr>
          <w:cantSplit/>
        </w:trPr>
        <w:tc>
          <w:tcPr>
            <w:tcW w:type="dxa" w:w="2448"/>
            <w:vAlign w:val="center"/>
            <w:tcMar>
              <w:top w:w="90" w:type="dxa"/>
              <w:left w:w="90" w:type="dxa"/>
              <w:bottom w:w="90" w:type="dxa"/>
              <w:right w:w="90" w:type="dxa"/>
            </w:tcMar>
          </w:tcPr>
          <w:p>
            <w:pPr>
              <w:spacing w:after="0" w:line="245" w:lineRule="auto"/>
            </w:pPr>
            <w:r>
              <w:rPr>
                <w:b w:val="0"/>
                <w:sz w:val="19"/>
              </w:rPr>
              <w:t>ui / ui-common.jar</w:t>
            </w:r>
          </w:p>
        </w:tc>
        <w:tc>
          <w:tcPr>
            <w:tcW w:type="dxa" w:w="7387"/>
            <w:vAlign w:val="center"/>
            <w:tcMar>
              <w:top w:w="90" w:type="dxa"/>
              <w:left w:w="90" w:type="dxa"/>
              <w:bottom w:w="90" w:type="dxa"/>
              <w:right w:w="90" w:type="dxa"/>
            </w:tcMar>
          </w:tcPr>
          <w:p>
            <w:pPr>
              <w:spacing w:after="0" w:line="245" w:lineRule="auto"/>
            </w:pPr>
            <w:r>
              <w:rPr>
                <w:b w:val="0"/>
                <w:sz w:val="19"/>
              </w:rPr>
              <w:t>A selected subset of existing presentation helpers, FXML, styles and display controllers. Legacy ui.jar remains available for Exercise 2 regression work.</w:t>
            </w:r>
          </w:p>
        </w:tc>
      </w:tr>
    </w:tbl>
    <w:p>
      <w:pPr>
        <w:spacing w:after="0"/>
      </w:pPr>
    </w:p>
    <w:p>
      <w:pPr>
        <w:pStyle w:val="Heading2"/>
      </w:pPr>
      <w:r>
        <w:t>Main server classes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8"/>
        <w:gridCol w:w="7387"/>
      </w:tblGrid>
      <w:tr>
        <w:trPr>
          <w:cantSplit/>
          <w:tblHeader/>
        </w:trPr>
        <w:tc>
          <w:tcPr>
            <w:tcW w:type="dxa" w:w="2448"/>
            <w:vAlign w:val="center"/>
            <w:tcMar>
              <w:top w:w="90" w:type="dxa"/>
              <w:left w:w="90" w:type="dxa"/>
              <w:bottom w:w="90" w:type="dxa"/>
              <w:right w:w="90" w:type="dxa"/>
            </w:tcMar>
            <w:shd w:fill="E7EEF5"/>
          </w:tcPr>
          <w:p>
            <w:pPr>
              <w:spacing w:after="0" w:line="245" w:lineRule="auto"/>
            </w:pPr>
            <w:r>
              <w:rPr>
                <w:b/>
                <w:sz w:val="19"/>
              </w:rPr>
              <w:t>Class</w:t>
            </w:r>
          </w:p>
        </w:tc>
        <w:tc>
          <w:tcPr>
            <w:tcW w:type="dxa" w:w="7387"/>
            <w:vAlign w:val="center"/>
            <w:tcMar>
              <w:top w:w="90" w:type="dxa"/>
              <w:left w:w="90" w:type="dxa"/>
              <w:bottom w:w="90" w:type="dxa"/>
              <w:right w:w="90" w:type="dxa"/>
            </w:tcMar>
            <w:shd w:fill="E7EEF5"/>
          </w:tcPr>
          <w:p>
            <w:pPr>
              <w:spacing w:after="0" w:line="245" w:lineRule="auto"/>
            </w:pPr>
            <w:r>
              <w:rPr>
                <w:b/>
                <w:sz w:val="19"/>
              </w:rPr>
              <w:t>Role</w:t>
            </w:r>
          </w:p>
        </w:tc>
      </w:tr>
      <w:tr>
        <w:trPr>
          <w:cantSplit/>
        </w:trPr>
        <w:tc>
          <w:tcPr>
            <w:tcW w:type="dxa" w:w="2448"/>
            <w:vAlign w:val="center"/>
            <w:tcMar>
              <w:top w:w="90" w:type="dxa"/>
              <w:left w:w="90" w:type="dxa"/>
              <w:bottom w:w="90" w:type="dxa"/>
              <w:right w:w="90" w:type="dxa"/>
            </w:tcMar>
          </w:tcPr>
          <w:p>
            <w:pPr>
              <w:spacing w:after="0" w:line="245" w:lineRule="auto"/>
            </w:pPr>
            <w:r>
              <w:rPr>
                <w:b w:val="0"/>
                <w:sz w:val="19"/>
              </w:rPr>
              <w:t>ApplicationListener</w:t>
            </w:r>
          </w:p>
        </w:tc>
        <w:tc>
          <w:tcPr>
            <w:tcW w:type="dxa" w:w="7387"/>
            <w:vAlign w:val="center"/>
            <w:tcMar>
              <w:top w:w="90" w:type="dxa"/>
              <w:left w:w="90" w:type="dxa"/>
              <w:bottom w:w="90" w:type="dxa"/>
              <w:right w:w="90" w:type="dxa"/>
            </w:tcMar>
          </w:tcPr>
          <w:p>
            <w:pPr>
              <w:spacing w:after="0" w:line="245" w:lineRule="auto"/>
            </w:pPr>
            <w:r>
              <w:rPr>
                <w:b w:val="0"/>
                <w:sz w:val="19"/>
              </w:rPr>
              <w:t>Creates fresh ApplicationService state on deployment and removes the context reference when the application stops.</w:t>
            </w:r>
          </w:p>
        </w:tc>
      </w:tr>
      <w:tr>
        <w:trPr>
          <w:cantSplit/>
        </w:trPr>
        <w:tc>
          <w:tcPr>
            <w:tcW w:type="dxa" w:w="2448"/>
            <w:vAlign w:val="center"/>
            <w:tcMar>
              <w:top w:w="90" w:type="dxa"/>
              <w:left w:w="90" w:type="dxa"/>
              <w:bottom w:w="90" w:type="dxa"/>
              <w:right w:w="90" w:type="dxa"/>
            </w:tcMar>
          </w:tcPr>
          <w:p>
            <w:pPr>
              <w:spacing w:after="0" w:line="245" w:lineRule="auto"/>
            </w:pPr>
            <w:r>
              <w:rPr>
                <w:b w:val="0"/>
                <w:sz w:val="19"/>
              </w:rPr>
              <w:t>ApplicationService</w:t>
            </w:r>
          </w:p>
        </w:tc>
        <w:tc>
          <w:tcPr>
            <w:tcW w:type="dxa" w:w="7387"/>
            <w:vAlign w:val="center"/>
            <w:tcMar>
              <w:top w:w="90" w:type="dxa"/>
              <w:left w:w="90" w:type="dxa"/>
              <w:bottom w:w="90" w:type="dxa"/>
              <w:right w:w="90" w:type="dxa"/>
            </w:tcMar>
          </w:tcPr>
          <w:p>
            <w:r>
              <w:t>Owns the online engine, session authentication, claimed usernames and shared chat. It holds the engine monitor while applying actions, restoring state or collecting a complete snapshot.</w:t>
            </w:r>
          </w:p>
        </w:tc>
      </w:tr>
      <w:tr>
        <w:trPr>
          <w:cantSplit/>
        </w:trPr>
        <w:tc>
          <w:tcPr>
            <w:tcW w:type="dxa" w:w="2448"/>
            <w:vAlign w:val="center"/>
            <w:tcMar>
              <w:top w:w="90" w:type="dxa"/>
              <w:left w:w="90" w:type="dxa"/>
              <w:bottom w:w="90" w:type="dxa"/>
              <w:right w:w="90" w:type="dxa"/>
            </w:tcMar>
          </w:tcPr>
          <w:p>
            <w:pPr>
              <w:spacing w:after="0" w:line="245" w:lineRule="auto"/>
            </w:pPr>
            <w:r>
              <w:rPr>
                <w:b w:val="0"/>
                <w:sz w:val="19"/>
              </w:rPr>
              <w:t>MarketServlet</w:t>
            </w:r>
          </w:p>
        </w:tc>
        <w:tc>
          <w:tcPr>
            <w:tcW w:type="dxa" w:w="7387"/>
            <w:vAlign w:val="center"/>
            <w:tcMar>
              <w:top w:w="90" w:type="dxa"/>
              <w:left w:w="90" w:type="dxa"/>
              <w:bottom w:w="90" w:type="dxa"/>
              <w:right w:w="90" w:type="dxa"/>
            </w:tcMar>
          </w:tcPr>
          <w:p>
            <w:r>
              <w:t>Routes /api/* requests, binds identity from the session, translates commands to engine DTOs, maps failures to JSON and transfers XML and state files entirely in memory.</w:t>
            </w:r>
          </w:p>
        </w:tc>
      </w:tr>
      <w:tr>
        <w:trPr>
          <w:cantSplit/>
        </w:trPr>
        <w:tc>
          <w:tcPr>
            <w:tcW w:type="dxa" w:w="2448"/>
            <w:vAlign w:val="center"/>
            <w:tcMar>
              <w:top w:w="90" w:type="dxa"/>
              <w:left w:w="90" w:type="dxa"/>
              <w:bottom w:w="90" w:type="dxa"/>
              <w:right w:w="90" w:type="dxa"/>
            </w:tcMar>
          </w:tcPr>
          <w:p>
            <w:pPr>
              <w:spacing w:after="0" w:line="245" w:lineRule="auto"/>
            </w:pPr>
            <w:r>
              <w:rPr>
                <w:b w:val="0"/>
                <w:sz w:val="19"/>
              </w:rPr>
              <w:t>JsonInput</w:t>
            </w:r>
          </w:p>
        </w:tc>
        <w:tc>
          <w:tcPr>
            <w:tcW w:type="dxa" w:w="7387"/>
            <w:vAlign w:val="center"/>
            <w:tcMar>
              <w:top w:w="90" w:type="dxa"/>
              <w:left w:w="90" w:type="dxa"/>
              <w:bottom w:w="90" w:type="dxa"/>
              <w:right w:w="90" w:type="dxa"/>
            </w:tcMar>
          </w:tcPr>
          <w:p>
            <w:pPr>
              <w:spacing w:after="0" w:line="245" w:lineRule="auto"/>
            </w:pPr>
            <w:r>
              <w:rPr>
                <w:b w:val="0"/>
                <w:sz w:val="19"/>
              </w:rPr>
              <w:t>Reads a bounded strict JSON object, requires the correct primitive types and required fields, and rejects identity overrides in action payloads.</w:t>
            </w:r>
          </w:p>
        </w:tc>
      </w:tr>
      <w:tr>
        <w:trPr>
          <w:cantSplit/>
        </w:trPr>
        <w:tc>
          <w:tcPr>
            <w:tcW w:type="dxa" w:w="2448"/>
            <w:vAlign w:val="center"/>
            <w:tcMar>
              <w:top w:w="90" w:type="dxa"/>
              <w:left w:w="90" w:type="dxa"/>
              <w:bottom w:w="90" w:type="dxa"/>
              <w:right w:w="90" w:type="dxa"/>
            </w:tcMar>
          </w:tcPr>
          <w:p>
            <w:pPr>
              <w:spacing w:after="0" w:line="245" w:lineRule="auto"/>
            </w:pPr>
            <w:r>
              <w:rPr>
                <w:b w:val="0"/>
                <w:sz w:val="19"/>
              </w:rPr>
              <w:t>ApiException</w:t>
            </w:r>
          </w:p>
        </w:tc>
        <w:tc>
          <w:tcPr>
            <w:tcW w:type="dxa" w:w="7387"/>
            <w:vAlign w:val="center"/>
            <w:tcMar>
              <w:top w:w="90" w:type="dxa"/>
              <w:left w:w="90" w:type="dxa"/>
              <w:bottom w:w="90" w:type="dxa"/>
              <w:right w:w="90" w:type="dxa"/>
            </w:tcMar>
          </w:tcPr>
          <w:p>
            <w:pPr>
              <w:spacing w:after="0" w:line="245" w:lineRule="auto"/>
            </w:pPr>
            <w:r>
              <w:rPr>
                <w:b w:val="0"/>
                <w:sz w:val="19"/>
              </w:rPr>
              <w:t>Carries an expected HTTP status and a user-facing error message inside the server.</w:t>
            </w:r>
          </w:p>
        </w:tc>
      </w:tr>
    </w:tbl>
    <w:p>
      <w:pPr>
        <w:spacing w:after="0"/>
      </w:pPr>
    </w:p>
    <w:p>
      <w:pPr>
        <w:pStyle w:val="Heading2"/>
      </w:pPr>
      <w:r>
        <w:t>Main online engine additions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8"/>
        <w:gridCol w:w="7387"/>
      </w:tblGrid>
      <w:tr>
        <w:trPr>
          <w:cantSplit/>
          <w:tblHeader/>
        </w:trPr>
        <w:tc>
          <w:tcPr>
            <w:tcW w:type="dxa" w:w="2448"/>
            <w:vAlign w:val="center"/>
            <w:tcMar>
              <w:top w:w="90" w:type="dxa"/>
              <w:left w:w="90" w:type="dxa"/>
              <w:bottom w:w="90" w:type="dxa"/>
              <w:right w:w="90" w:type="dxa"/>
            </w:tcMar>
            <w:shd w:fill="E7EEF5"/>
          </w:tcPr>
          <w:p>
            <w:pPr>
              <w:spacing w:after="0" w:line="245" w:lineRule="auto"/>
            </w:pPr>
            <w:r>
              <w:rPr>
                <w:b/>
                <w:sz w:val="19"/>
              </w:rPr>
              <w:t>Class or interface</w:t>
            </w:r>
          </w:p>
        </w:tc>
        <w:tc>
          <w:tcPr>
            <w:tcW w:type="dxa" w:w="7387"/>
            <w:vAlign w:val="center"/>
            <w:tcMar>
              <w:top w:w="90" w:type="dxa"/>
              <w:left w:w="90" w:type="dxa"/>
              <w:bottom w:w="90" w:type="dxa"/>
              <w:right w:w="90" w:type="dxa"/>
            </w:tcMar>
            <w:shd w:fill="E7EEF5"/>
          </w:tcPr>
          <w:p>
            <w:pPr>
              <w:spacing w:after="0" w:line="245" w:lineRule="auto"/>
            </w:pPr>
            <w:r>
              <w:rPr>
                <w:b/>
                <w:sz w:val="19"/>
              </w:rPr>
              <w:t>Role</w:t>
            </w:r>
          </w:p>
        </w:tc>
      </w:tr>
      <w:tr>
        <w:trPr>
          <w:cantSplit/>
        </w:trPr>
        <w:tc>
          <w:tcPr>
            <w:tcW w:type="dxa" w:w="2448"/>
            <w:vAlign w:val="center"/>
            <w:tcMar>
              <w:top w:w="90" w:type="dxa"/>
              <w:left w:w="90" w:type="dxa"/>
              <w:bottom w:w="90" w:type="dxa"/>
              <w:right w:w="90" w:type="dxa"/>
            </w:tcMar>
          </w:tcPr>
          <w:p>
            <w:pPr>
              <w:spacing w:after="0" w:line="245" w:lineRule="auto"/>
            </w:pPr>
            <w:r>
              <w:rPr>
                <w:b w:val="0"/>
                <w:sz w:val="19"/>
              </w:rPr>
              <w:t>OnlineMarketEngine</w:t>
            </w:r>
          </w:p>
        </w:tc>
        <w:tc>
          <w:tcPr>
            <w:tcW w:type="dxa" w:w="7387"/>
            <w:vAlign w:val="center"/>
            <w:tcMar>
              <w:top w:w="90" w:type="dxa"/>
              <w:left w:w="90" w:type="dxa"/>
              <w:bottom w:w="90" w:type="dxa"/>
              <w:right w:w="90" w:type="dxa"/>
            </w:tcMar>
          </w:tcPr>
          <w:p>
            <w:r>
              <w:t>Extends GuessMarketEngine with registration, deposits, event uploads, account history and Exercise 3 state import and export.</w:t>
            </w:r>
          </w:p>
        </w:tc>
      </w:tr>
      <w:tr>
        <w:trPr>
          <w:cantSplit/>
        </w:trPr>
        <w:tc>
          <w:tcPr>
            <w:tcW w:type="dxa" w:w="2448"/>
            <w:vAlign w:val="center"/>
            <w:tcMar>
              <w:top w:w="90" w:type="dxa"/>
              <w:left w:w="90" w:type="dxa"/>
              <w:bottom w:w="90" w:type="dxa"/>
              <w:right w:w="90" w:type="dxa"/>
            </w:tcMar>
          </w:tcPr>
          <w:p>
            <w:pPr>
              <w:spacing w:after="0" w:line="245" w:lineRule="auto"/>
            </w:pPr>
            <w:r>
              <w:rPr>
                <w:b w:val="0"/>
                <w:sz w:val="19"/>
              </w:rPr>
              <w:t>OnlineMarketEngineImpl</w:t>
            </w:r>
          </w:p>
        </w:tc>
        <w:tc>
          <w:tcPr>
            <w:tcW w:type="dxa" w:w="7387"/>
            <w:vAlign w:val="center"/>
            <w:tcMar>
              <w:top w:w="90" w:type="dxa"/>
              <w:left w:w="90" w:type="dxa"/>
              <w:bottom w:w="90" w:type="dxa"/>
              <w:right w:w="90" w:type="dxa"/>
            </w:tcMar>
          </w:tcPr>
          <w:p>
            <w:r>
              <w:t>Starts with an empty market, adds users and XML files cumulatively, and exports or atomically replaces the complete online model through a versioned state stream.</w:t>
            </w:r>
          </w:p>
        </w:tc>
      </w:tr>
      <w:tr>
        <w:trPr>
          <w:cantSplit/>
        </w:trPr>
        <w:tc>
          <w:tcPr>
            <w:tcW w:type="dxa" w:w="2448"/>
            <w:vAlign w:val="center"/>
            <w:tcMar>
              <w:top w:w="90" w:type="dxa"/>
              <w:left w:w="90" w:type="dxa"/>
              <w:bottom w:w="90" w:type="dxa"/>
              <w:right w:w="90" w:type="dxa"/>
            </w:tcMar>
          </w:tcPr>
          <w:p>
            <w:pPr>
              <w:spacing w:after="0" w:line="245" w:lineRule="auto"/>
            </w:pPr>
            <w:r>
              <w:rPr>
                <w:b w:val="0"/>
                <w:sz w:val="19"/>
              </w:rPr>
              <w:t>OnlineEventFileLoader</w:t>
            </w:r>
          </w:p>
        </w:tc>
        <w:tc>
          <w:tcPr>
            <w:tcW w:type="dxa" w:w="7387"/>
            <w:vAlign w:val="center"/>
            <w:tcMar>
              <w:top w:w="90" w:type="dxa"/>
              <w:left w:w="90" w:type="dxa"/>
              <w:bottom w:w="90" w:type="dxa"/>
              <w:right w:w="90" w:type="dxa"/>
            </w:tcMar>
          </w:tcPr>
          <w:p>
            <w:pPr>
              <w:spacing w:after="0" w:line="245" w:lineRule="auto"/>
            </w:pPr>
            <w:r>
              <w:rPr>
                <w:b w:val="0"/>
                <w:sz w:val="19"/>
              </w:rPr>
              <w:t>Validates an XML stream against the supplied schema, checks event rules and produces all candidate events before any are added.</w:t>
            </w:r>
          </w:p>
        </w:tc>
      </w:tr>
      <w:tr>
        <w:trPr>
          <w:cantSplit/>
        </w:trPr>
        <w:tc>
          <w:tcPr>
            <w:tcW w:type="dxa" w:w="2448"/>
            <w:vAlign w:val="center"/>
            <w:tcMar>
              <w:top w:w="90" w:type="dxa"/>
              <w:left w:w="90" w:type="dxa"/>
              <w:bottom w:w="90" w:type="dxa"/>
              <w:right w:w="90" w:type="dxa"/>
            </w:tcMar>
          </w:tcPr>
          <w:p>
            <w:pPr>
              <w:spacing w:after="0" w:line="245" w:lineRule="auto"/>
            </w:pPr>
            <w:r>
              <w:rPr>
                <w:b w:val="0"/>
                <w:sz w:val="19"/>
              </w:rPr>
              <w:t>UserAlreadyExistsException</w:t>
            </w:r>
          </w:p>
        </w:tc>
        <w:tc>
          <w:tcPr>
            <w:tcW w:type="dxa" w:w="7387"/>
            <w:vAlign w:val="center"/>
            <w:tcMar>
              <w:top w:w="90" w:type="dxa"/>
              <w:left w:w="90" w:type="dxa"/>
              <w:bottom w:w="90" w:type="dxa"/>
              <w:right w:w="90" w:type="dxa"/>
            </w:tcMar>
          </w:tcPr>
          <w:p>
            <w:pPr>
              <w:spacing w:after="0" w:line="245" w:lineRule="auto"/>
            </w:pPr>
            <w:r>
              <w:rPr>
                <w:b w:val="0"/>
                <w:sz w:val="19"/>
              </w:rPr>
              <w:t>Reports an attempted registration with an existing username. The factory now exposes createOnlineEngine().</w:t>
            </w:r>
          </w:p>
        </w:tc>
      </w:tr>
    </w:tbl>
    <w:p>
      <w:pPr>
        <w:spacing w:after="0"/>
      </w:pPr>
    </w:p>
    <w:p>
      <w:pPr>
        <w:pStyle w:val="Heading1"/>
      </w:pPr>
      <w:r>
        <w:t>Client classes and shared data</w:t>
      </w:r>
    </w:p>
    <w:p>
      <w:pPr>
        <w:pStyle w:val="Heading2"/>
      </w:pPr>
      <w:r>
        <w:t>Main client classes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7315"/>
      </w:tblGrid>
      <w:tr>
        <w:trPr>
          <w:cantSplit/>
          <w:tblHeader/>
        </w:trPr>
        <w:tc>
          <w:tcPr>
            <w:tcW w:type="dxa" w:w="2520"/>
            <w:vAlign w:val="center"/>
            <w:tcMar>
              <w:top w:w="90" w:type="dxa"/>
              <w:left w:w="90" w:type="dxa"/>
              <w:bottom w:w="90" w:type="dxa"/>
              <w:right w:w="90" w:type="dxa"/>
            </w:tcMar>
            <w:shd w:fill="E7EEF5"/>
          </w:tcPr>
          <w:p>
            <w:pPr>
              <w:spacing w:after="0" w:line="245" w:lineRule="auto"/>
            </w:pPr>
            <w:r>
              <w:rPr>
                <w:b/>
                <w:sz w:val="20"/>
              </w:rPr>
              <w:t>Class</w:t>
            </w:r>
          </w:p>
        </w:tc>
        <w:tc>
          <w:tcPr>
            <w:tcW w:type="dxa" w:w="7315"/>
            <w:vAlign w:val="center"/>
            <w:tcMar>
              <w:top w:w="90" w:type="dxa"/>
              <w:left w:w="90" w:type="dxa"/>
              <w:bottom w:w="90" w:type="dxa"/>
              <w:right w:w="90" w:type="dxa"/>
            </w:tcMar>
            <w:shd w:fill="E7EEF5"/>
          </w:tcPr>
          <w:p>
            <w:pPr>
              <w:spacing w:after="0" w:line="245" w:lineRule="auto"/>
            </w:pPr>
            <w:r>
              <w:rPr>
                <w:b/>
                <w:sz w:val="20"/>
              </w:rPr>
              <w:t>Role</w:t>
            </w:r>
          </w:p>
        </w:tc>
      </w:tr>
      <w:tr>
        <w:trPr>
          <w:cantSplit/>
        </w:trPr>
        <w:tc>
          <w:tcPr>
            <w:tcW w:type="dxa" w:w="2520"/>
            <w:vAlign w:val="center"/>
            <w:tcMar>
              <w:top w:w="90" w:type="dxa"/>
              <w:left w:w="90" w:type="dxa"/>
              <w:bottom w:w="90" w:type="dxa"/>
              <w:right w:w="90" w:type="dxa"/>
            </w:tcMar>
          </w:tcPr>
          <w:p>
            <w:pPr>
              <w:spacing w:after="0" w:line="245" w:lineRule="auto"/>
            </w:pPr>
            <w:r>
              <w:rPr>
                <w:b w:val="0"/>
                <w:sz w:val="20"/>
              </w:rPr>
              <w:t>Main</w:t>
            </w:r>
          </w:p>
        </w:tc>
        <w:tc>
          <w:tcPr>
            <w:tcW w:type="dxa" w:w="7315"/>
            <w:vAlign w:val="center"/>
            <w:tcMar>
              <w:top w:w="90" w:type="dxa"/>
              <w:left w:w="90" w:type="dxa"/>
              <w:bottom w:w="90" w:type="dxa"/>
              <w:right w:w="90" w:type="dxa"/>
            </w:tcMar>
          </w:tcPr>
          <w:p>
            <w:pPr>
              <w:spacing w:after="0" w:line="245" w:lineRule="auto"/>
            </w:pPr>
            <w:r>
              <w:rPr>
                <w:b w:val="0"/>
                <w:sz w:val="20"/>
              </w:rPr>
              <w:t>A small launcher that starts JavaFX with the application JAR on the classpath and JavaFX on the module path.</w:t>
            </w:r>
          </w:p>
        </w:tc>
      </w:tr>
      <w:tr>
        <w:trPr>
          <w:cantSplit/>
        </w:trPr>
        <w:tc>
          <w:tcPr>
            <w:tcW w:type="dxa" w:w="2520"/>
            <w:vAlign w:val="center"/>
            <w:tcMar>
              <w:top w:w="90" w:type="dxa"/>
              <w:left w:w="90" w:type="dxa"/>
              <w:bottom w:w="90" w:type="dxa"/>
              <w:right w:w="90" w:type="dxa"/>
            </w:tcMar>
          </w:tcPr>
          <w:p>
            <w:pPr>
              <w:spacing w:after="0" w:line="245" w:lineRule="auto"/>
            </w:pPr>
            <w:r>
              <w:rPr>
                <w:b w:val="0"/>
                <w:sz w:val="20"/>
              </w:rPr>
              <w:t>GuessMarketClient</w:t>
            </w:r>
          </w:p>
        </w:tc>
        <w:tc>
          <w:tcPr>
            <w:tcW w:type="dxa" w:w="7315"/>
            <w:vAlign w:val="center"/>
            <w:tcMar>
              <w:top w:w="90" w:type="dxa"/>
              <w:left w:w="90" w:type="dxa"/>
              <w:bottom w:w="90" w:type="dxa"/>
              <w:right w:w="90" w:type="dxa"/>
            </w:tcMar>
          </w:tcPr>
          <w:p>
            <w:r>
              <w:t>Builds the login screen, Events, My account and Chat; applies snapshots; preserves selections; and manages themes, event uploads, state save and restore, and funding controls.</w:t>
            </w:r>
          </w:p>
        </w:tc>
      </w:tr>
      <w:tr>
        <w:trPr>
          <w:cantSplit/>
        </w:trPr>
        <w:tc>
          <w:tcPr>
            <w:tcW w:type="dxa" w:w="2520"/>
            <w:vAlign w:val="center"/>
            <w:tcMar>
              <w:top w:w="90" w:type="dxa"/>
              <w:left w:w="90" w:type="dxa"/>
              <w:bottom w:w="90" w:type="dxa"/>
              <w:right w:w="90" w:type="dxa"/>
            </w:tcMar>
          </w:tcPr>
          <w:p>
            <w:pPr>
              <w:spacing w:after="0" w:line="245" w:lineRule="auto"/>
            </w:pPr>
            <w:r>
              <w:rPr>
                <w:b w:val="0"/>
                <w:sz w:val="20"/>
              </w:rPr>
              <w:t>ClientSession</w:t>
            </w:r>
          </w:p>
        </w:tc>
        <w:tc>
          <w:tcPr>
            <w:tcW w:type="dxa" w:w="7315"/>
            <w:vAlign w:val="center"/>
            <w:tcMar>
              <w:top w:w="90" w:type="dxa"/>
              <w:left w:w="90" w:type="dxa"/>
              <w:bottom w:w="90" w:type="dxa"/>
              <w:right w:w="90" w:type="dxa"/>
            </w:tcMar>
          </w:tcPr>
          <w:p>
            <w:pPr>
              <w:spacing w:after="0" w:line="245" w:lineRule="auto"/>
            </w:pPr>
            <w:r>
              <w:rPr>
                <w:b w:val="0"/>
                <w:sz w:val="20"/>
              </w:rPr>
              <w:t>Runs login, actions and polling on one worker. It delivers callbacks on the JavaFX thread and discards callbacks from older sessions after logout or expiry.</w:t>
            </w:r>
          </w:p>
        </w:tc>
      </w:tr>
      <w:tr>
        <w:trPr>
          <w:cantSplit/>
        </w:trPr>
        <w:tc>
          <w:tcPr>
            <w:tcW w:type="dxa" w:w="2520"/>
            <w:vAlign w:val="center"/>
            <w:tcMar>
              <w:top w:w="90" w:type="dxa"/>
              <w:left w:w="90" w:type="dxa"/>
              <w:bottom w:w="90" w:type="dxa"/>
              <w:right w:w="90" w:type="dxa"/>
            </w:tcMar>
          </w:tcPr>
          <w:p>
            <w:pPr>
              <w:spacing w:after="0" w:line="245" w:lineRule="auto"/>
            </w:pPr>
            <w:r>
              <w:rPr>
                <w:b w:val="0"/>
                <w:sz w:val="20"/>
              </w:rPr>
              <w:t>ApiClient</w:t>
            </w:r>
          </w:p>
        </w:tc>
        <w:tc>
          <w:tcPr>
            <w:tcW w:type="dxa" w:w="7315"/>
            <w:vAlign w:val="center"/>
            <w:tcMar>
              <w:top w:w="90" w:type="dxa"/>
              <w:left w:w="90" w:type="dxa"/>
              <w:bottom w:w="90" w:type="dxa"/>
              <w:right w:w="90" w:type="dxa"/>
            </w:tcMar>
          </w:tcPr>
          <w:p>
            <w:r>
              <w:t>Uses JDK HttpClient, a cookie store and Gson for HTTP/JSON and binary state downloads. It resolves the server URL, posts multipart bytes, enforces timeouts and reads structured errors.</w:t>
            </w:r>
          </w:p>
        </w:tc>
      </w:tr>
      <w:tr>
        <w:trPr>
          <w:cantSplit/>
        </w:trPr>
        <w:tc>
          <w:tcPr>
            <w:tcW w:type="dxa" w:w="2520"/>
            <w:vAlign w:val="center"/>
            <w:tcMar>
              <w:top w:w="90" w:type="dxa"/>
              <w:left w:w="90" w:type="dxa"/>
              <w:bottom w:w="90" w:type="dxa"/>
              <w:right w:w="90" w:type="dxa"/>
            </w:tcMar>
          </w:tcPr>
          <w:p>
            <w:pPr>
              <w:spacing w:after="0" w:line="245" w:lineRule="auto"/>
            </w:pPr>
            <w:r>
              <w:rPr>
                <w:b w:val="0"/>
                <w:sz w:val="20"/>
              </w:rPr>
              <w:t>ApiClient.ApiException</w:t>
            </w:r>
          </w:p>
        </w:tc>
        <w:tc>
          <w:tcPr>
            <w:tcW w:type="dxa" w:w="7315"/>
            <w:vAlign w:val="center"/>
            <w:tcMar>
              <w:top w:w="90" w:type="dxa"/>
              <w:left w:w="90" w:type="dxa"/>
              <w:bottom w:w="90" w:type="dxa"/>
              <w:right w:w="90" w:type="dxa"/>
            </w:tcMar>
          </w:tcPr>
          <w:p>
            <w:pPr>
              <w:spacing w:after="0" w:line="245" w:lineRule="auto"/>
            </w:pPr>
            <w:r>
              <w:rPr>
                <w:b w:val="0"/>
                <w:sz w:val="20"/>
              </w:rPr>
              <w:t>Preserves an HTTP error status so ClientSession can distinguish an expired session from a recoverable connection failure.</w:t>
            </w:r>
          </w:p>
        </w:tc>
      </w:tr>
      <w:tr>
        <w:trPr>
          <w:cantSplit/>
        </w:trPr>
        <w:tc>
          <w:tcPr>
            <w:tcW w:type="dxa" w:w="2520"/>
            <w:vAlign w:val="center"/>
            <w:tcMar>
              <w:top w:w="90" w:type="dxa"/>
              <w:left w:w="90" w:type="dxa"/>
              <w:bottom w:w="90" w:type="dxa"/>
              <w:right w:w="90" w:type="dxa"/>
            </w:tcMar>
          </w:tcPr>
          <w:p>
            <w:pPr>
              <w:spacing w:after="0" w:line="245" w:lineRule="auto"/>
            </w:pPr>
            <w:r>
              <w:rPr>
                <w:b w:val="0"/>
                <w:sz w:val="20"/>
              </w:rPr>
              <w:t>TradeActions</w:t>
            </w:r>
          </w:p>
        </w:tc>
        <w:tc>
          <w:tcPr>
            <w:tcW w:type="dxa" w:w="7315"/>
            <w:vAlign w:val="center"/>
            <w:tcMar>
              <w:top w:w="90" w:type="dxa"/>
              <w:left w:w="90" w:type="dxa"/>
              <w:bottom w:w="90" w:type="dxa"/>
              <w:right w:w="90" w:type="dxa"/>
            </w:tcMar>
          </w:tcPr>
          <w:p>
            <w:pPr>
              <w:spacing w:after="0" w:line="245" w:lineRule="auto"/>
            </w:pPr>
            <w:r>
              <w:rPr>
                <w:b w:val="0"/>
                <w:sz w:val="20"/>
              </w:rPr>
              <w:t>One reusable trading panel for both main screens. It binds quotes, purchases, orders, opening and closing to the selected market and the current session.</w:t>
            </w:r>
          </w:p>
        </w:tc>
      </w:tr>
    </w:tbl>
    <w:p>
      <w:pPr>
        <w:spacing w:after="0"/>
      </w:pPr>
    </w:p>
    <w:p>
      <w:pPr>
        <w:pStyle w:val="Heading2"/>
      </w:pPr>
      <w:r>
        <w:t>Reused components</w:t>
      </w:r>
    </w:p>
    <w:p>
      <w:r>
        <w:t>EventDetailsController, OptionBookController, EventTile and UserInvolvementController retain the earlier event, book and personal-involvement displays. The common formatting, tables, dialogs, icons, tiles, skins, animation helper and styles are packaged with their FXML resources. These components receive DTOs; the client distribution contains no engine classes or engine.jar.</w:t>
      </w:r>
    </w:p>
    <w:p>
      <w:pPr>
        <w:pStyle w:val="Heading2"/>
      </w:pPr>
      <w:r>
        <w:t>New records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7315"/>
      </w:tblGrid>
      <w:tr>
        <w:trPr>
          <w:cantSplit/>
          <w:tblHeader/>
        </w:trPr>
        <w:tc>
          <w:tcPr>
            <w:tcW w:type="dxa" w:w="2520"/>
            <w:vAlign w:val="center"/>
            <w:tcMar>
              <w:top w:w="90" w:type="dxa"/>
              <w:left w:w="90" w:type="dxa"/>
              <w:bottom w:w="90" w:type="dxa"/>
              <w:right w:w="90" w:type="dxa"/>
            </w:tcMar>
            <w:shd w:fill="E7EEF5"/>
          </w:tcPr>
          <w:p>
            <w:pPr>
              <w:spacing w:after="0" w:line="245" w:lineRule="auto"/>
            </w:pPr>
            <w:r>
              <w:rPr>
                <w:b/>
                <w:sz w:val="20"/>
              </w:rPr>
              <w:t>Record</w:t>
            </w:r>
          </w:p>
        </w:tc>
        <w:tc>
          <w:tcPr>
            <w:tcW w:type="dxa" w:w="7315"/>
            <w:vAlign w:val="center"/>
            <w:tcMar>
              <w:top w:w="90" w:type="dxa"/>
              <w:left w:w="90" w:type="dxa"/>
              <w:bottom w:w="90" w:type="dxa"/>
              <w:right w:w="90" w:type="dxa"/>
            </w:tcMar>
            <w:shd w:fill="E7EEF5"/>
          </w:tcPr>
          <w:p>
            <w:pPr>
              <w:spacing w:after="0" w:line="245" w:lineRule="auto"/>
            </w:pPr>
            <w:r>
              <w:rPr>
                <w:b/>
                <w:sz w:val="20"/>
              </w:rPr>
              <w:t>Contents</w:t>
            </w:r>
          </w:p>
        </w:tc>
      </w:tr>
      <w:tr>
        <w:trPr>
          <w:cantSplit/>
        </w:trPr>
        <w:tc>
          <w:tcPr>
            <w:tcW w:type="dxa" w:w="2520"/>
            <w:vAlign w:val="center"/>
            <w:tcMar>
              <w:top w:w="90" w:type="dxa"/>
              <w:left w:w="90" w:type="dxa"/>
              <w:bottom w:w="90" w:type="dxa"/>
              <w:right w:w="90" w:type="dxa"/>
            </w:tcMar>
          </w:tcPr>
          <w:p>
            <w:pPr>
              <w:spacing w:after="0" w:line="245" w:lineRule="auto"/>
            </w:pPr>
            <w:r>
              <w:rPr>
                <w:b w:val="0"/>
                <w:sz w:val="20"/>
              </w:rPr>
              <w:t>SnapshotDto</w:t>
            </w:r>
          </w:p>
        </w:tc>
        <w:tc>
          <w:tcPr>
            <w:tcW w:type="dxa" w:w="7315"/>
            <w:vAlign w:val="center"/>
            <w:tcMar>
              <w:top w:w="90" w:type="dxa"/>
              <w:left w:w="90" w:type="dxa"/>
              <w:bottom w:w="90" w:type="dxa"/>
              <w:right w:w="90" w:type="dxa"/>
            </w:tcMar>
          </w:tcPr>
          <w:p>
            <w:pPr>
              <w:spacing w:after="0" w:line="245" w:lineRule="auto"/>
            </w:pPr>
            <w:r>
              <w:rPr>
                <w:b w:val="0"/>
                <w:sz w:val="20"/>
              </w:rPr>
              <w:t>All event details and price histories; public user summaries; the current user, involvements, balance history and account entries; the shared chat.</w:t>
            </w:r>
          </w:p>
        </w:tc>
      </w:tr>
      <w:tr>
        <w:trPr>
          <w:cantSplit/>
        </w:trPr>
        <w:tc>
          <w:tcPr>
            <w:tcW w:type="dxa" w:w="2520"/>
            <w:vAlign w:val="center"/>
            <w:tcMar>
              <w:top w:w="90" w:type="dxa"/>
              <w:left w:w="90" w:type="dxa"/>
              <w:bottom w:w="90" w:type="dxa"/>
              <w:right w:w="90" w:type="dxa"/>
            </w:tcMar>
          </w:tcPr>
          <w:p>
            <w:pPr>
              <w:spacing w:after="0" w:line="245" w:lineRule="auto"/>
            </w:pPr>
            <w:r>
              <w:rPr>
                <w:b w:val="0"/>
                <w:sz w:val="20"/>
              </w:rPr>
              <w:t>PublicUserDto</w:t>
            </w:r>
          </w:p>
        </w:tc>
        <w:tc>
          <w:tcPr>
            <w:tcW w:type="dxa" w:w="7315"/>
            <w:vAlign w:val="center"/>
            <w:tcMar>
              <w:top w:w="90" w:type="dxa"/>
              <w:left w:w="90" w:type="dxa"/>
              <w:bottom w:w="90" w:type="dxa"/>
              <w:right w:w="90" w:type="dxa"/>
            </w:tcMar>
          </w:tcPr>
          <w:p>
            <w:pPr>
              <w:spacing w:after="0" w:line="245" w:lineRule="auto"/>
            </w:pPr>
            <w:r>
              <w:rPr>
                <w:b w:val="0"/>
                <w:sz w:val="20"/>
              </w:rPr>
              <w:t>Username, balance and whether that user runs at least one event.</w:t>
            </w:r>
          </w:p>
        </w:tc>
      </w:tr>
      <w:tr>
        <w:trPr>
          <w:cantSplit/>
        </w:trPr>
        <w:tc>
          <w:tcPr>
            <w:tcW w:type="dxa" w:w="2520"/>
            <w:vAlign w:val="center"/>
            <w:tcMar>
              <w:top w:w="90" w:type="dxa"/>
              <w:left w:w="90" w:type="dxa"/>
              <w:bottom w:w="90" w:type="dxa"/>
              <w:right w:w="90" w:type="dxa"/>
            </w:tcMar>
          </w:tcPr>
          <w:p>
            <w:pPr>
              <w:spacing w:after="0" w:line="245" w:lineRule="auto"/>
            </w:pPr>
            <w:r>
              <w:rPr>
                <w:b w:val="0"/>
                <w:sz w:val="20"/>
              </w:rPr>
              <w:t>AccountEntryDto</w:t>
            </w:r>
          </w:p>
        </w:tc>
        <w:tc>
          <w:tcPr>
            <w:tcW w:type="dxa" w:w="7315"/>
            <w:vAlign w:val="center"/>
            <w:tcMar>
              <w:top w:w="90" w:type="dxa"/>
              <w:left w:w="90" w:type="dxa"/>
              <w:bottom w:w="90" w:type="dxa"/>
              <w:right w:w="90" w:type="dxa"/>
            </w:tcMar>
          </w:tcPr>
          <w:p>
            <w:pPr>
              <w:spacing w:after="0" w:line="245" w:lineRule="auto"/>
            </w:pPr>
            <w:r>
              <w:rPr>
                <w:b w:val="0"/>
                <w:sz w:val="20"/>
              </w:rPr>
              <w:t>Operation sequence, description, signed amount, balance before and balance after. Deposits, trades, commissions and settlement changes remain separate rows.</w:t>
            </w:r>
          </w:p>
        </w:tc>
      </w:tr>
      <w:tr>
        <w:tc>
          <w:tcPr>
            <w:tcW w:type="dxa" w:w="2520"/>
          </w:tcPr>
          <w:p>
            <w:r>
              <w:t>StateTransferResultDto</w:t>
            </w:r>
          </w:p>
        </w:tc>
        <w:tc>
          <w:tcPr>
            <w:tcW w:type="dxa" w:w="7315"/>
          </w:tcPr>
          <w:p>
            <w:r>
              <w:t>Imported state filename and the restored event and registered-user totals.</w:t>
            </w:r>
          </w:p>
        </w:tc>
      </w:tr>
      <w:tr>
        <w:trPr>
          <w:cantSplit/>
        </w:trPr>
        <w:tc>
          <w:tcPr>
            <w:tcW w:type="dxa" w:w="2520"/>
            <w:vAlign w:val="center"/>
            <w:tcMar>
              <w:top w:w="90" w:type="dxa"/>
              <w:left w:w="90" w:type="dxa"/>
              <w:bottom w:w="90" w:type="dxa"/>
              <w:right w:w="90" w:type="dxa"/>
            </w:tcMar>
          </w:tcPr>
          <w:p>
            <w:pPr>
              <w:spacing w:after="0" w:line="245" w:lineRule="auto"/>
            </w:pPr>
            <w:r>
              <w:rPr>
                <w:b w:val="0"/>
                <w:sz w:val="20"/>
              </w:rPr>
              <w:t>ChatMessageDto</w:t>
            </w:r>
          </w:p>
        </w:tc>
        <w:tc>
          <w:tcPr>
            <w:tcW w:type="dxa" w:w="7315"/>
            <w:vAlign w:val="center"/>
            <w:tcMar>
              <w:top w:w="90" w:type="dxa"/>
              <w:left w:w="90" w:type="dxa"/>
              <w:bottom w:w="90" w:type="dxa"/>
              <w:right w:w="90" w:type="dxa"/>
            </w:tcMar>
          </w:tcPr>
          <w:p>
            <w:pPr>
              <w:spacing w:after="0" w:line="245" w:lineRule="auto"/>
            </w:pPr>
            <w:r>
              <w:rPr>
                <w:b w:val="0"/>
                <w:sz w:val="20"/>
              </w:rPr>
              <w:t>Monotonic message ID, authenticated username, message text and a server timestamp in epoch milliseconds.</w:t>
            </w:r>
          </w:p>
        </w:tc>
      </w:tr>
      <w:tr>
        <w:trPr>
          <w:cantSplit/>
        </w:trPr>
        <w:tc>
          <w:tcPr>
            <w:tcW w:type="dxa" w:w="2520"/>
            <w:vAlign w:val="center"/>
            <w:tcMar>
              <w:top w:w="90" w:type="dxa"/>
              <w:left w:w="90" w:type="dxa"/>
              <w:bottom w:w="90" w:type="dxa"/>
              <w:right w:w="90" w:type="dxa"/>
            </w:tcMar>
          </w:tcPr>
          <w:p>
            <w:pPr>
              <w:spacing w:after="0" w:line="245" w:lineRule="auto"/>
            </w:pPr>
            <w:r>
              <w:rPr>
                <w:b w:val="0"/>
                <w:sz w:val="20"/>
              </w:rPr>
              <w:t>LoginResponseDto</w:t>
            </w:r>
          </w:p>
        </w:tc>
        <w:tc>
          <w:tcPr>
            <w:tcW w:type="dxa" w:w="7315"/>
            <w:vAlign w:val="center"/>
            <w:tcMar>
              <w:top w:w="90" w:type="dxa"/>
              <w:left w:w="90" w:type="dxa"/>
              <w:bottom w:w="90" w:type="dxa"/>
              <w:right w:w="90" w:type="dxa"/>
            </w:tcMar>
          </w:tcPr>
          <w:p>
            <w:pPr>
              <w:spacing w:after="0" w:line="245" w:lineRule="auto"/>
            </w:pPr>
            <w:r>
              <w:rPr>
                <w:b w:val="0"/>
                <w:sz w:val="20"/>
              </w:rPr>
              <w:t>The canonical username assigned to the authenticated session.</w:t>
            </w:r>
          </w:p>
        </w:tc>
      </w:tr>
      <w:tr>
        <w:trPr>
          <w:cantSplit/>
        </w:trPr>
        <w:tc>
          <w:tcPr>
            <w:tcW w:type="dxa" w:w="2520"/>
            <w:vAlign w:val="center"/>
            <w:tcMar>
              <w:top w:w="90" w:type="dxa"/>
              <w:left w:w="90" w:type="dxa"/>
              <w:bottom w:w="90" w:type="dxa"/>
              <w:right w:w="90" w:type="dxa"/>
            </w:tcMar>
          </w:tcPr>
          <w:p>
            <w:pPr>
              <w:spacing w:after="0" w:line="245" w:lineRule="auto"/>
            </w:pPr>
            <w:r>
              <w:rPr>
                <w:b w:val="0"/>
                <w:sz w:val="20"/>
              </w:rPr>
              <w:t>QuoteDto</w:t>
            </w:r>
          </w:p>
        </w:tc>
        <w:tc>
          <w:tcPr>
            <w:tcW w:type="dxa" w:w="7315"/>
            <w:vAlign w:val="center"/>
            <w:tcMar>
              <w:top w:w="90" w:type="dxa"/>
              <w:left w:w="90" w:type="dxa"/>
              <w:bottom w:w="90" w:type="dxa"/>
              <w:right w:w="90" w:type="dxa"/>
            </w:tcMar>
          </w:tcPr>
          <w:p>
            <w:pPr>
              <w:spacing w:after="0" w:line="245" w:lineRule="auto"/>
            </w:pPr>
            <w:r>
              <w:rPr>
                <w:b w:val="0"/>
                <w:sz w:val="20"/>
              </w:rPr>
              <w:t>The current LMSR share cost, before commission.</w:t>
            </w:r>
          </w:p>
        </w:tc>
      </w:tr>
      <w:tr>
        <w:trPr>
          <w:cantSplit/>
        </w:trPr>
        <w:tc>
          <w:tcPr>
            <w:tcW w:type="dxa" w:w="2520"/>
            <w:vAlign w:val="center"/>
            <w:tcMar>
              <w:top w:w="90" w:type="dxa"/>
              <w:left w:w="90" w:type="dxa"/>
              <w:bottom w:w="90" w:type="dxa"/>
              <w:right w:w="90" w:type="dxa"/>
            </w:tcMar>
          </w:tcPr>
          <w:p>
            <w:pPr>
              <w:spacing w:after="0" w:line="245" w:lineRule="auto"/>
            </w:pPr>
            <w:r>
              <w:rPr>
                <w:b w:val="0"/>
                <w:sz w:val="20"/>
              </w:rPr>
              <w:t>MessageDto</w:t>
            </w:r>
          </w:p>
        </w:tc>
        <w:tc>
          <w:tcPr>
            <w:tcW w:type="dxa" w:w="7315"/>
            <w:vAlign w:val="center"/>
            <w:tcMar>
              <w:top w:w="90" w:type="dxa"/>
              <w:left w:w="90" w:type="dxa"/>
              <w:bottom w:w="90" w:type="dxa"/>
              <w:right w:w="90" w:type="dxa"/>
            </w:tcMar>
          </w:tcPr>
          <w:p>
            <w:pPr>
              <w:spacing w:after="0" w:line="245" w:lineRule="auto"/>
            </w:pPr>
            <w:r>
              <w:rPr>
                <w:b w:val="0"/>
                <w:sz w:val="20"/>
              </w:rPr>
              <w:t>One message field for structured errors and simple acknowledgements.</w:t>
            </w:r>
          </w:p>
        </w:tc>
      </w:tr>
    </w:tbl>
    <w:p>
      <w:pPr>
        <w:spacing w:after="0"/>
      </w:pPr>
    </w:p>
    <w:p>
      <w:r>
        <w:t>Records copy their collections defensively, including lists nested in snapshot price histories. Existing event, order, trade, holding, user and action DTOs continue to carry the domain data; no internal market objects cross the HTTP boundary.</w:t>
      </w:r>
    </w:p>
    <w:p>
      <w:pPr>
        <w:pStyle w:val="Heading1"/>
      </w:pPr>
      <w:r>
        <w:t>HTTP protocol and concurrency</w:t>
      </w:r>
    </w:p>
    <w:p>
      <w:r>
        <w:t>All paths below are relative to http://localhost:8080/guess-market/api/. JSON requests use Content-Type: application/json; XML and state uploads use multipart/form-data. Event option indexes start at zero. The server uses a cookie-backed HTTP session, with HttpOnly and SameSite=Lax cookie settings.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7459"/>
      </w:tblGrid>
      <w:tr>
        <w:trPr>
          <w:cantSplit/>
          <w:tblHeader/>
        </w:trPr>
        <w:tc>
          <w:tcPr>
            <w:tcW w:type="dxa" w:w="2376"/>
            <w:vAlign w:val="center"/>
            <w:tcMar>
              <w:top w:w="90" w:type="dxa"/>
              <w:left w:w="90" w:type="dxa"/>
              <w:bottom w:w="90" w:type="dxa"/>
              <w:right w:w="90" w:type="dxa"/>
            </w:tcMar>
            <w:shd w:fill="E7EEF5"/>
          </w:tcPr>
          <w:p>
            <w:pPr>
              <w:spacing w:after="0" w:line="245" w:lineRule="auto"/>
            </w:pPr>
            <w:r>
              <w:rPr>
                <w:b/>
                <w:sz w:val="18"/>
              </w:rPr>
              <w:t>Method and path</w:t>
            </w:r>
          </w:p>
        </w:tc>
        <w:tc>
          <w:tcPr>
            <w:tcW w:type="dxa" w:w="7459"/>
            <w:vAlign w:val="center"/>
            <w:tcMar>
              <w:top w:w="90" w:type="dxa"/>
              <w:left w:w="90" w:type="dxa"/>
              <w:bottom w:w="90" w:type="dxa"/>
              <w:right w:w="90" w:type="dxa"/>
            </w:tcMar>
            <w:shd w:fill="E7EEF5"/>
          </w:tcPr>
          <w:p>
            <w:pPr>
              <w:spacing w:after="0" w:line="245" w:lineRule="auto"/>
            </w:pPr>
            <w:r>
              <w:rPr>
                <w:b/>
                <w:sz w:val="18"/>
              </w:rPr>
              <w:t>Request and result</w:t>
            </w:r>
          </w:p>
        </w:tc>
      </w:tr>
      <w:tr>
        <w:trPr>
          <w:cantSplit/>
        </w:trPr>
        <w:tc>
          <w:tcPr>
            <w:tcW w:type="dxa" w:w="2376"/>
            <w:vAlign w:val="center"/>
            <w:tcMar>
              <w:top w:w="90" w:type="dxa"/>
              <w:left w:w="90" w:type="dxa"/>
              <w:bottom w:w="90" w:type="dxa"/>
              <w:right w:w="90" w:type="dxa"/>
            </w:tcMar>
          </w:tcPr>
          <w:p>
            <w:pPr>
              <w:spacing w:after="0" w:line="245" w:lineRule="auto"/>
            </w:pPr>
            <w:r>
              <w:rPr>
                <w:b w:val="0"/>
                <w:sz w:val="18"/>
              </w:rPr>
              <w:t>GET /health</w:t>
            </w:r>
          </w:p>
        </w:tc>
        <w:tc>
          <w:tcPr>
            <w:tcW w:type="dxa" w:w="7459"/>
            <w:vAlign w:val="center"/>
            <w:tcMar>
              <w:top w:w="90" w:type="dxa"/>
              <w:left w:w="90" w:type="dxa"/>
              <w:bottom w:w="90" w:type="dxa"/>
              <w:right w:w="90" w:type="dxa"/>
            </w:tcMar>
          </w:tcPr>
          <w:p>
            <w:pPr>
              <w:spacing w:after="0" w:line="245" w:lineRule="auto"/>
            </w:pPr>
            <w:r>
              <w:rPr>
                <w:b w:val="0"/>
                <w:sz w:val="18"/>
              </w:rPr>
              <w:t>No authentication. Returns a readiness message.</w:t>
            </w:r>
          </w:p>
        </w:tc>
      </w:tr>
      <w:tr>
        <w:trPr>
          <w:cantSplit/>
        </w:trPr>
        <w:tc>
          <w:tcPr>
            <w:tcW w:type="dxa" w:w="2376"/>
            <w:vAlign w:val="center"/>
            <w:tcMar>
              <w:top w:w="90" w:type="dxa"/>
              <w:left w:w="90" w:type="dxa"/>
              <w:bottom w:w="90" w:type="dxa"/>
              <w:right w:w="90" w:type="dxa"/>
            </w:tcMar>
          </w:tcPr>
          <w:p>
            <w:pPr>
              <w:spacing w:after="0" w:line="245" w:lineRule="auto"/>
            </w:pPr>
            <w:r>
              <w:rPr>
                <w:b w:val="0"/>
                <w:sz w:val="18"/>
              </w:rPr>
              <w:t>POST /login</w:t>
            </w:r>
          </w:p>
        </w:tc>
        <w:tc>
          <w:tcPr>
            <w:tcW w:type="dxa" w:w="7459"/>
            <w:vAlign w:val="center"/>
            <w:tcMar>
              <w:top w:w="90" w:type="dxa"/>
              <w:left w:w="90" w:type="dxa"/>
              <w:bottom w:w="90" w:type="dxa"/>
              <w:right w:w="90" w:type="dxa"/>
            </w:tcMar>
          </w:tcPr>
          <w:p>
            <w:r>
              <w:t>{username} creates a session and returns LoginResponseDto. An already claimed name returns HTTP 409.</w:t>
            </w:r>
          </w:p>
        </w:tc>
      </w:tr>
      <w:tr>
        <w:trPr>
          <w:cantSplit/>
        </w:trPr>
        <w:tc>
          <w:tcPr>
            <w:tcW w:type="dxa" w:w="2376"/>
            <w:vAlign w:val="center"/>
            <w:tcMar>
              <w:top w:w="90" w:type="dxa"/>
              <w:left w:w="90" w:type="dxa"/>
              <w:bottom w:w="90" w:type="dxa"/>
              <w:right w:w="90" w:type="dxa"/>
            </w:tcMar>
          </w:tcPr>
          <w:p>
            <w:pPr>
              <w:spacing w:after="0" w:line="245" w:lineRule="auto"/>
            </w:pPr>
            <w:r>
              <w:rPr>
                <w:b w:val="0"/>
                <w:sz w:val="18"/>
              </w:rPr>
              <w:t>POST /logout</w:t>
            </w:r>
          </w:p>
        </w:tc>
        <w:tc>
          <w:tcPr>
            <w:tcW w:type="dxa" w:w="7459"/>
            <w:vAlign w:val="center"/>
            <w:tcMar>
              <w:top w:w="90" w:type="dxa"/>
              <w:left w:w="90" w:type="dxa"/>
              <w:bottom w:w="90" w:type="dxa"/>
              <w:right w:w="90" w:type="dxa"/>
            </w:tcMar>
          </w:tcPr>
          <w:p>
            <w:pPr>
              <w:spacing w:after="0" w:line="245" w:lineRule="auto"/>
            </w:pPr>
            <w:r>
              <w:rPr>
                <w:b w:val="0"/>
                <w:sz w:val="18"/>
              </w:rPr>
              <w:t>Invalidates the session; returns an acknowledgement.</w:t>
            </w:r>
          </w:p>
        </w:tc>
      </w:tr>
      <w:tr>
        <w:trPr>
          <w:cantSplit/>
        </w:trPr>
        <w:tc>
          <w:tcPr>
            <w:tcW w:type="dxa" w:w="2376"/>
            <w:vAlign w:val="center"/>
            <w:tcMar>
              <w:top w:w="90" w:type="dxa"/>
              <w:left w:w="90" w:type="dxa"/>
              <w:bottom w:w="90" w:type="dxa"/>
              <w:right w:w="90" w:type="dxa"/>
            </w:tcMar>
          </w:tcPr>
          <w:p>
            <w:pPr>
              <w:spacing w:after="0" w:line="245" w:lineRule="auto"/>
            </w:pPr>
            <w:r>
              <w:rPr>
                <w:b w:val="0"/>
                <w:sz w:val="18"/>
              </w:rPr>
              <w:t>GET /snapshot</w:t>
            </w:r>
          </w:p>
        </w:tc>
        <w:tc>
          <w:tcPr>
            <w:tcW w:type="dxa" w:w="7459"/>
            <w:vAlign w:val="center"/>
            <w:tcMar>
              <w:top w:w="90" w:type="dxa"/>
              <w:left w:w="90" w:type="dxa"/>
              <w:bottom w:w="90" w:type="dxa"/>
              <w:right w:w="90" w:type="dxa"/>
            </w:tcMar>
          </w:tcPr>
          <w:p>
            <w:pPr>
              <w:spacing w:after="0" w:line="245" w:lineRule="auto"/>
            </w:pPr>
            <w:r>
              <w:rPr>
                <w:b w:val="0"/>
                <w:sz w:val="18"/>
              </w:rPr>
              <w:t>Returns SnapshotDto with all public market information and this session's private account records.</w:t>
            </w:r>
          </w:p>
        </w:tc>
      </w:tr>
      <w:tr>
        <w:trPr>
          <w:cantSplit/>
        </w:trPr>
        <w:tc>
          <w:tcPr>
            <w:tcW w:type="dxa" w:w="2376"/>
            <w:vAlign w:val="center"/>
            <w:tcMar>
              <w:top w:w="90" w:type="dxa"/>
              <w:left w:w="90" w:type="dxa"/>
              <w:bottom w:w="90" w:type="dxa"/>
              <w:right w:w="90" w:type="dxa"/>
            </w:tcMar>
          </w:tcPr>
          <w:p>
            <w:pPr>
              <w:spacing w:after="0" w:line="245" w:lineRule="auto"/>
            </w:pPr>
            <w:r>
              <w:rPr>
                <w:b w:val="0"/>
                <w:sz w:val="18"/>
              </w:rPr>
              <w:t>POST /funds</w:t>
            </w:r>
          </w:p>
        </w:tc>
        <w:tc>
          <w:tcPr>
            <w:tcW w:type="dxa" w:w="7459"/>
            <w:vAlign w:val="center"/>
            <w:tcMar>
              <w:top w:w="90" w:type="dxa"/>
              <w:left w:w="90" w:type="dxa"/>
              <w:bottom w:w="90" w:type="dxa"/>
              <w:right w:w="90" w:type="dxa"/>
            </w:tcMar>
          </w:tcPr>
          <w:p>
            <w:pPr>
              <w:spacing w:after="0" w:line="245" w:lineRule="auto"/>
            </w:pPr>
            <w:r>
              <w:rPr>
                <w:b w:val="0"/>
                <w:sz w:val="18"/>
              </w:rPr>
              <w:t>{amount} deposits funds in this session's account and returns UserDto.</w:t>
            </w:r>
          </w:p>
        </w:tc>
      </w:tr>
      <w:tr>
        <w:trPr>
          <w:cantSplit/>
        </w:trPr>
        <w:tc>
          <w:tcPr>
            <w:tcW w:type="dxa" w:w="2376"/>
            <w:vAlign w:val="center"/>
            <w:tcMar>
              <w:top w:w="90" w:type="dxa"/>
              <w:left w:w="90" w:type="dxa"/>
              <w:bottom w:w="90" w:type="dxa"/>
              <w:right w:w="90" w:type="dxa"/>
            </w:tcMar>
          </w:tcPr>
          <w:p>
            <w:pPr>
              <w:spacing w:after="0" w:line="245" w:lineRule="auto"/>
            </w:pPr>
            <w:r>
              <w:rPr>
                <w:b w:val="0"/>
                <w:sz w:val="18"/>
              </w:rPr>
              <w:t>POST /upload</w:t>
            </w:r>
          </w:p>
        </w:tc>
        <w:tc>
          <w:tcPr>
            <w:tcW w:type="dxa" w:w="7459"/>
            <w:vAlign w:val="center"/>
            <w:tcMar>
              <w:top w:w="90" w:type="dxa"/>
              <w:left w:w="90" w:type="dxa"/>
              <w:bottom w:w="90" w:type="dxa"/>
              <w:right w:w="90" w:type="dxa"/>
            </w:tcMar>
          </w:tcPr>
          <w:p>
            <w:pPr>
              <w:spacing w:after="0" w:line="245" w:lineRule="auto"/>
            </w:pPr>
            <w:r>
              <w:rPr>
                <w:b w:val="0"/>
                <w:sz w:val="18"/>
              </w:rPr>
              <w:t>One multipart field named file, containing one XML file. Returns LoadResultDto.</w:t>
            </w:r>
          </w:p>
        </w:tc>
      </w:tr>
      <w:tr>
        <w:tc>
          <w:tcPr>
            <w:tcW w:type="dxa" w:w="2376"/>
          </w:tcPr>
          <w:p>
            <w:r>
              <w:t>GET /state</w:t>
            </w:r>
          </w:p>
        </w:tc>
        <w:tc>
          <w:tcPr>
            <w:tcW w:type="dxa" w:w="7459"/>
          </w:tcPr>
          <w:p>
            <w:r>
              <w:t>Downloads the complete versioned Exercise 3 state as guess-market.gmstate.</w:t>
            </w:r>
          </w:p>
        </w:tc>
      </w:tr>
      <w:tr>
        <w:tc>
          <w:tcPr>
            <w:tcW w:type="dxa" w:w="2376"/>
          </w:tcPr>
          <w:p>
            <w:r>
              <w:t>POST /state</w:t>
            </w:r>
          </w:p>
        </w:tc>
        <w:tc>
          <w:tcPr>
            <w:tcW w:type="dxa" w:w="7459"/>
          </w:tcPr>
          <w:p>
            <w:r>
              <w:t>One multipart field named file containing one Exercise 3 .gmstate file. Returns StateTransferResultDto.</w:t>
            </w:r>
          </w:p>
        </w:tc>
      </w:tr>
      <w:tr>
        <w:trPr>
          <w:cantSplit/>
        </w:trPr>
        <w:tc>
          <w:tcPr>
            <w:tcW w:type="dxa" w:w="2376"/>
            <w:vAlign w:val="center"/>
            <w:tcMar>
              <w:top w:w="90" w:type="dxa"/>
              <w:left w:w="90" w:type="dxa"/>
              <w:bottom w:w="90" w:type="dxa"/>
              <w:right w:w="90" w:type="dxa"/>
            </w:tcMar>
          </w:tcPr>
          <w:p>
            <w:pPr>
              <w:spacing w:after="0" w:line="245" w:lineRule="auto"/>
            </w:pPr>
            <w:r>
              <w:rPr>
                <w:b w:val="0"/>
                <w:sz w:val="18"/>
              </w:rPr>
              <w:t>GET /quote</w:t>
            </w:r>
          </w:p>
        </w:tc>
        <w:tc>
          <w:tcPr>
            <w:tcW w:type="dxa" w:w="7459"/>
            <w:vAlign w:val="center"/>
            <w:tcMar>
              <w:top w:w="90" w:type="dxa"/>
              <w:left w:w="90" w:type="dxa"/>
              <w:bottom w:w="90" w:type="dxa"/>
              <w:right w:w="90" w:type="dxa"/>
            </w:tcMar>
          </w:tcPr>
          <w:p>
            <w:pPr>
              <w:spacing w:after="0" w:line="245" w:lineRule="auto"/>
            </w:pPr>
            <w:r>
              <w:rPr>
                <w:b w:val="0"/>
                <w:sz w:val="18"/>
              </w:rPr>
              <w:t>Query parameters eventId, optionIndex and shares. Returns QuoteDto.</w:t>
            </w:r>
          </w:p>
        </w:tc>
      </w:tr>
      <w:tr>
        <w:trPr>
          <w:cantSplit/>
        </w:trPr>
        <w:tc>
          <w:tcPr>
            <w:tcW w:type="dxa" w:w="2376"/>
            <w:vAlign w:val="center"/>
            <w:tcMar>
              <w:top w:w="90" w:type="dxa"/>
              <w:left w:w="90" w:type="dxa"/>
              <w:bottom w:w="90" w:type="dxa"/>
              <w:right w:w="90" w:type="dxa"/>
            </w:tcMar>
          </w:tcPr>
          <w:p>
            <w:pPr>
              <w:spacing w:after="0" w:line="245" w:lineRule="auto"/>
            </w:pPr>
            <w:r>
              <w:rPr>
                <w:b w:val="0"/>
                <w:sz w:val="18"/>
              </w:rPr>
              <w:t>POST /events/open</w:t>
            </w:r>
          </w:p>
        </w:tc>
        <w:tc>
          <w:tcPr>
            <w:tcW w:type="dxa" w:w="7459"/>
            <w:vAlign w:val="center"/>
            <w:tcMar>
              <w:top w:w="90" w:type="dxa"/>
              <w:left w:w="90" w:type="dxa"/>
              <w:bottom w:w="90" w:type="dxa"/>
              <w:right w:w="90" w:type="dxa"/>
            </w:tcMar>
          </w:tcPr>
          <w:p>
            <w:pPr>
              <w:spacing w:after="0" w:line="245" w:lineRule="auto"/>
            </w:pPr>
            <w:r>
              <w:rPr>
                <w:b w:val="0"/>
                <w:sz w:val="18"/>
              </w:rPr>
              <w:t>{eventId}; returns OpenEventResultDto.</w:t>
            </w:r>
          </w:p>
        </w:tc>
      </w:tr>
      <w:tr>
        <w:trPr>
          <w:cantSplit/>
        </w:trPr>
        <w:tc>
          <w:tcPr>
            <w:tcW w:type="dxa" w:w="2376"/>
            <w:vAlign w:val="center"/>
            <w:tcMar>
              <w:top w:w="90" w:type="dxa"/>
              <w:left w:w="90" w:type="dxa"/>
              <w:bottom w:w="90" w:type="dxa"/>
              <w:right w:w="90" w:type="dxa"/>
            </w:tcMar>
          </w:tcPr>
          <w:p>
            <w:pPr>
              <w:spacing w:after="0" w:line="245" w:lineRule="auto"/>
            </w:pPr>
            <w:r>
              <w:rPr>
                <w:b w:val="0"/>
                <w:sz w:val="18"/>
              </w:rPr>
              <w:t>POST /events/close</w:t>
            </w:r>
          </w:p>
        </w:tc>
        <w:tc>
          <w:tcPr>
            <w:tcW w:type="dxa" w:w="7459"/>
            <w:vAlign w:val="center"/>
            <w:tcMar>
              <w:top w:w="90" w:type="dxa"/>
              <w:left w:w="90" w:type="dxa"/>
              <w:bottom w:w="90" w:type="dxa"/>
              <w:right w:w="90" w:type="dxa"/>
            </w:tcMar>
          </w:tcPr>
          <w:p>
            <w:pPr>
              <w:spacing w:after="0" w:line="245" w:lineRule="auto"/>
            </w:pPr>
            <w:r>
              <w:rPr>
                <w:b w:val="0"/>
                <w:sz w:val="18"/>
              </w:rPr>
              <w:t>{eventId, winningOptionIndex}; returns CloseEventResultDto.</w:t>
            </w:r>
          </w:p>
        </w:tc>
      </w:tr>
      <w:tr>
        <w:trPr>
          <w:cantSplit/>
        </w:trPr>
        <w:tc>
          <w:tcPr>
            <w:tcW w:type="dxa" w:w="2376"/>
            <w:vAlign w:val="center"/>
            <w:tcMar>
              <w:top w:w="90" w:type="dxa"/>
              <w:left w:w="90" w:type="dxa"/>
              <w:bottom w:w="90" w:type="dxa"/>
              <w:right w:w="90" w:type="dxa"/>
            </w:tcMar>
          </w:tcPr>
          <w:p>
            <w:pPr>
              <w:spacing w:after="0" w:line="245" w:lineRule="auto"/>
            </w:pPr>
            <w:r>
              <w:rPr>
                <w:b w:val="0"/>
                <w:sz w:val="18"/>
              </w:rPr>
              <w:t>POST /events/buy</w:t>
            </w:r>
          </w:p>
        </w:tc>
        <w:tc>
          <w:tcPr>
            <w:tcW w:type="dxa" w:w="7459"/>
            <w:vAlign w:val="center"/>
            <w:tcMar>
              <w:top w:w="90" w:type="dxa"/>
              <w:left w:w="90" w:type="dxa"/>
              <w:bottom w:w="90" w:type="dxa"/>
              <w:right w:w="90" w:type="dxa"/>
            </w:tcMar>
          </w:tcPr>
          <w:p>
            <w:pPr>
              <w:spacing w:after="0" w:line="245" w:lineRule="auto"/>
            </w:pPr>
            <w:r>
              <w:rPr>
                <w:b w:val="0"/>
                <w:sz w:val="18"/>
              </w:rPr>
              <w:t>{eventId, optionIndex, shares}; returns PurchaseResultDto.</w:t>
            </w:r>
          </w:p>
        </w:tc>
      </w:tr>
      <w:tr>
        <w:trPr>
          <w:cantSplit/>
        </w:trPr>
        <w:tc>
          <w:tcPr>
            <w:tcW w:type="dxa" w:w="2376"/>
            <w:vAlign w:val="center"/>
            <w:tcMar>
              <w:top w:w="90" w:type="dxa"/>
              <w:left w:w="90" w:type="dxa"/>
              <w:bottom w:w="90" w:type="dxa"/>
              <w:right w:w="90" w:type="dxa"/>
            </w:tcMar>
          </w:tcPr>
          <w:p>
            <w:pPr>
              <w:spacing w:after="0" w:line="245" w:lineRule="auto"/>
            </w:pPr>
            <w:r>
              <w:rPr>
                <w:b w:val="0"/>
                <w:sz w:val="18"/>
              </w:rPr>
              <w:t>POST /events/order</w:t>
            </w:r>
          </w:p>
        </w:tc>
        <w:tc>
          <w:tcPr>
            <w:tcW w:type="dxa" w:w="7459"/>
            <w:vAlign w:val="center"/>
            <w:tcMar>
              <w:top w:w="90" w:type="dxa"/>
              <w:left w:w="90" w:type="dxa"/>
              <w:bottom w:w="90" w:type="dxa"/>
              <w:right w:w="90" w:type="dxa"/>
            </w:tcMar>
          </w:tcPr>
          <w:p>
            <w:pPr>
              <w:spacing w:after="0" w:line="245" w:lineRule="auto"/>
            </w:pPr>
            <w:r>
              <w:rPr>
                <w:b w:val="0"/>
                <w:sz w:val="18"/>
              </w:rPr>
              <w:t>{eventId, optionIndex, side, quantity, pricePerShare}; returns SubmitOrderResultDto. side is BUY or SELL.</w:t>
            </w:r>
          </w:p>
        </w:tc>
      </w:tr>
      <w:tr>
        <w:trPr>
          <w:cantSplit/>
        </w:trPr>
        <w:tc>
          <w:tcPr>
            <w:tcW w:type="dxa" w:w="2376"/>
            <w:vAlign w:val="center"/>
            <w:tcMar>
              <w:top w:w="90" w:type="dxa"/>
              <w:left w:w="90" w:type="dxa"/>
              <w:bottom w:w="90" w:type="dxa"/>
              <w:right w:w="90" w:type="dxa"/>
            </w:tcMar>
          </w:tcPr>
          <w:p>
            <w:pPr>
              <w:spacing w:after="0" w:line="245" w:lineRule="auto"/>
            </w:pPr>
            <w:r>
              <w:rPr>
                <w:b w:val="0"/>
                <w:sz w:val="18"/>
              </w:rPr>
              <w:t>POST /events/create</w:t>
            </w:r>
          </w:p>
        </w:tc>
        <w:tc>
          <w:tcPr>
            <w:tcW w:type="dxa" w:w="7459"/>
            <w:vAlign w:val="center"/>
            <w:tcMar>
              <w:top w:w="90" w:type="dxa"/>
              <w:left w:w="90" w:type="dxa"/>
              <w:bottom w:w="90" w:type="dxa"/>
              <w:right w:w="90" w:type="dxa"/>
            </w:tcMar>
          </w:tcPr>
          <w:p>
            <w:pPr>
              <w:spacing w:after="0" w:line="245" w:lineRule="auto"/>
            </w:pPr>
            <w:r>
              <w:rPr>
                <w:b w:val="0"/>
                <w:sz w:val="18"/>
              </w:rPr>
              <w:t>CreateEventRequestDto fields except userName; the session is the creator. Returns EventDto. Available through HTTP; the client adds events through XML uploads.</w:t>
            </w:r>
          </w:p>
        </w:tc>
      </w:tr>
      <w:tr>
        <w:trPr>
          <w:cantSplit/>
        </w:trPr>
        <w:tc>
          <w:tcPr>
            <w:tcW w:type="dxa" w:w="2376"/>
            <w:vAlign w:val="center"/>
            <w:tcMar>
              <w:top w:w="90" w:type="dxa"/>
              <w:left w:w="90" w:type="dxa"/>
              <w:bottom w:w="90" w:type="dxa"/>
              <w:right w:w="90" w:type="dxa"/>
            </w:tcMar>
          </w:tcPr>
          <w:p>
            <w:pPr>
              <w:spacing w:after="0" w:line="245" w:lineRule="auto"/>
            </w:pPr>
            <w:r>
              <w:rPr>
                <w:b w:val="0"/>
                <w:sz w:val="18"/>
              </w:rPr>
              <w:t>POST /chat</w:t>
            </w:r>
          </w:p>
        </w:tc>
        <w:tc>
          <w:tcPr>
            <w:tcW w:type="dxa" w:w="7459"/>
            <w:vAlign w:val="center"/>
            <w:tcMar>
              <w:top w:w="90" w:type="dxa"/>
              <w:left w:w="90" w:type="dxa"/>
              <w:bottom w:w="90" w:type="dxa"/>
              <w:right w:w="90" w:type="dxa"/>
            </w:tcMar>
          </w:tcPr>
          <w:p>
            <w:pPr>
              <w:spacing w:after="0" w:line="245" w:lineRule="auto"/>
            </w:pPr>
            <w:r>
              <w:rPr>
                <w:b w:val="0"/>
                <w:sz w:val="18"/>
              </w:rPr>
              <w:t>{message}; returns the accepted ChatMessageDto.</w:t>
            </w:r>
          </w:p>
        </w:tc>
      </w:tr>
    </w:tbl>
    <w:p>
      <w:pPr>
        <w:spacing w:after="0"/>
      </w:pPr>
    </w:p>
    <w:p>
      <w:pPr>
        <w:pStyle w:val="Heading2"/>
      </w:pPr>
      <w:r>
        <w:t>Authorization and failures</w:t>
      </w:r>
    </w:p>
    <w:p>
      <w:r>
        <w:t>Every API route except login and health requires a valid session. A client cannot choose another buyer, seller or market maker: action identity is taken only from that session. The server checks market-maker permissions and all engine rules even if the client has already enabled or disabled the corresponding button.</w:t>
      </w:r>
    </w:p>
    <w:p>
      <w:r>
        <w:t>Errors use the JSON shape {"message":"..."}. Expected failures include invalid input (400), expired sessions (401), forbidden actions (403), missing events or endpoints (404), wrong methods (405), conflicting state (409), oversized uploads (413) and unsupported content types (415). XML failures include their individual validation reasons.</w:t>
      </w:r>
    </w:p>
    <w:p>
      <w:pPr>
        <w:pStyle w:val="Heading2"/>
      </w:pPr>
      <w:r>
        <w:t>A coherent shared market</w:t>
      </w:r>
    </w:p>
    <w:p>
      <w:r>
        <w:t>All engine calls are synchronized. The service also holds that same monitor while collecting an entire snapshot, so another request cannot expose a half-completed trade, commission payment or settlement. Upload validation, event insertion and complete state replacement are atomic. A slow request delays the next poll instead of creating overlapping pulls.</w:t>
      </w:r>
    </w:p>
    <w:p>
      <w:pPr>
        <w:pStyle w:val="Heading1"/>
      </w:pPr>
      <w:r>
        <w:t>Build verification and operating choices</w:t>
      </w:r>
    </w:p>
    <w:p>
      <w:pPr>
        <w:pStyle w:val="Heading2"/>
      </w:pPr>
      <w:r>
        <w:t>Build from the repository</w:t>
      </w:r>
    </w:p>
    <w:p>
      <w:r>
        <w:t>The build scripts use javac and jar directly. JavaFX runtimes are included for Windows, Linux and Apple Silicon macOS. The full build compiles the legacy UI for reuse, the online server and the standalone client. Run the command for your operating system from the repository root:</w:t>
      </w:r>
    </w:p>
    <w:p>
      <w:pPr>
        <w:spacing w:after="160"/>
      </w:pPr>
      <w:r>
        <w:rPr>
          <w:rFonts w:ascii="Courier New" w:hAnsi="Courier New"/>
          <w:sz w:val="18"/>
        </w:rPr>
        <w:t>./build.sh                 # macOS or Linux</w:t>
      </w:r>
      <w:r>
        <w:br/>
      </w:r>
      <w:r>
        <w:rPr>
          <w:rFonts w:ascii="Courier New" w:hAnsi="Courier New"/>
          <w:sz w:val="18"/>
        </w:rPr>
        <w:t>build.bat                  # Windows</w:t>
      </w:r>
    </w:p>
    <w:p>
      <w:r>
        <w:t>Build outputs are out/artifacts/guess-market.war and out/artifacts/client/. The developer run.sh or run.bat starts that client. To assemble the required Windows submission:</w:t>
      </w:r>
    </w:p>
    <w:p>
      <w:pPr>
        <w:spacing w:after="160"/>
      </w:pPr>
      <w:r>
        <w:rPr>
          <w:rFonts w:ascii="Courier New" w:hAnsi="Courier New"/>
          <w:sz w:val="18"/>
        </w:rPr>
        <w:t>./package.sh</w:t>
      </w:r>
    </w:p>
    <w:p>
      <w:r>
        <w:t>The result is out/GuessMarket-Ex3.zip. It contains exactly one WAR, readme.docx and a client directory with its application JARs, Gson, Windows JavaFX and run.bat. The Servlet API is provided by Tomcat; the WAR includes the application libraries it needs. No external Gson or JAXB installation is required.</w:t>
      </w:r>
    </w:p>
    <w:p>
      <w:pPr>
        <w:pStyle w:val="Heading2"/>
      </w:pPr>
      <w:r>
        <w:t>Validation workflow</w:t>
      </w:r>
    </w:p>
    <w:p>
      <w:r>
        <w:t>Run ./test.sh for the project checks. Set CATALINA_HOME to the installed Tomcat directory to include the isolated HTTP checks; those checks also require Python 3. Engine checks are in tests/engine/OnlineMarketEngineTest.java, HTTP scenarios in tests/http_integration.py and client transport checks in tests/client/ApiClientIntegrationTest.java. For a manual review, use two client windows with different unused names.</w:t>
      </w:r>
    </w:p>
    <w:p>
      <w:pPr>
        <w:pStyle w:val="ListBullet"/>
        <w:spacing w:after="100"/>
      </w:pPr>
      <w:r>
        <w:t>Load funds in both accounts, upload small.xml, open a market as its owner and trade from the second client. Observe balances, ledger rows and event history update in both windows.</w:t>
      </w:r>
    </w:p>
    <w:p>
      <w:pPr>
        <w:pStyle w:val="ListBullet"/>
        <w:spacing w:after="100"/>
      </w:pPr>
      <w:r>
        <w:t>Upload a second valid file to check accumulation. Try a duplicate name and an invalid file; check the error reasons and confirm that the previous market is unchanged.</w:t>
      </w:r>
    </w:p>
    <w:p>
      <w:pPr>
        <w:pStyle w:val="ListBullet"/>
      </w:pPr>
      <w:r>
        <w:t>Save the state after trading, make another deposit or event, then restore the saved file. Confirm that generated event IDs, every user's balance, ledger, holdings, orders and trade history return to their saved values in both clients.</w:t>
      </w:r>
    </w:p>
    <w:p>
      <w:pPr>
        <w:pStyle w:val="ListBullet"/>
        <w:spacing w:after="100"/>
      </w:pPr>
      <w:r>
        <w:t>Check that only the owner can open or close an event, that a session cannot trade as someone else, and that every commission and payout reaches the appropriate account.</w:t>
      </w:r>
    </w:p>
    <w:p>
      <w:pPr>
        <w:pStyle w:val="ListBullet"/>
        <w:spacing w:after="100"/>
      </w:pPr>
      <w:r>
        <w:t>Send chat messages in both directions and resize the Events and My account screens. Sign out and confirm the ended session can no longer call the API.</w:t>
      </w:r>
    </w:p>
    <w:p>
      <w:pPr>
        <w:pStyle w:val="Heading2"/>
      </w:pPr>
      <w:r>
        <w:t>State and session choices</w:t>
      </w:r>
    </w:p>
    <w:p>
      <w:r>
        <w:t>New accounts start at zero. Load funds before paying an opening subsidy or trading. A positive finite deposit is required. The inherited Exercise 2 blocking rule remains permanent: an account that was blocked stays blocked even if a later deposit or payout makes its balance positive.</w:t>
      </w:r>
    </w:p>
    <w:p>
      <w:r>
        <w:t>Usernames are case-insensitive and remain reserved after they are claimed, including after logout, client closure or session expiry. A user restored after a restart can be claimed once by a client; this lets independent clients continue restored accounts without adding users to the Exercise 3 XML schema. Sessions expire after 30 minutes without requests; active polling keeps them alive.</w:t>
      </w:r>
    </w:p>
    <w:p>
      <w:r>
        <w:t>The live server keeps events, accounts, history, chat and sessions in memory, and Tomcat session persistence is disabled. A client can explicitly download the market model to an Exercise 3 .gmstate file and restore it after a restart. Chat and sessions remain transient and are not serialized. XML and state upload bytes stay in memory; no uploaded content is written to a server file.</w:t>
      </w:r>
    </w:p>
    <w:p>
      <w:r>
        <w:t>After a connection interruption, polling retries automatically. Mutating actions are not automatically repeated: inspect the refreshed market and account before retrying a deposit, order or purchase whose response was lost. If login cannot reach the server, verify Tomcat, the deployed WAR filename, the Java version and the Server field.</w:t>
      </w:r>
    </w:p>
    <w:p>
      <w:r>
        <w:t xml:space="preserve">Source code: </w:t>
      </w:r>
      <w:hyperlink r:id="rId10">
        <w:r>
          <w:rPr>
            <w:color w:val="17446B"/>
          </w:rPr>
          <w:t>https://github.com/Niv20/guess-market</w:t>
        </w:r>
      </w:hyperlink>
    </w:p>
    <w:sectPr w:rsidR="00FC693F" w:rsidRPr="0006063C" w:rsidSect="00034616">
      <w:footerReference w:type="default" r:id="rId9"/>
      <w:pgSz w:w="11909" w:h="16834"/>
      <w:pgMar w:top="979" w:right="1037" w:bottom="950" w:left="1037"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Guess Market Exercise 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20" w:line="26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6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Niv20/guess-mark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Guess Market Exercise 3 Submission Guide</dc:title>
  <dc:subject>Tomcat server and JavaFX client setup and implementation reference</dc:subject>
  <dc:creator>Niv Libovitch</dc:creator>
  <cp:keywords>Guess Market, Exercise 3, Java, Tomcat, JavaFX, chat bonus</cp:keywords>
  <dc:description>generated by python-docx</dc:description>
  <cp:lastModifiedBy/>
  <cp:revision>1</cp:revision>
  <dcterms:created xsi:type="dcterms:W3CDTF">2013-12-23T23:15:00Z</dcterms:created>
  <dcterms:modified xsi:type="dcterms:W3CDTF">2013-12-23T23:15:00Z</dcterms:modified>
  <cp:category/>
</cp:coreProperties>
</file>