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D4E97BEF">
      <w:pPr>
        <w:pStyle w:val="style0"/>
        <w:spacing w:after="100"/>
        <w:jc w:val="center"/>
        <w:rPr/>
      </w:pPr>
      <w:r>
        <w:rPr>
          <w:b/>
          <w:bCs/>
          <w:sz w:val="32"/>
          <w:szCs w:val="32"/>
        </w:rPr>
        <w:t>Industry Problem Solving — Short Answer Test</w:t>
      </w:r>
    </w:p>
    <w:p w14:paraId="902D157E">
      <w:pPr>
        <w:pStyle w:val="style0"/>
        <w:spacing w:after="300"/>
        <w:jc w:val="center"/>
        <w:rPr/>
      </w:pPr>
      <w:r>
        <w:rPr>
          <w:i/>
          <w:iCs/>
          <w:sz w:val="20"/>
          <w:szCs w:val="20"/>
        </w:rPr>
        <w:t>CO4: K-Nearest Neighbour Learning, Locally Weighted Regression, Radial Basis Functions, Case-Based Learning</w:t>
      </w:r>
    </w:p>
    <w:p w14:paraId="50B48535">
      <w:pPr>
        <w:pStyle w:val="style4098"/>
        <w:spacing w:before="300" w:after="150"/>
        <w:rPr>
          <w:color w:val="000000"/>
        </w:rPr>
      </w:pPr>
      <w:r>
        <w:rPr>
          <w:color w:val="000000"/>
        </w:rPr>
        <w:t>Q1. Loan Defaulter Detection — Banking System</w:t>
      </w:r>
    </w:p>
    <w:p w14:paraId="2B6EBCBB">
      <w:pPr>
        <w:pStyle w:val="style0"/>
        <w:spacing w:before="150" w:after="80"/>
        <w:rPr>
          <w:color w:val="000000"/>
        </w:rPr>
      </w:pPr>
      <w:r>
        <w:rPr>
          <w:b/>
          <w:bCs/>
          <w:color w:val="000000"/>
        </w:rPr>
        <w:t>Chosen Approach</w:t>
      </w:r>
    </w:p>
    <w:p w14:paraId="7CA23381">
      <w:pPr>
        <w:pStyle w:val="style0"/>
        <w:spacing w:after="120"/>
        <w:rPr>
          <w:color w:val="000000"/>
        </w:rPr>
      </w:pPr>
      <w:r>
        <w:rPr>
          <w:color w:val="000000"/>
        </w:rPr>
        <w:t>K-Nearest Neighbour (KNN) is proposed for this system, since loan default risk tends to depend on how similar a customer's financial profile is to past customers who did or did not default, and KNN naturally exploits this similarity-based reasoning without assuming a rigid mathematical relationship between features and outcome.</w:t>
      </w:r>
    </w:p>
    <w:p w14:paraId="09747ED1">
      <w:pPr>
        <w:pStyle w:val="style0"/>
        <w:spacing w:before="150" w:after="80"/>
        <w:rPr>
          <w:color w:val="000000"/>
        </w:rPr>
      </w:pPr>
      <w:r>
        <w:rPr>
          <w:b/>
          <w:bCs/>
          <w:color w:val="000000"/>
        </w:rPr>
        <w:t>How Similarity Is Used</w:t>
      </w:r>
    </w:p>
    <w:p w14:paraId="2A5B644B">
      <w:pPr>
        <w:pStyle w:val="style0"/>
        <w:spacing w:after="120"/>
        <w:rPr>
          <w:color w:val="000000"/>
        </w:rPr>
      </w:pPr>
      <w:r>
        <w:rPr>
          <w:color w:val="000000"/>
        </w:rPr>
        <w:t>Each customer is represented as a feature vector (e.g., income, credit score, existing debt, repayment history, transaction frequency, savings ratio). To classify a new applicant, the system computes a distance metric — typically Euclidean or Manhattan distance after feature normalization — between the new applicant's vector and every historical customer's vector. The K nearest historical customers (e.g., K = 7) are retrieved, and the applicant is classified as a likely defaulter or non-defaulter by majority vote among those neighbours, optionally weighted so that closer neighbours count more.</w:t>
      </w:r>
    </w:p>
    <w:p w14:paraId="EEFD8B0D">
      <w:pPr>
        <w:pStyle w:val="style0"/>
        <w:spacing w:before="150" w:after="80"/>
        <w:rPr>
          <w:color w:val="000000"/>
        </w:rPr>
      </w:pPr>
      <w:r>
        <w:rPr>
          <w:b/>
          <w:bCs/>
          <w:color w:val="000000"/>
        </w:rPr>
        <w:t>Feature Selection</w:t>
      </w:r>
    </w:p>
    <w:p w14:paraId="E34D496D">
      <w:pPr>
        <w:pStyle w:val="style0"/>
        <w:spacing w:after="120"/>
        <w:rPr>
          <w:color w:val="000000"/>
        </w:rPr>
      </w:pPr>
      <w:r>
        <w:rPr>
          <w:color w:val="000000"/>
        </w:rPr>
        <w:t>Features are selected based on domain relevance and statistical association with default outcomes — for example, debt-to-income ratio, credit utilization, number of missed payments in the last 12 months, employment stability, and transaction volatility. Feature selection techniques such as correlation analysis, mutual information, or wrapper methods (e.g., recursive feature elimination) are used to drop redundant or noisy features, since KNN's distance calculation is sensitive to irrelevant or unscaled dimensions (the 'curse of dimensionality'). All numeric features are normalized (e.g., min-max or z-score scaling) so that no single feature dominates the distance calculation purely due to its scale.</w:t>
      </w:r>
    </w:p>
    <w:p w14:paraId="A073F805">
      <w:pPr>
        <w:pStyle w:val="style0"/>
        <w:spacing w:before="150" w:after="80"/>
        <w:rPr>
          <w:color w:val="000000"/>
        </w:rPr>
      </w:pPr>
      <w:r>
        <w:rPr>
          <w:b/>
          <w:bCs/>
          <w:color w:val="000000"/>
        </w:rPr>
        <w:t>Adapting to New Customer Data</w:t>
      </w:r>
    </w:p>
    <w:p w14:paraId="780E8B00">
      <w:pPr>
        <w:pStyle w:val="style0"/>
        <w:spacing w:after="120"/>
        <w:rPr>
          <w:color w:val="000000"/>
        </w:rPr>
      </w:pPr>
      <w:r>
        <w:rPr>
          <w:color w:val="000000"/>
        </w:rPr>
        <w:t>As new loan applications and their eventual repayment outcomes are recorded, they are added to the training set (the reference database KNN searches), so the model's 'knowledge' grows automatically without retraining a parametric model — this is a key advantage of KNN's instance-based, lazy-learning nature. To keep the system efficient and current, older or less-informative records can be pruned periodically, and the value of K and the feature weighting scheme can be re-tuned on a rolling basis (e.g., quarterly) using cross-validation to account for changing economic conditions and customer behavior.</w:t>
      </w:r>
    </w:p>
    <w:p w14:paraId="72D11B0E">
      <w:pPr>
        <w:pStyle w:val="style0"/>
        <w:spacing w:before="150" w:after="80"/>
        <w:rPr>
          <w:color w:val="000000"/>
        </w:rPr>
      </w:pPr>
      <w:r>
        <w:rPr>
          <w:b/>
          <w:bCs/>
          <w:color w:val="000000"/>
        </w:rPr>
        <w:t>Decision Boundary Note (Alternative: Logistic Regression)</w:t>
      </w:r>
    </w:p>
    <w:p w14:paraId="A65D3866">
      <w:pPr>
        <w:pStyle w:val="style0"/>
        <w:spacing w:after="120"/>
        <w:rPr>
          <w:color w:val="000000"/>
        </w:rPr>
      </w:pPr>
      <w:r>
        <w:rPr>
          <w:color w:val="000000"/>
        </w:rPr>
        <w:t>If Logistic Regression were used instead, it would learn a linear decision boundary in feature space by estimating coefficients that map a weighted combination of features through a sigmoid function to a default probability. This offers faster prediction and clear interpretability (each coefficient shows how a feature affects default odds) but assumes the relationship between features and default risk is approximately linear/log-linear, whereas KNN can adapt to more irregular, non-linear risk patterns at the cost of higher prediction-time computation.</w:t>
      </w:r>
    </w:p>
    <w:p w14:paraId="2FADF66A">
      <w:pPr>
        <w:pStyle w:val="style4098"/>
        <w:spacing w:before="300" w:after="150"/>
        <w:rPr>
          <w:color w:val="000000"/>
        </w:rPr>
      </w:pPr>
      <w:r>
        <w:rPr>
          <w:color w:val="000000"/>
        </w:rPr>
        <w:t>Q2. Network Intrusion Detection — Cybersecurity Firm</w:t>
      </w:r>
    </w:p>
    <w:p w14:paraId="C78EB295">
      <w:pPr>
        <w:pStyle w:val="style0"/>
        <w:spacing w:before="150" w:after="80"/>
        <w:rPr>
          <w:color w:val="000000"/>
        </w:rPr>
      </w:pPr>
      <w:r>
        <w:rPr>
          <w:b/>
          <w:bCs/>
          <w:color w:val="000000"/>
        </w:rPr>
        <w:t>Chosen Approach</w:t>
      </w:r>
    </w:p>
    <w:p w14:paraId="5C50870D">
      <w:pPr>
        <w:pStyle w:val="style0"/>
        <w:spacing w:after="120"/>
        <w:rPr>
          <w:color w:val="000000"/>
        </w:rPr>
      </w:pPr>
      <w:r>
        <w:rPr>
          <w:color w:val="000000"/>
        </w:rPr>
        <w:t>Case-Based Learning (with KNN as its similarity engine) is proposed, since intrusion detection benefits from comparing a new network session against a library of previously observed cases (both normal and attack traffic) rather than fitting one global equation — attack patterns are diverse and constantly evolving, which suits a memory-based, case-retrieval approach.</w:t>
      </w:r>
    </w:p>
    <w:p w14:paraId="CCF90B2D">
      <w:pPr>
        <w:pStyle w:val="style0"/>
        <w:spacing w:before="150" w:after="80"/>
        <w:rPr>
          <w:color w:val="000000"/>
        </w:rPr>
      </w:pPr>
      <w:r>
        <w:rPr>
          <w:b/>
          <w:bCs/>
          <w:color w:val="000000"/>
        </w:rPr>
        <w:t>Measuring Similarity Between Network Patterns</w:t>
      </w:r>
    </w:p>
    <w:p w14:paraId="9F0E7EAD">
      <w:pPr>
        <w:pStyle w:val="style0"/>
        <w:spacing w:after="120"/>
        <w:rPr>
          <w:color w:val="000000"/>
        </w:rPr>
      </w:pPr>
      <w:r>
        <w:rPr>
          <w:color w:val="000000"/>
        </w:rPr>
        <w:t>Each network session or traffic window is converted into a feature vector capturing attributes such as packet size distribution, connection duration, protocol type, number of failed login attempts, source/destination port entropy, and byte transfer rate. Similarity between the current traffic case and stored cases is measured using a distance metric appropriate to mixed data types — Euclidean distance for continuous features (e.g., byte rate) combined with a categorical/Hamming-style distance for discrete features (e.g., protocol type), often combined into a weighted composite similarity score.</w:t>
      </w:r>
    </w:p>
    <w:p w14:paraId="EF07C558">
      <w:pPr>
        <w:pStyle w:val="style0"/>
        <w:spacing w:before="150" w:after="80"/>
        <w:rPr>
          <w:color w:val="000000"/>
        </w:rPr>
      </w:pPr>
      <w:r>
        <w:rPr>
          <w:b/>
          <w:bCs/>
          <w:color w:val="000000"/>
        </w:rPr>
        <w:t>Anomaly Detection</w:t>
      </w:r>
    </w:p>
    <w:p w14:paraId="41694374">
      <w:pPr>
        <w:pStyle w:val="style0"/>
        <w:spacing w:after="120"/>
        <w:rPr>
          <w:color w:val="000000"/>
        </w:rPr>
      </w:pPr>
      <w:r>
        <w:rPr>
          <w:color w:val="000000"/>
        </w:rPr>
        <w:t>A new traffic case is compared against the case base; if its nearest matching cases are predominantly 'normal' traffic cases and its similarity score to them is high, it is classified as normal. If the case is far (dissimilar) from all known-normal cases, or its nearest neighbours are attack cases, it is flagged as anomalous/intrusive. A similarity threshold is tuned so that traffic falling outside the threshold from all normal cases raises an alert, allowing detection even of somewhat novel attacks that resemble but do not exactly match a previously seen attack signature.</w:t>
      </w:r>
    </w:p>
    <w:p w14:paraId="87AC0F95">
      <w:pPr>
        <w:pStyle w:val="style0"/>
        <w:spacing w:before="150" w:after="80"/>
        <w:rPr>
          <w:color w:val="000000"/>
        </w:rPr>
      </w:pPr>
      <w:r>
        <w:rPr>
          <w:b/>
          <w:bCs/>
          <w:color w:val="000000"/>
        </w:rPr>
        <w:t>Updating with New Attack Patterns</w:t>
      </w:r>
    </w:p>
    <w:p w14:paraId="006AA7E6">
      <w:pPr>
        <w:pStyle w:val="style0"/>
        <w:spacing w:after="120"/>
        <w:rPr>
          <w:color w:val="000000"/>
        </w:rPr>
      </w:pPr>
      <w:r>
        <w:rPr>
          <w:color w:val="000000"/>
        </w:rPr>
        <w:t>When security analysts confirm a new attack instance (true positive) or a false alarm (false positive), that labeled case is added to (or, for false positives, used to adjust) the case base — this is case-based learning's natural incremental-update mechanism, requiring no full retraining. Periodically, the case base is pruned/summarized (e.g., via case-base maintenance techniques such as removing redundant or noisy cases) to keep retrieval fast and to prevent unbounded growth, ensuring the system stays responsive to real-time traffic while continuously learning from newly discovered attack patterns.</w:t>
      </w:r>
    </w:p>
    <w:p w14:paraId="BD2B91FA">
      <w:pPr>
        <w:pStyle w:val="style4098"/>
        <w:spacing w:before="300" w:after="150"/>
        <w:rPr>
          <w:color w:val="000000"/>
        </w:rPr>
      </w:pPr>
      <w:r>
        <w:rPr>
          <w:color w:val="000000"/>
        </w:rPr>
        <w:t>Q3. Electricity Consumption Prediction — Energy Management Company</w:t>
      </w:r>
    </w:p>
    <w:p w14:paraId="5043F03B">
      <w:pPr>
        <w:pStyle w:val="style0"/>
        <w:spacing w:before="150" w:after="80"/>
        <w:rPr>
          <w:color w:val="000000"/>
        </w:rPr>
      </w:pPr>
      <w:r>
        <w:rPr>
          <w:b/>
          <w:bCs/>
          <w:color w:val="000000"/>
        </w:rPr>
        <w:t>Chosen Approach</w:t>
      </w:r>
    </w:p>
    <w:p w14:paraId="657B8666">
      <w:pPr>
        <w:pStyle w:val="style0"/>
        <w:spacing w:after="120"/>
        <w:rPr>
          <w:color w:val="000000"/>
        </w:rPr>
      </w:pPr>
      <w:r>
        <w:rPr>
          <w:color w:val="000000"/>
        </w:rPr>
        <w:t>Locally Weighted Regression (LWR) is proposed, since electricity consumption depends on complex, regime-dependent interactions between time of day, weather, and appliance usage that vary across different operating conditions — a single global regression model would struggle to fit all regimes (e.g., summer afternoons vs. winter nights) equally well, whereas LWR fits a separate, simple regression model around each query point using only nearby, similar data.</w:t>
      </w:r>
    </w:p>
    <w:p w14:paraId="8F2161BD">
      <w:pPr>
        <w:pStyle w:val="style0"/>
        <w:spacing w:before="150" w:after="80"/>
        <w:rPr>
          <w:color w:val="000000"/>
        </w:rPr>
      </w:pPr>
      <w:r>
        <w:rPr>
          <w:b/>
          <w:bCs/>
          <w:color w:val="000000"/>
        </w:rPr>
        <w:t>How Local Learning Captures Variation</w:t>
      </w:r>
    </w:p>
    <w:p w14:paraId="8A20A64A">
      <w:pPr>
        <w:pStyle w:val="style0"/>
        <w:spacing w:after="120"/>
        <w:rPr>
          <w:color w:val="000000"/>
        </w:rPr>
      </w:pPr>
      <w:r>
        <w:rPr>
          <w:color w:val="000000"/>
        </w:rPr>
        <w:t>For a query point (e.g., predicting consumption at 3 PM on a hot, humid weekday), LWR assigns weights to all historical training points based on their distance (in feature space — time, temperature, humidity, day-type, appliance load) from the query point, typically using a Gaussian kernel so nearby points get high weight and distant points get near-zero weight. A weighted linear regression is then fit using only those locally-relevant points, allowing the model to capture the local slope of consumption versus temperature that applies specifically to hot summer afternoons, which may be very different from the slope that applies on mild spring evenings — effectively producing a piecewise, locally-adapted approximation of the true (non-linear) consumption surface.</w:t>
      </w:r>
    </w:p>
    <w:p w14:paraId="F670EE0F">
      <w:pPr>
        <w:pStyle w:val="style0"/>
        <w:spacing w:before="150" w:after="80"/>
        <w:rPr>
          <w:color w:val="000000"/>
        </w:rPr>
      </w:pPr>
      <w:r>
        <w:rPr>
          <w:b/>
          <w:bCs/>
          <w:color w:val="000000"/>
        </w:rPr>
        <w:t>Handling Noisy Data</w:t>
      </w:r>
    </w:p>
    <w:p w14:paraId="BA5A7353">
      <w:pPr>
        <w:pStyle w:val="style0"/>
        <w:spacing w:after="120"/>
        <w:rPr>
          <w:color w:val="000000"/>
        </w:rPr>
      </w:pPr>
      <w:r>
        <w:rPr>
          <w:color w:val="000000"/>
        </w:rPr>
        <w:t>Because each prediction is based on a weighted average/regression over multiple nearby points rather than a single closest match, LWR naturally smooths out random noise (e.g., a single anomalous meter reading) as long as the bandwidth (kernel width) is chosen appropriately — too narrow a bandwidth overfits to noise, too wide a bandwidth oversmooths and loses local detail, so the bandwidth is tuned via cross-validation.</w:t>
      </w:r>
    </w:p>
    <w:p w14:paraId="A69FAB31">
      <w:pPr>
        <w:pStyle w:val="style0"/>
        <w:spacing w:before="150" w:after="80"/>
        <w:rPr>
          <w:color w:val="000000"/>
        </w:rPr>
      </w:pPr>
      <w:r>
        <w:rPr>
          <w:b/>
          <w:bCs/>
          <w:color w:val="000000"/>
        </w:rPr>
        <w:t>Handling Seasonal Data</w:t>
      </w:r>
    </w:p>
    <w:p w14:paraId="3C4FB156">
      <w:pPr>
        <w:pStyle w:val="style0"/>
        <w:spacing w:after="120"/>
        <w:rPr>
          <w:color w:val="000000"/>
        </w:rPr>
      </w:pPr>
      <w:r>
        <w:rPr>
          <w:color w:val="000000"/>
        </w:rPr>
        <w:t>Seasonal and cyclical effects (daily peak hours, weekday/weekend differences, summer/winter demand shifts) are handled by including time-based and seasonal features (hour-of-day, day-of-week, month, a heating/cooling-degree-day indicator) as part of the input feature space that the local distance/weighting is computed over. This way, when predicting for a winter evening, LWR automatically weights other winter-evening data points highly and down-weights summer-afternoon data, so the model naturally adapts its local fit to the correct seasonal regime without needing separate models to be manually built for each season.</w:t>
      </w:r>
    </w:p>
    <w:p w14:paraId="0175596B">
      <w:pPr>
        <w:pStyle w:val="style0"/>
        <w:spacing w:before="150" w:after="80"/>
        <w:rPr>
          <w:color w:val="000000"/>
        </w:rPr>
      </w:pPr>
      <w:r>
        <w:rPr>
          <w:b/>
          <w:bCs/>
          <w:color w:val="000000"/>
        </w:rPr>
        <w:t>Alternative Note (RBF Networks)</w:t>
      </w:r>
    </w:p>
    <w:p w14:paraId="C42D4B17">
      <w:pPr>
        <w:pStyle w:val="style0"/>
        <w:spacing w:after="120"/>
        <w:rPr>
          <w:color w:val="000000"/>
        </w:rPr>
      </w:pPr>
      <w:r>
        <w:rPr>
          <w:color w:val="000000"/>
        </w:rPr>
        <w:t>An RBF network would instead place a fixed number of radial basis function 'centers' across the feature space (e.g., via k-means clustering) and learn a weighted combination of Gaussian activations from these centers to predict consumption. This can be faster at prediction time once trained (no need to search all historical data per query, unlike LWR) and can generalize smoothly across the whole space, but it requires an additional design step (choosing the number and placement of centers and their widths) and can lose some of LWR's fully local, data-driven flexibility if the centers are too few or poorly placed relative to sparse regions like unusual peak-demand events.</w:t>
      </w:r>
    </w:p>
    <w:p w14:paraId="E7ADE84D">
      <w:pPr>
        <w:pStyle w:val="style4098"/>
        <w:spacing w:before="300" w:after="150"/>
        <w:rPr>
          <w:color w:val="000000"/>
        </w:rPr>
      </w:pPr>
      <w:r>
        <w:rPr>
          <w:color w:val="000000"/>
        </w:rPr>
        <w:t>Summary Comparison Across the Three Solutions</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600"/>
        <w:gridCol w:w="2400"/>
        <w:gridCol w:w="2600"/>
        <w:gridCol w:w="2600"/>
      </w:tblGrid>
      <w:tr w14:paraId="1BAF0852">
        <w:trPr/>
        <w:tc>
          <w:tcPr>
            <w:tcW w:w="2600" w:type="dxa"/>
            <w:tcBorders/>
            <w:shd w:val="clear" w:color="auto" w:fill="d9e2f3"/>
          </w:tcPr>
          <w:p w14:paraId="3C1F2FEE">
            <w:pPr>
              <w:pStyle w:val="style0"/>
              <w:rPr>
                <w:color w:val="000000"/>
              </w:rPr>
            </w:pPr>
            <w:r>
              <w:rPr>
                <w:b/>
                <w:bCs/>
                <w:color w:val="000000"/>
                <w:sz w:val="20"/>
                <w:szCs w:val="20"/>
              </w:rPr>
              <w:t>Problem</w:t>
            </w:r>
          </w:p>
        </w:tc>
        <w:tc>
          <w:tcPr>
            <w:tcW w:w="2400" w:type="dxa"/>
            <w:tcBorders/>
            <w:shd w:val="clear" w:color="auto" w:fill="d9e2f3"/>
          </w:tcPr>
          <w:p w14:paraId="A03F33AA">
            <w:pPr>
              <w:pStyle w:val="style0"/>
              <w:rPr>
                <w:color w:val="000000"/>
              </w:rPr>
            </w:pPr>
            <w:r>
              <w:rPr>
                <w:b/>
                <w:bCs/>
                <w:color w:val="000000"/>
                <w:sz w:val="20"/>
                <w:szCs w:val="20"/>
              </w:rPr>
              <w:t>Technique</w:t>
            </w:r>
          </w:p>
        </w:tc>
        <w:tc>
          <w:tcPr>
            <w:tcW w:w="2600" w:type="dxa"/>
            <w:tcBorders/>
            <w:shd w:val="clear" w:color="auto" w:fill="d9e2f3"/>
          </w:tcPr>
          <w:p w14:paraId="4E0CE0BE">
            <w:pPr>
              <w:pStyle w:val="style0"/>
              <w:rPr>
                <w:color w:val="000000"/>
              </w:rPr>
            </w:pPr>
            <w:r>
              <w:rPr>
                <w:b/>
                <w:bCs/>
                <w:color w:val="000000"/>
                <w:sz w:val="20"/>
                <w:szCs w:val="20"/>
              </w:rPr>
              <w:t>Similarity/Local Mechanism</w:t>
            </w:r>
          </w:p>
        </w:tc>
        <w:tc>
          <w:tcPr>
            <w:tcW w:w="2600" w:type="dxa"/>
            <w:tcBorders/>
            <w:shd w:val="clear" w:color="auto" w:fill="d9e2f3"/>
          </w:tcPr>
          <w:p w14:paraId="7479142C">
            <w:pPr>
              <w:pStyle w:val="style0"/>
              <w:rPr>
                <w:color w:val="000000"/>
              </w:rPr>
            </w:pPr>
            <w:r>
              <w:rPr>
                <w:b/>
                <w:bCs/>
                <w:color w:val="000000"/>
                <w:sz w:val="20"/>
                <w:szCs w:val="20"/>
              </w:rPr>
              <w:t>Adaptation to New Data</w:t>
            </w:r>
          </w:p>
        </w:tc>
      </w:tr>
      <w:tr w14:paraId="D5C5DF46">
        <w:tblPrEx/>
        <w:trPr/>
        <w:tc>
          <w:tcPr>
            <w:tcW w:w="2600" w:type="dxa"/>
            <w:tcBorders/>
          </w:tcPr>
          <w:p w14:paraId="F3C582F9">
            <w:pPr>
              <w:pStyle w:val="style0"/>
              <w:rPr>
                <w:color w:val="000000"/>
              </w:rPr>
            </w:pPr>
            <w:r>
              <w:rPr>
                <w:b w:val="false"/>
                <w:bCs w:val="false"/>
                <w:color w:val="000000"/>
                <w:sz w:val="20"/>
                <w:szCs w:val="20"/>
              </w:rPr>
              <w:t>Loan default (banking)</w:t>
            </w:r>
          </w:p>
        </w:tc>
        <w:tc>
          <w:tcPr>
            <w:tcW w:w="2400" w:type="dxa"/>
            <w:tcBorders/>
          </w:tcPr>
          <w:p w14:paraId="FE7CBA36">
            <w:pPr>
              <w:pStyle w:val="style0"/>
              <w:rPr>
                <w:color w:val="000000"/>
              </w:rPr>
            </w:pPr>
            <w:r>
              <w:rPr>
                <w:b w:val="false"/>
                <w:bCs w:val="false"/>
                <w:color w:val="000000"/>
                <w:sz w:val="20"/>
                <w:szCs w:val="20"/>
              </w:rPr>
              <w:t>KNN (vs. Logistic Regression)</w:t>
            </w:r>
          </w:p>
        </w:tc>
        <w:tc>
          <w:tcPr>
            <w:tcW w:w="2600" w:type="dxa"/>
            <w:tcBorders/>
          </w:tcPr>
          <w:p w14:paraId="91683F3B">
            <w:pPr>
              <w:pStyle w:val="style0"/>
              <w:rPr>
                <w:color w:val="000000"/>
              </w:rPr>
            </w:pPr>
            <w:r>
              <w:rPr>
                <w:b w:val="false"/>
                <w:bCs w:val="false"/>
                <w:color w:val="000000"/>
                <w:sz w:val="20"/>
                <w:szCs w:val="20"/>
              </w:rPr>
              <w:t>Distance between customer feature vectors</w:t>
            </w:r>
          </w:p>
        </w:tc>
        <w:tc>
          <w:tcPr>
            <w:tcW w:w="2600" w:type="dxa"/>
            <w:tcBorders/>
          </w:tcPr>
          <w:p w14:paraId="E67E6C47">
            <w:pPr>
              <w:pStyle w:val="style0"/>
              <w:rPr>
                <w:color w:val="000000"/>
              </w:rPr>
            </w:pPr>
            <w:r>
              <w:rPr>
                <w:b w:val="false"/>
                <w:bCs w:val="false"/>
                <w:color w:val="000000"/>
                <w:sz w:val="20"/>
                <w:szCs w:val="20"/>
              </w:rPr>
              <w:t>New labeled applications added to reference set</w:t>
            </w:r>
          </w:p>
        </w:tc>
      </w:tr>
      <w:tr w14:paraId="4B513DCB">
        <w:tblPrEx/>
        <w:trPr/>
        <w:tc>
          <w:tcPr>
            <w:tcW w:w="2600" w:type="dxa"/>
            <w:tcBorders/>
          </w:tcPr>
          <w:p w14:paraId="F3791AB2">
            <w:pPr>
              <w:pStyle w:val="style0"/>
              <w:rPr>
                <w:color w:val="000000"/>
              </w:rPr>
            </w:pPr>
            <w:r>
              <w:rPr>
                <w:b w:val="false"/>
                <w:bCs w:val="false"/>
                <w:color w:val="000000"/>
                <w:sz w:val="20"/>
                <w:szCs w:val="20"/>
              </w:rPr>
              <w:t>Intrusion detection (cybersecurity)</w:t>
            </w:r>
          </w:p>
        </w:tc>
        <w:tc>
          <w:tcPr>
            <w:tcW w:w="2400" w:type="dxa"/>
            <w:tcBorders/>
          </w:tcPr>
          <w:p w14:paraId="DB71E369">
            <w:pPr>
              <w:pStyle w:val="style0"/>
              <w:rPr>
                <w:color w:val="000000"/>
              </w:rPr>
            </w:pPr>
            <w:r>
              <w:rPr>
                <w:b w:val="false"/>
                <w:bCs w:val="false"/>
                <w:color w:val="000000"/>
                <w:sz w:val="20"/>
                <w:szCs w:val="20"/>
              </w:rPr>
              <w:t>Case-Based Learning + KNN</w:t>
            </w:r>
          </w:p>
        </w:tc>
        <w:tc>
          <w:tcPr>
            <w:tcW w:w="2600" w:type="dxa"/>
            <w:tcBorders/>
          </w:tcPr>
          <w:p w14:paraId="588BEFD2">
            <w:pPr>
              <w:pStyle w:val="style0"/>
              <w:rPr>
                <w:color w:val="000000"/>
              </w:rPr>
            </w:pPr>
            <w:r>
              <w:rPr>
                <w:b w:val="false"/>
                <w:bCs w:val="false"/>
                <w:color w:val="000000"/>
                <w:sz w:val="20"/>
                <w:szCs w:val="20"/>
              </w:rPr>
              <w:t>Weighted distance over mixed traffic features</w:t>
            </w:r>
          </w:p>
        </w:tc>
        <w:tc>
          <w:tcPr>
            <w:tcW w:w="2600" w:type="dxa"/>
            <w:tcBorders/>
          </w:tcPr>
          <w:p w14:paraId="35CE5FAB">
            <w:pPr>
              <w:pStyle w:val="style0"/>
              <w:rPr>
                <w:color w:val="000000"/>
              </w:rPr>
            </w:pPr>
            <w:r>
              <w:rPr>
                <w:b w:val="false"/>
                <w:bCs w:val="false"/>
                <w:color w:val="000000"/>
                <w:sz w:val="20"/>
                <w:szCs w:val="20"/>
              </w:rPr>
              <w:t>New confirmed cases added to case base; periodic pruning</w:t>
            </w:r>
          </w:p>
        </w:tc>
      </w:tr>
      <w:tr w14:paraId="78088698">
        <w:tblPrEx/>
        <w:trPr/>
        <w:tc>
          <w:tcPr>
            <w:tcW w:w="2600" w:type="dxa"/>
            <w:tcBorders/>
          </w:tcPr>
          <w:p w14:paraId="CC79470F">
            <w:pPr>
              <w:pStyle w:val="style0"/>
              <w:rPr>
                <w:color w:val="000000"/>
              </w:rPr>
            </w:pPr>
            <w:r>
              <w:rPr>
                <w:b w:val="false"/>
                <w:bCs w:val="false"/>
                <w:color w:val="000000"/>
                <w:sz w:val="20"/>
                <w:szCs w:val="20"/>
              </w:rPr>
              <w:t>Electricity consumption (energy)</w:t>
            </w:r>
          </w:p>
        </w:tc>
        <w:tc>
          <w:tcPr>
            <w:tcW w:w="2400" w:type="dxa"/>
            <w:tcBorders/>
          </w:tcPr>
          <w:p w14:paraId="D292FA86">
            <w:pPr>
              <w:pStyle w:val="style0"/>
              <w:rPr>
                <w:color w:val="000000"/>
              </w:rPr>
            </w:pPr>
            <w:r>
              <w:rPr>
                <w:b w:val="false"/>
                <w:bCs w:val="false"/>
                <w:color w:val="000000"/>
                <w:sz w:val="20"/>
                <w:szCs w:val="20"/>
              </w:rPr>
              <w:t>Locally Weighted Regression (vs. RBF)</w:t>
            </w:r>
          </w:p>
        </w:tc>
        <w:tc>
          <w:tcPr>
            <w:tcW w:w="2600" w:type="dxa"/>
            <w:tcBorders/>
          </w:tcPr>
          <w:p w14:paraId="2B606440">
            <w:pPr>
              <w:pStyle w:val="style0"/>
              <w:rPr>
                <w:color w:val="000000"/>
              </w:rPr>
            </w:pPr>
            <w:r>
              <w:rPr>
                <w:b w:val="false"/>
                <w:bCs w:val="false"/>
                <w:color w:val="000000"/>
                <w:sz w:val="20"/>
                <w:szCs w:val="20"/>
              </w:rPr>
              <w:t>Kernel-weighted local regression per query point</w:t>
            </w:r>
          </w:p>
        </w:tc>
        <w:tc>
          <w:tcPr>
            <w:tcW w:w="2600" w:type="dxa"/>
            <w:tcBorders/>
          </w:tcPr>
          <w:p w14:paraId="5EFAEE17">
            <w:pPr>
              <w:pStyle w:val="style0"/>
              <w:rPr>
                <w:color w:val="000000"/>
              </w:rPr>
            </w:pPr>
            <w:r>
              <w:rPr>
                <w:b w:val="false"/>
                <w:bCs w:val="false"/>
                <w:color w:val="000000"/>
                <w:sz w:val="20"/>
                <w:szCs w:val="20"/>
              </w:rPr>
              <w:t>Naturally adapts via inclusion of new readings and seasonal features</w:t>
            </w:r>
          </w:p>
        </w:tc>
      </w:tr>
    </w:tbl>
    <w:p w14:paraId="7C691005">
      <w:pPr>
        <w:pStyle w:val="style0"/>
        <w:spacing w:before="300" w:after="120"/>
        <w:rPr>
          <w:color w:val="000000"/>
        </w:rPr>
      </w:pPr>
      <w:r>
        <w:rPr>
          <w:b/>
          <w:bCs/>
          <w:color w:val="000000"/>
          <w:sz w:val="24"/>
          <w:szCs w:val="24"/>
        </w:rPr>
        <w:t>Overall Conclusion</w:t>
      </w:r>
    </w:p>
    <w:p w14:paraId="7F139F45">
      <w:pPr>
        <w:pStyle w:val="style0"/>
        <w:spacing w:after="120"/>
        <w:rPr/>
      </w:pPr>
      <w:r>
        <w:rPr>
          <w:color w:val="000000"/>
        </w:rPr>
        <w:t>All three solutions rely on instance-based or locally-adaptive learning rather than a single fixed global model, which suits problems where the underlying pattern (fraud/default behavior, attack signatures, consumption habits) is heterogeneous and evolves over time. Their shared strength is the ability to incorporate new data incrementally — new loan outcomes, confirmed attacks, or fresh consumption readings — directly into the model's reference data, keeping predictions current without full retraining, though this comes with the trade-off of higher prediction-time computation and the need for careful distance-metric design and periodic maintenance of the reference/case da</w:t>
      </w:r>
      <w:r>
        <w:t>ta as it grows.</w:t>
      </w:r>
    </w:p>
    <w:sectPr>
      <w:pgSz w:w="12240" w:h="15840" w:orient="portrait"/>
      <w:pgMar w:top="1440" w:right="1440" w:bottom="1440" w:left="1440" w:header="708" w:footer="708"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FFFFFFFF"/>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w="http://schemas.openxmlformats.org/wordprocessingml/2006/main" xmlns:r="http://schemas.openxmlformats.org/officeDocument/2006/relationships" xmlns:m="http://schemas.openxmlformats.org/officeDocument/2006/math">
  <w:displayBackgroundShape/>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compat>
    <w:compatSetting w:name="compatibilityMode" w:uri="http://schemas.microsoft.com/office/word" w:val="15"/>
  </w:compat>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pPrDefault>
      <w:pPr/>
    </w:pPrDefault>
  </w:docDefaults>
  <w:style w:type="paragraph" w:styleId="style62">
    <w:name w:val="Title"/>
    <w:next w:val="style62"/>
    <w:qFormat/>
    <w:pPr/>
    <w:rPr>
      <w:sz w:val="56"/>
      <w:szCs w:val="56"/>
    </w:rPr>
  </w:style>
  <w:style w:type="paragraph" w:customStyle="1" w:styleId="style4097">
    <w:name w:val="Heading 1"/>
    <w:next w:val="style4097"/>
    <w:qFormat/>
    <w:pPr/>
    <w:rPr>
      <w:color w:val="2e74b5"/>
      <w:sz w:val="32"/>
      <w:szCs w:val="32"/>
    </w:rPr>
  </w:style>
  <w:style w:type="paragraph" w:customStyle="1" w:styleId="style4098">
    <w:name w:val="Heading 2"/>
    <w:next w:val="style4098"/>
    <w:qFormat/>
    <w:pPr/>
    <w:rPr>
      <w:color w:val="2e74b5"/>
      <w:sz w:val="26"/>
      <w:szCs w:val="26"/>
    </w:rPr>
  </w:style>
  <w:style w:type="paragraph" w:customStyle="1" w:styleId="style4099">
    <w:name w:val="Heading 3"/>
    <w:next w:val="style4099"/>
    <w:qFormat/>
    <w:pPr/>
    <w:rPr>
      <w:color w:val="1f4d78"/>
      <w:sz w:val="24"/>
      <w:szCs w:val="24"/>
    </w:rPr>
  </w:style>
  <w:style w:type="paragraph" w:customStyle="1" w:styleId="style4100">
    <w:name w:val="Heading 4"/>
    <w:next w:val="style4100"/>
    <w:qFormat/>
    <w:pPr/>
    <w:rPr>
      <w:i/>
      <w:iCs/>
      <w:color w:val="2e74b5"/>
    </w:rPr>
  </w:style>
  <w:style w:type="paragraph" w:customStyle="1" w:styleId="style4101">
    <w:name w:val="Heading 5"/>
    <w:next w:val="style4101"/>
    <w:qFormat/>
    <w:pPr/>
    <w:rPr>
      <w:color w:val="2e74b5"/>
    </w:rPr>
  </w:style>
  <w:style w:type="paragraph" w:customStyle="1" w:styleId="style4102">
    <w:name w:val="Heading 6"/>
    <w:next w:val="style4102"/>
    <w:qFormat/>
    <w:pPr/>
    <w:rPr>
      <w:color w:val="1f4d78"/>
    </w:rPr>
  </w:style>
  <w:style w:type="paragraph" w:customStyle="1" w:styleId="style4103">
    <w:name w:val="Strong_63d86ef7-d748-43f5-8b5a-652ab14efab3"/>
    <w:next w:val="style4103"/>
    <w:qFormat/>
    <w:pPr/>
    <w:rPr>
      <w:b/>
      <w:bCs/>
    </w:rPr>
  </w:style>
  <w:style w:type="paragraph" w:styleId="style179">
    <w:name w:val="List Paragraph"/>
    <w:next w:val="style179"/>
    <w:qFormat/>
    <w:pPr/>
  </w:style>
  <w:style w:type="character" w:styleId="style85">
    <w:name w:val="Hyperlink"/>
    <w:next w:val="style85"/>
    <w:uiPriority w:val="99"/>
    <w:rPr>
      <w:color w:val="0563c1"/>
      <w:u w:val="single"/>
    </w:rPr>
  </w:style>
  <w:style w:type="character" w:styleId="style38">
    <w:name w:val="footnote reference"/>
    <w:next w:val="style38"/>
    <w:uiPriority w:val="99"/>
    <w:rPr>
      <w:vertAlign w:val="superscript"/>
    </w:rPr>
  </w:style>
  <w:style w:type="paragraph" w:styleId="style29">
    <w:name w:val="footnote text"/>
    <w:next w:val="style29"/>
    <w:link w:val="style4104"/>
    <w:uiPriority w:val="99"/>
    <w:pPr>
      <w:spacing w:after="0" w:lineRule="auto" w:line="240"/>
    </w:pPr>
    <w:rPr>
      <w:sz w:val="20"/>
      <w:szCs w:val="20"/>
    </w:rPr>
  </w:style>
  <w:style w:type="character" w:customStyle="1" w:styleId="style4104">
    <w:name w:val="Footnote Text Char"/>
    <w:next w:val="style4104"/>
    <w:link w:val="style29"/>
    <w:uiPriority w:val="99"/>
    <w:rPr>
      <w:sz w:val="20"/>
      <w:szCs w:val="20"/>
    </w:rPr>
  </w:style>
  <w:style w:type="character" w:styleId="style42">
    <w:name w:val="endnote reference"/>
    <w:next w:val="style42"/>
    <w:uiPriority w:val="99"/>
    <w:rPr>
      <w:vertAlign w:val="superscript"/>
    </w:rPr>
  </w:style>
  <w:style w:type="paragraph" w:styleId="style43">
    <w:name w:val="endnote text"/>
    <w:next w:val="style43"/>
    <w:link w:val="style4105"/>
    <w:uiPriority w:val="99"/>
    <w:pPr>
      <w:spacing w:after="0" w:lineRule="auto" w:line="240"/>
    </w:pPr>
    <w:rPr>
      <w:sz w:val="20"/>
      <w:szCs w:val="20"/>
    </w:rPr>
  </w:style>
  <w:style w:type="character" w:customStyle="1" w:styleId="style4105">
    <w:name w:val="Endnote Text Char"/>
    <w:next w:val="style4105"/>
    <w:link w:val="style43"/>
    <w:uiPriority w:val="99"/>
    <w:rPr>
      <w:sz w:val="20"/>
      <w:szCs w:val="20"/>
    </w:rPr>
  </w:style>
  <w:style w:type="paragraph" w:default="1" w:styleId="style0">
    <w:name w:val="Normal"/>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1423</Words>
  <Characters>8538</Characters>
  <Application>WPS Office</Application>
  <Paragraphs>56</Paragraphs>
  <CharactersWithSpaces>9909</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2026-08-14T15:53:26Z</dcterms:created>
  <dc:creator>Un-named</dc:creator>
  <lastModifiedBy>CPH2637</lastModifiedBy>
  <dcterms:modified xsi:type="dcterms:W3CDTF">2026-08-14T15:53:26Z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e070b31d9e8e472799834511f078dc8b_23</vt:lpwstr>
  </property>
</Properties>
</file>