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0064F09">
      <w:pPr>
        <w:pStyle w:val="style0"/>
        <w:spacing w:after="100"/>
        <w:jc w:val="center"/>
        <w:rPr/>
      </w:pPr>
      <w:r>
        <w:rPr>
          <w:b/>
          <w:bCs/>
          <w:sz w:val="32"/>
          <w:szCs w:val="32"/>
        </w:rPr>
        <w:t>Comparative Analysis — Short Answer Test</w:t>
      </w:r>
    </w:p>
    <w:p w14:paraId="375AC043">
      <w:pPr>
        <w:pStyle w:val="style0"/>
        <w:spacing w:after="300"/>
        <w:jc w:val="center"/>
        <w:rPr/>
      </w:pPr>
      <w:r>
        <w:rPr>
          <w:i/>
          <w:iCs/>
          <w:sz w:val="20"/>
          <w:szCs w:val="20"/>
        </w:rPr>
        <w:t>CO4: K-Nearest Neighbour Learning, Locally Weighted Regression, Radial Basis Functions, Case-Based Learning</w:t>
      </w:r>
    </w:p>
    <w:p w14:paraId="93D54B78">
      <w:pPr>
        <w:pStyle w:val="style4098"/>
        <w:spacing w:before="300" w:after="150"/>
        <w:rPr>
          <w:color w:val="000000"/>
        </w:rPr>
      </w:pPr>
      <w:r>
        <w:rPr>
          <w:color w:val="000000"/>
        </w:rPr>
        <w:t>Q1. Linear Regression vs Polynomial Regression (Housing Price Prediction)</w:t>
      </w:r>
    </w:p>
    <w:p w14:paraId="7BBB925D">
      <w:pPr>
        <w:pStyle w:val="style0"/>
        <w:spacing w:before="150" w:after="80"/>
        <w:rPr>
          <w:b/>
          <w:bCs/>
        </w:rPr>
      </w:pPr>
    </w:p>
    <w:p w14:paraId="CFBA60D3">
      <w:pPr>
        <w:pStyle w:val="style0"/>
        <w:spacing w:before="150" w:after="80"/>
        <w:rPr/>
      </w:pPr>
      <w:r>
        <w:rPr>
          <w:b/>
          <w:bCs/>
        </w:rPr>
        <w:t>Model Complexity</w:t>
      </w:r>
    </w:p>
    <w:p w14:paraId="140057B0">
      <w:pPr>
        <w:pStyle w:val="style0"/>
        <w:spacing w:after="120"/>
        <w:rPr/>
      </w:pPr>
      <w:r>
        <w:t>Linear Regression fits a single straight-line (hyperplane) relationship between features (e.g., area, number of rooms, location score) and price, using only a small number of parameters — one coefficient per feature plus an intercept. Polynomial Regression extends this by adding higher-degree terms (x², x³, interaction terms), which increases the number of parameters and allows the model to fit curved relationships. As the degree increases, model complexity grows rapidly.</w:t>
      </w:r>
    </w:p>
    <w:p w14:paraId="EADE8E12">
      <w:pPr>
        <w:pStyle w:val="style0"/>
        <w:spacing w:before="150" w:after="80"/>
        <w:rPr/>
      </w:pPr>
      <w:r>
        <w:rPr>
          <w:b/>
          <w:bCs/>
        </w:rPr>
        <w:t>Ability to Capture Non-Linear Relationships</w:t>
      </w:r>
    </w:p>
    <w:p w14:paraId="FE307D1E">
      <w:pPr>
        <w:pStyle w:val="style0"/>
        <w:spacing w:after="120"/>
        <w:rPr/>
      </w:pPr>
      <w:r>
        <w:t>Housing prices rarely grow in a perfectly straight line with respect to features such as area or age of the property — for instance, price may rise steeply for small houses but plateau for very large ones, or depreciate non-linearly with age. Linear Regression cannot capture such curvature and will systematically underfit these patterns. Polynomial Regression can model these bends and saturation effects because the added polynomial terms let the predicted price curve rather than follow a straight line.</w:t>
      </w:r>
    </w:p>
    <w:p w14:paraId="5AD6B708">
      <w:pPr>
        <w:pStyle w:val="style0"/>
        <w:spacing w:before="150" w:after="80"/>
        <w:rPr/>
      </w:pPr>
      <w:r>
        <w:rPr>
          <w:b/>
          <w:bCs/>
        </w:rPr>
        <w:t>Risk of Overfitting</w:t>
      </w:r>
    </w:p>
    <w:p w14:paraId="FE2C2C58">
      <w:pPr>
        <w:pStyle w:val="style0"/>
        <w:spacing w:after="120"/>
        <w:rPr/>
      </w:pPr>
      <w:r>
        <w:t>Linear Regression, being a low-complexity model, has a higher bias but low variance — it is unlikely to overfit but may underfit non-linear housing data. Polynomial Regression, especially at higher degrees, has low bias but high variance: it can start fitting noise in the training data (e.g., an unusual expensive house due to a one-off feature) rather than the true underlying trend, leading to poor generalization on new listings unless regularization or careful degree-selection (via cross-validation) is used.</w:t>
      </w:r>
    </w:p>
    <w:p w14:paraId="E33B2710">
      <w:pPr>
        <w:pStyle w:val="style0"/>
        <w:spacing w:before="150" w:after="80"/>
        <w:rPr/>
      </w:pPr>
      <w:r>
        <w:rPr>
          <w:b/>
          <w:bCs/>
        </w:rPr>
        <w:t>Interpretability</w:t>
      </w:r>
    </w:p>
    <w:p w14:paraId="AD144F3A">
      <w:pPr>
        <w:pStyle w:val="style0"/>
        <w:spacing w:after="120"/>
        <w:rPr/>
      </w:pPr>
      <w:r>
        <w:t>Linear Regression coefficients are highly interpretable — each coefficient directly states how much price changes per unit increase in a feature, holding others constant. Polynomial Regression coefficients are harder to interpret individually because the effect of a feature on price depends on multiple interacting terms, making the model more of a 'black box' as degree increases.</w:t>
      </w:r>
    </w:p>
    <w:p w14:paraId="84A8ADB0">
      <w:pPr>
        <w:pStyle w:val="style0"/>
        <w:spacing w:before="150" w:after="80"/>
        <w:rPr>
          <w:b/>
          <w:bCs/>
        </w:rPr>
      </w:pPr>
    </w:p>
    <w:p w14:paraId="26238262">
      <w:pPr>
        <w:pStyle w:val="style0"/>
        <w:spacing w:before="150" w:after="80"/>
        <w:rPr/>
      </w:pPr>
      <w:r>
        <w:rPr>
          <w:b/>
          <w:bCs/>
        </w:rPr>
        <w:t>When Each Performs Better</w:t>
      </w:r>
    </w:p>
    <w:p w14:paraId="E68717FD">
      <w:pPr>
        <w:pStyle w:val="style179"/>
        <w:numPr>
          <w:ilvl w:val="0"/>
          <w:numId w:val="1"/>
        </w:numPr>
        <w:spacing w:after="60"/>
        <w:rPr/>
      </w:pPr>
      <w:r>
        <w:t>Linear Regression is preferable when the price–feature relationship is genuinely close to linear, when interpretability for stakeholders (e.g., real-estate agents, regulators) is important, and when the dataset is small (to avoid overfitting).</w:t>
      </w:r>
    </w:p>
    <w:p w14:paraId="770ED30A">
      <w:pPr>
        <w:pStyle w:val="style179"/>
        <w:numPr>
          <w:ilvl w:val="0"/>
          <w:numId w:val="1"/>
        </w:numPr>
        <w:spacing w:after="60"/>
        <w:rPr/>
      </w:pPr>
      <w:r>
        <w:t>Polynomial Regression is preferable when there is clear evidence of curvature in the data (e.g., diminishing returns on square footage), when enough training data exists to estimate the extra parameters reliably, and when predictive accuracy matters more than interpretability.</w:t>
      </w:r>
    </w:p>
    <w:p w14:paraId="CC383E16">
      <w:pPr>
        <w:pStyle w:val="style179"/>
        <w:numPr>
          <w:ilvl w:val="0"/>
          <w:numId w:val="1"/>
        </w:numPr>
        <w:spacing w:after="60"/>
        <w:rPr/>
      </w:pPr>
      <w:r>
        <w:t>In practice, an analyst often starts with Linear Regression as a baseline, inspects the residual plot for curved patterns, and only moves to Polynomial Regression (with regularization such as Ridge/Lasso, and degree chosen via cross-validation) if the residuals show a clear non-linear trend.</w:t>
      </w:r>
    </w:p>
    <w:p w14:paraId="A6203206">
      <w:pPr>
        <w:pStyle w:val="style0"/>
        <w:spacing w:before="150" w:after="80"/>
        <w:rPr>
          <w:b/>
          <w:bCs/>
        </w:rPr>
      </w:pPr>
    </w:p>
    <w:p w14:paraId="C01BD922">
      <w:pPr>
        <w:pStyle w:val="style0"/>
        <w:spacing w:before="150" w:after="80"/>
        <w:rPr>
          <w:b/>
          <w:bCs/>
        </w:rPr>
      </w:pPr>
    </w:p>
    <w:p w14:paraId="65AFD094">
      <w:pPr>
        <w:pStyle w:val="style0"/>
        <w:spacing w:before="150" w:after="80"/>
        <w:rPr>
          <w:b/>
          <w:bCs/>
        </w:rPr>
      </w:pPr>
    </w:p>
    <w:p w14:paraId="98D06EE2">
      <w:pPr>
        <w:pStyle w:val="style0"/>
        <w:spacing w:before="150" w:after="80"/>
        <w:rPr>
          <w:b/>
          <w:bCs/>
        </w:rPr>
      </w:pPr>
    </w:p>
    <w:p w14:paraId="D0DC1CC4">
      <w:pPr>
        <w:pStyle w:val="style0"/>
        <w:spacing w:before="150" w:after="80"/>
        <w:rPr/>
      </w:pPr>
      <w:r>
        <w:rPr>
          <w:b/>
          <w:bCs/>
        </w:rPr>
        <w:t>Summary Comparison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600"/>
        <w:gridCol w:w="3600"/>
      </w:tblGrid>
      <w:tr w14:paraId="15D93C9F">
        <w:trPr/>
        <w:tc>
          <w:tcPr>
            <w:tcW w:w="2400" w:type="dxa"/>
            <w:tcBorders/>
            <w:shd w:val="clear" w:color="auto" w:fill="d9e2f3"/>
          </w:tcPr>
          <w:p w14:paraId="F135412F">
            <w:pPr>
              <w:pStyle w:val="style0"/>
              <w:rPr/>
            </w:pPr>
            <w:r>
              <w:rPr>
                <w:b/>
                <w:bCs/>
                <w:sz w:val="20"/>
                <w:szCs w:val="20"/>
              </w:rPr>
              <w:t>Aspect</w:t>
            </w:r>
          </w:p>
        </w:tc>
        <w:tc>
          <w:tcPr>
            <w:tcW w:w="3600" w:type="dxa"/>
            <w:tcBorders/>
            <w:shd w:val="clear" w:color="auto" w:fill="d9e2f3"/>
          </w:tcPr>
          <w:p w14:paraId="5ABBE3C9">
            <w:pPr>
              <w:pStyle w:val="style0"/>
              <w:rPr/>
            </w:pPr>
            <w:r>
              <w:rPr>
                <w:b/>
                <w:bCs/>
                <w:sz w:val="20"/>
                <w:szCs w:val="20"/>
              </w:rPr>
              <w:t>Linear Regression</w:t>
            </w:r>
          </w:p>
        </w:tc>
        <w:tc>
          <w:tcPr>
            <w:tcW w:w="3600" w:type="dxa"/>
            <w:tcBorders/>
            <w:shd w:val="clear" w:color="auto" w:fill="d9e2f3"/>
          </w:tcPr>
          <w:p w14:paraId="9464B9B7">
            <w:pPr>
              <w:pStyle w:val="style0"/>
              <w:rPr/>
            </w:pPr>
            <w:r>
              <w:rPr>
                <w:b/>
                <w:bCs/>
                <w:sz w:val="20"/>
                <w:szCs w:val="20"/>
              </w:rPr>
              <w:t>Polynomial Regression</w:t>
            </w:r>
          </w:p>
        </w:tc>
      </w:tr>
      <w:tr w14:paraId="A78FCB49">
        <w:tblPrEx/>
        <w:trPr/>
        <w:tc>
          <w:tcPr>
            <w:tcW w:w="2400" w:type="dxa"/>
            <w:tcBorders/>
          </w:tcPr>
          <w:p w14:paraId="743BA337">
            <w:pPr>
              <w:pStyle w:val="style0"/>
              <w:rPr/>
            </w:pPr>
            <w:r>
              <w:rPr>
                <w:b w:val="false"/>
                <w:bCs w:val="false"/>
                <w:sz w:val="20"/>
                <w:szCs w:val="20"/>
              </w:rPr>
              <w:t>Model form</w:t>
            </w:r>
          </w:p>
        </w:tc>
        <w:tc>
          <w:tcPr>
            <w:tcW w:w="3600" w:type="dxa"/>
            <w:tcBorders/>
          </w:tcPr>
          <w:p w14:paraId="E1746B43">
            <w:pPr>
              <w:pStyle w:val="style0"/>
              <w:rPr/>
            </w:pPr>
            <w:r>
              <w:rPr>
                <w:b w:val="false"/>
                <w:bCs w:val="false"/>
                <w:sz w:val="20"/>
                <w:szCs w:val="20"/>
              </w:rPr>
              <w:t>y = b0 + b1x1 + ... + bnxn</w:t>
            </w:r>
          </w:p>
        </w:tc>
        <w:tc>
          <w:tcPr>
            <w:tcW w:w="3600" w:type="dxa"/>
            <w:tcBorders/>
          </w:tcPr>
          <w:p w14:paraId="72C3C33C">
            <w:pPr>
              <w:pStyle w:val="style0"/>
              <w:rPr/>
            </w:pPr>
            <w:r>
              <w:rPr>
                <w:b w:val="false"/>
                <w:bCs w:val="false"/>
                <w:sz w:val="20"/>
                <w:szCs w:val="20"/>
              </w:rPr>
              <w:t>y = b0 + b1x + b2x2 + ... + bkxk</w:t>
            </w:r>
          </w:p>
        </w:tc>
      </w:tr>
      <w:tr w14:paraId="527CF6D4">
        <w:tblPrEx/>
        <w:trPr/>
        <w:tc>
          <w:tcPr>
            <w:tcW w:w="2400" w:type="dxa"/>
            <w:tcBorders/>
          </w:tcPr>
          <w:p w14:paraId="5FAB2425">
            <w:pPr>
              <w:pStyle w:val="style0"/>
              <w:rPr/>
            </w:pPr>
            <w:r>
              <w:rPr>
                <w:b w:val="false"/>
                <w:bCs w:val="false"/>
                <w:sz w:val="20"/>
                <w:szCs w:val="20"/>
              </w:rPr>
              <w:t>Complexity</w:t>
            </w:r>
          </w:p>
        </w:tc>
        <w:tc>
          <w:tcPr>
            <w:tcW w:w="3600" w:type="dxa"/>
            <w:tcBorders/>
          </w:tcPr>
          <w:p w14:paraId="91092F13">
            <w:pPr>
              <w:pStyle w:val="style0"/>
              <w:rPr/>
            </w:pPr>
            <w:r>
              <w:rPr>
                <w:b w:val="false"/>
                <w:bCs w:val="false"/>
                <w:sz w:val="20"/>
                <w:szCs w:val="20"/>
              </w:rPr>
              <w:t>Low (few parameters)</w:t>
            </w:r>
          </w:p>
        </w:tc>
        <w:tc>
          <w:tcPr>
            <w:tcW w:w="3600" w:type="dxa"/>
            <w:tcBorders/>
          </w:tcPr>
          <w:p w14:paraId="DD523B22">
            <w:pPr>
              <w:pStyle w:val="style0"/>
              <w:rPr/>
            </w:pPr>
            <w:r>
              <w:rPr>
                <w:b w:val="false"/>
                <w:bCs w:val="false"/>
                <w:sz w:val="20"/>
                <w:szCs w:val="20"/>
              </w:rPr>
              <w:t>Higher (grows with degree)</w:t>
            </w:r>
          </w:p>
        </w:tc>
      </w:tr>
      <w:tr w14:paraId="0A28C2B2">
        <w:tblPrEx/>
        <w:trPr/>
        <w:tc>
          <w:tcPr>
            <w:tcW w:w="2400" w:type="dxa"/>
            <w:tcBorders/>
          </w:tcPr>
          <w:p w14:paraId="F33F8E4D">
            <w:pPr>
              <w:pStyle w:val="style0"/>
              <w:rPr/>
            </w:pPr>
            <w:r>
              <w:rPr>
                <w:b w:val="false"/>
                <w:bCs w:val="false"/>
                <w:sz w:val="20"/>
                <w:szCs w:val="20"/>
              </w:rPr>
              <w:t>Non-linear fit</w:t>
            </w:r>
          </w:p>
        </w:tc>
        <w:tc>
          <w:tcPr>
            <w:tcW w:w="3600" w:type="dxa"/>
            <w:tcBorders/>
          </w:tcPr>
          <w:p w14:paraId="3BB7907D">
            <w:pPr>
              <w:pStyle w:val="style0"/>
              <w:rPr/>
            </w:pPr>
            <w:r>
              <w:rPr>
                <w:b w:val="false"/>
                <w:bCs w:val="false"/>
                <w:sz w:val="20"/>
                <w:szCs w:val="20"/>
              </w:rPr>
              <w:t>Cannot capture curvature</w:t>
            </w:r>
          </w:p>
        </w:tc>
        <w:tc>
          <w:tcPr>
            <w:tcW w:w="3600" w:type="dxa"/>
            <w:tcBorders/>
          </w:tcPr>
          <w:p w14:paraId="B297550F">
            <w:pPr>
              <w:pStyle w:val="style0"/>
              <w:rPr/>
            </w:pPr>
            <w:r>
              <w:rPr>
                <w:b w:val="false"/>
                <w:bCs w:val="false"/>
                <w:sz w:val="20"/>
                <w:szCs w:val="20"/>
              </w:rPr>
              <w:t>Captures curvature well</w:t>
            </w:r>
          </w:p>
        </w:tc>
      </w:tr>
      <w:tr w14:paraId="53AE7114">
        <w:tblPrEx/>
        <w:trPr/>
        <w:tc>
          <w:tcPr>
            <w:tcW w:w="2400" w:type="dxa"/>
            <w:tcBorders/>
          </w:tcPr>
          <w:p w14:paraId="0F03EB1B">
            <w:pPr>
              <w:pStyle w:val="style0"/>
              <w:rPr/>
            </w:pPr>
            <w:r>
              <w:rPr>
                <w:b w:val="false"/>
                <w:bCs w:val="false"/>
                <w:sz w:val="20"/>
                <w:szCs w:val="20"/>
              </w:rPr>
              <w:t>Overfitting risk</w:t>
            </w:r>
          </w:p>
        </w:tc>
        <w:tc>
          <w:tcPr>
            <w:tcW w:w="3600" w:type="dxa"/>
            <w:tcBorders/>
          </w:tcPr>
          <w:p w14:paraId="8D0A68C0">
            <w:pPr>
              <w:pStyle w:val="style0"/>
              <w:rPr/>
            </w:pPr>
            <w:r>
              <w:rPr>
                <w:b w:val="false"/>
                <w:bCs w:val="false"/>
                <w:sz w:val="20"/>
                <w:szCs w:val="20"/>
              </w:rPr>
              <w:t>Low (may underfit)</w:t>
            </w:r>
          </w:p>
        </w:tc>
        <w:tc>
          <w:tcPr>
            <w:tcW w:w="3600" w:type="dxa"/>
            <w:tcBorders/>
          </w:tcPr>
          <w:p w14:paraId="60CB25C9">
            <w:pPr>
              <w:pStyle w:val="style0"/>
              <w:rPr/>
            </w:pPr>
            <w:r>
              <w:rPr>
                <w:b w:val="false"/>
                <w:bCs w:val="false"/>
                <w:sz w:val="20"/>
                <w:szCs w:val="20"/>
              </w:rPr>
              <w:t>High at large degree</w:t>
            </w:r>
          </w:p>
        </w:tc>
      </w:tr>
      <w:tr w14:paraId="D2F1F391">
        <w:tblPrEx/>
        <w:trPr/>
        <w:tc>
          <w:tcPr>
            <w:tcW w:w="2400" w:type="dxa"/>
            <w:tcBorders/>
          </w:tcPr>
          <w:p w14:paraId="9D593DC6">
            <w:pPr>
              <w:pStyle w:val="style0"/>
              <w:rPr/>
            </w:pPr>
            <w:r>
              <w:rPr>
                <w:b w:val="false"/>
                <w:bCs w:val="false"/>
                <w:sz w:val="20"/>
                <w:szCs w:val="20"/>
              </w:rPr>
              <w:t>Interpretability</w:t>
            </w:r>
          </w:p>
        </w:tc>
        <w:tc>
          <w:tcPr>
            <w:tcW w:w="3600" w:type="dxa"/>
            <w:tcBorders/>
          </w:tcPr>
          <w:p w14:paraId="4CB995F5">
            <w:pPr>
              <w:pStyle w:val="style0"/>
              <w:rPr/>
            </w:pPr>
            <w:r>
              <w:rPr>
                <w:b w:val="false"/>
                <w:bCs w:val="false"/>
                <w:sz w:val="20"/>
                <w:szCs w:val="20"/>
              </w:rPr>
              <w:t>High</w:t>
            </w:r>
          </w:p>
        </w:tc>
        <w:tc>
          <w:tcPr>
            <w:tcW w:w="3600" w:type="dxa"/>
            <w:tcBorders/>
          </w:tcPr>
          <w:p w14:paraId="36D6F698">
            <w:pPr>
              <w:pStyle w:val="style0"/>
              <w:rPr/>
            </w:pPr>
            <w:r>
              <w:rPr>
                <w:b w:val="false"/>
                <w:bCs w:val="false"/>
                <w:sz w:val="20"/>
                <w:szCs w:val="20"/>
              </w:rPr>
              <w:t>Decreases as degree rises</w:t>
            </w:r>
          </w:p>
        </w:tc>
      </w:tr>
      <w:tr w14:paraId="26D10D87">
        <w:tblPrEx/>
        <w:trPr/>
        <w:tc>
          <w:tcPr>
            <w:tcW w:w="2400" w:type="dxa"/>
            <w:tcBorders/>
          </w:tcPr>
          <w:p w14:paraId="183DFF07">
            <w:pPr>
              <w:pStyle w:val="style0"/>
              <w:rPr/>
            </w:pPr>
            <w:r>
              <w:rPr>
                <w:b w:val="false"/>
                <w:bCs w:val="false"/>
                <w:sz w:val="20"/>
                <w:szCs w:val="20"/>
              </w:rPr>
              <w:t>Best use case</w:t>
            </w:r>
          </w:p>
        </w:tc>
        <w:tc>
          <w:tcPr>
            <w:tcW w:w="3600" w:type="dxa"/>
            <w:tcBorders/>
          </w:tcPr>
          <w:p w14:paraId="F175778E">
            <w:pPr>
              <w:pStyle w:val="style0"/>
              <w:rPr/>
            </w:pPr>
            <w:r>
              <w:rPr>
                <w:b w:val="false"/>
                <w:bCs w:val="false"/>
                <w:sz w:val="20"/>
                <w:szCs w:val="20"/>
              </w:rPr>
              <w:t>Near-linear price trends</w:t>
            </w:r>
          </w:p>
        </w:tc>
        <w:tc>
          <w:tcPr>
            <w:tcW w:w="3600" w:type="dxa"/>
            <w:tcBorders/>
          </w:tcPr>
          <w:p w14:paraId="39595EBA">
            <w:pPr>
              <w:pStyle w:val="style0"/>
              <w:rPr/>
            </w:pPr>
            <w:r>
              <w:rPr>
                <w:b w:val="false"/>
                <w:bCs w:val="false"/>
                <w:sz w:val="20"/>
                <w:szCs w:val="20"/>
              </w:rPr>
              <w:t>Clear curved price trends</w:t>
            </w:r>
          </w:p>
        </w:tc>
      </w:tr>
    </w:tbl>
    <w:p w14:paraId="AA412C91">
      <w:pPr>
        <w:pStyle w:val="style0"/>
        <w:spacing w:before="150" w:after="80"/>
        <w:rPr/>
      </w:pPr>
      <w:r>
        <w:rPr>
          <w:b/>
          <w:bCs/>
        </w:rPr>
        <w:t>Illustrative Example</w:t>
      </w:r>
    </w:p>
    <w:p w14:paraId="49B6F6CE">
      <w:pPr>
        <w:pStyle w:val="style0"/>
        <w:spacing w:after="120"/>
        <w:rPr/>
      </w:pPr>
      <w:r>
        <w:t>Suppose a housing dataset shows price rising quickly with area for small apartments but flattening out for very large houses (a diminishing-returns effect). A Linear Regression model fit to this data would draw a single straight line, systematically over-predicting prices for very large houses and under-predicting for mid-sized ones — visible as a curved pattern in the residual plot. A degree-2 Polynomial Regression, by contrast, can bend to follow this saturation effect, producing a much better fit; however, pushing to a degree-6 or degree-8 polynomial to chase even small training-set fluctuations would likely overfit, producing wild oscillations between data points and poor predictions on new houses — this is why the polynomial degree should always be chosen using validation data rather than by maximizing training-set fit alone.</w:t>
      </w:r>
    </w:p>
    <w:p w14:paraId="2DEFF185">
      <w:pPr>
        <w:pStyle w:val="style4098"/>
        <w:spacing w:before="300" w:after="150"/>
        <w:rPr>
          <w:color w:val="000000"/>
        </w:rPr>
      </w:pPr>
      <w:r>
        <w:rPr>
          <w:color w:val="000000"/>
        </w:rPr>
        <w:t>Q2. RNN vs LSTM (Time-Series Prediction, e.g., Stock Price Forecasting)</w:t>
      </w:r>
    </w:p>
    <w:p w14:paraId="6E624643">
      <w:pPr>
        <w:pStyle w:val="style0"/>
        <w:spacing w:before="150" w:after="80"/>
        <w:rPr>
          <w:color w:val="000000"/>
        </w:rPr>
      </w:pPr>
      <w:r>
        <w:rPr>
          <w:b/>
          <w:bCs/>
          <w:color w:val="000000"/>
        </w:rPr>
        <w:t>Handling Long-Term Dependencies</w:t>
      </w:r>
    </w:p>
    <w:p w14:paraId="97721C3A">
      <w:pPr>
        <w:pStyle w:val="style0"/>
        <w:spacing w:after="120"/>
        <w:rPr/>
      </w:pPr>
      <w:r>
        <w:rPr>
          <w:color w:val="000000"/>
        </w:rPr>
        <w:t xml:space="preserve">A standard RNN processes sequences step-by-step, passing a hidden state forward, but its ability to </w:t>
      </w:r>
      <w:r>
        <w:t>retain information weakens rapidly as the sequence grows longer — it effectively 'forgets' patterns from many time steps earlier. LSTMs are explicitly designed to solve this: their memory cell, combined with input, forget, and output gates, learns which past information to retain or discard, allowing them to capture dependencies across long time horizons — important in stock forecasting where trends from weeks or months earlier can still be relevant.</w:t>
      </w:r>
    </w:p>
    <w:p w14:paraId="855673E9">
      <w:pPr>
        <w:pStyle w:val="style0"/>
        <w:spacing w:before="150" w:after="80"/>
        <w:rPr/>
      </w:pPr>
      <w:r>
        <w:rPr>
          <w:b/>
          <w:bCs/>
        </w:rPr>
        <w:t>Vanishing Gradient Problem</w:t>
      </w:r>
    </w:p>
    <w:p w14:paraId="4C7FD0EB">
      <w:pPr>
        <w:pStyle w:val="style0"/>
        <w:spacing w:after="120"/>
        <w:rPr/>
      </w:pPr>
      <w:r>
        <w:t>During backpropagation through time, RNNs repeatedly multiply gradients through the same weight matrix, causing gradients to shrink exponentially (vanish) or, less often, explode, over long sequences. This makes it very difficult for a plain RNN to learn from distant past data. LSTMs mitigate this through the gating mechanism and the additive cell-state update, which allows gradients to flow more directly across many time steps without vanishing as severely.</w:t>
      </w:r>
    </w:p>
    <w:p w14:paraId="560DB61C">
      <w:pPr>
        <w:pStyle w:val="style0"/>
        <w:spacing w:before="150" w:after="80"/>
        <w:rPr/>
      </w:pPr>
      <w:r>
        <w:rPr>
          <w:b/>
          <w:bCs/>
        </w:rPr>
        <w:t>Computational Complexity</w:t>
      </w:r>
    </w:p>
    <w:p w14:paraId="732164A6">
      <w:pPr>
        <w:pStyle w:val="style0"/>
        <w:spacing w:after="120"/>
        <w:rPr/>
      </w:pPr>
      <w:r>
        <w:t>RNNs have a simpler internal structure (a single tanh/activation update per step), so they are computationally cheaper and faster to train per step, with fewer parameters. LSTMs contain four internal gate computations per time step, giving them roughly four times as many parameters as an equivalent-size RNN, which increases training time, memory usage, and computational cost.</w:t>
      </w:r>
    </w:p>
    <w:p w14:paraId="F2DE22AF">
      <w:pPr>
        <w:pStyle w:val="style0"/>
        <w:spacing w:before="150" w:after="80"/>
        <w:rPr/>
      </w:pPr>
      <w:r>
        <w:rPr>
          <w:b/>
          <w:bCs/>
        </w:rPr>
        <w:t>Prediction Accuracy</w:t>
      </w:r>
    </w:p>
    <w:p w14:paraId="1347E84E">
      <w:pPr>
        <w:pStyle w:val="style0"/>
        <w:spacing w:after="120"/>
        <w:rPr/>
      </w:pPr>
      <w:r>
        <w:t>For short sequences or tasks with only short-term dependence, plain RNNs can perform comparably to LSTMs at a lower computational cost. For stock price forecasting, where relevant patterns (momentum, seasonal or cyclical effects) can span longer windows, LSTMs generally achieve higher and more stable prediction accuracy because they retain useful historical signal that a plain RNN would lose.</w:t>
      </w:r>
    </w:p>
    <w:p w14:paraId="13AD0C3E">
      <w:pPr>
        <w:pStyle w:val="style0"/>
        <w:spacing w:before="150" w:after="80"/>
        <w:rPr>
          <w:b/>
          <w:bCs/>
        </w:rPr>
      </w:pPr>
    </w:p>
    <w:p w14:paraId="F4E6E744">
      <w:pPr>
        <w:pStyle w:val="style0"/>
        <w:spacing w:before="150" w:after="80"/>
        <w:rPr/>
      </w:pPr>
      <w:r>
        <w:rPr>
          <w:b/>
          <w:bCs/>
        </w:rPr>
        <w:t>When Each Performs Better</w:t>
      </w:r>
    </w:p>
    <w:p w14:paraId="BA3EAD00">
      <w:pPr>
        <w:pStyle w:val="style179"/>
        <w:numPr>
          <w:ilvl w:val="0"/>
          <w:numId w:val="1"/>
        </w:numPr>
        <w:spacing w:after="60"/>
        <w:rPr/>
      </w:pPr>
      <w:r>
        <w:t>RNNs are preferable for short sequences, low-latency or resource-constrained applications, and quick baseline models.</w:t>
      </w:r>
    </w:p>
    <w:p w14:paraId="537587E4">
      <w:pPr>
        <w:pStyle w:val="style179"/>
        <w:numPr>
          <w:ilvl w:val="0"/>
          <w:numId w:val="1"/>
        </w:numPr>
        <w:spacing w:after="60"/>
        <w:rPr/>
      </w:pPr>
      <w:r>
        <w:t>LSTMs are preferable for longer sequences with long-range dependencies, such as multi-month stock trend forecasting, where accuracy justifies the added computational cost.</w:t>
      </w:r>
    </w:p>
    <w:p w14:paraId="BE3B3ABF">
      <w:pPr>
        <w:pStyle w:val="style179"/>
        <w:numPr>
          <w:ilvl w:val="0"/>
          <w:numId w:val="1"/>
        </w:numPr>
        <w:spacing w:after="60"/>
        <w:rPr/>
      </w:pPr>
      <w:r>
        <w:t>In practice, LSTMs (or GRUs, a lighter gated variant) are the default choice for financial time-series work, while plain RNNs are mainly used for teaching purposes or as a quick sanity-check baseline before moving to gated architectures.</w:t>
      </w:r>
    </w:p>
    <w:p w14:paraId="5F03BCFB">
      <w:pPr>
        <w:pStyle w:val="style0"/>
        <w:spacing w:before="150" w:after="80"/>
        <w:rPr/>
      </w:pPr>
      <w:r>
        <w:rPr>
          <w:b/>
          <w:bCs/>
        </w:rPr>
        <w:t>Summary Comparison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600"/>
        <w:gridCol w:w="3600"/>
      </w:tblGrid>
      <w:tr w14:paraId="8977CB02">
        <w:trPr/>
        <w:tc>
          <w:tcPr>
            <w:tcW w:w="2400" w:type="dxa"/>
            <w:tcBorders/>
            <w:shd w:val="clear" w:color="auto" w:fill="d9e2f3"/>
          </w:tcPr>
          <w:p w14:paraId="1CF05993">
            <w:pPr>
              <w:pStyle w:val="style0"/>
              <w:rPr/>
            </w:pPr>
            <w:r>
              <w:rPr>
                <w:b/>
                <w:bCs/>
                <w:sz w:val="20"/>
                <w:szCs w:val="20"/>
              </w:rPr>
              <w:t>Aspect</w:t>
            </w:r>
          </w:p>
        </w:tc>
        <w:tc>
          <w:tcPr>
            <w:tcW w:w="3600" w:type="dxa"/>
            <w:tcBorders/>
            <w:shd w:val="clear" w:color="auto" w:fill="d9e2f3"/>
          </w:tcPr>
          <w:p w14:paraId="94969CF6">
            <w:pPr>
              <w:pStyle w:val="style0"/>
              <w:rPr/>
            </w:pPr>
            <w:r>
              <w:rPr>
                <w:b/>
                <w:bCs/>
                <w:sz w:val="20"/>
                <w:szCs w:val="20"/>
              </w:rPr>
              <w:t>RNN</w:t>
            </w:r>
          </w:p>
        </w:tc>
        <w:tc>
          <w:tcPr>
            <w:tcW w:w="3600" w:type="dxa"/>
            <w:tcBorders/>
            <w:shd w:val="clear" w:color="auto" w:fill="d9e2f3"/>
          </w:tcPr>
          <w:p w14:paraId="7A2CF5B9">
            <w:pPr>
              <w:pStyle w:val="style0"/>
              <w:rPr/>
            </w:pPr>
            <w:r>
              <w:rPr>
                <w:b/>
                <w:bCs/>
                <w:sz w:val="20"/>
                <w:szCs w:val="20"/>
              </w:rPr>
              <w:t>LSTM</w:t>
            </w:r>
          </w:p>
        </w:tc>
      </w:tr>
      <w:tr w14:paraId="A9266F97">
        <w:tblPrEx/>
        <w:trPr/>
        <w:tc>
          <w:tcPr>
            <w:tcW w:w="2400" w:type="dxa"/>
            <w:tcBorders/>
          </w:tcPr>
          <w:p w14:paraId="AED9E6CA">
            <w:pPr>
              <w:pStyle w:val="style0"/>
              <w:rPr/>
            </w:pPr>
            <w:r>
              <w:rPr>
                <w:b w:val="false"/>
                <w:bCs w:val="false"/>
                <w:sz w:val="20"/>
                <w:szCs w:val="20"/>
              </w:rPr>
              <w:t>Memory mechanism</w:t>
            </w:r>
          </w:p>
        </w:tc>
        <w:tc>
          <w:tcPr>
            <w:tcW w:w="3600" w:type="dxa"/>
            <w:tcBorders/>
          </w:tcPr>
          <w:p w14:paraId="1DC391CA">
            <w:pPr>
              <w:pStyle w:val="style0"/>
              <w:rPr/>
            </w:pPr>
            <w:r>
              <w:rPr>
                <w:b w:val="false"/>
                <w:bCs w:val="false"/>
                <w:sz w:val="20"/>
                <w:szCs w:val="20"/>
              </w:rPr>
              <w:t>Single hidden state</w:t>
            </w:r>
          </w:p>
        </w:tc>
        <w:tc>
          <w:tcPr>
            <w:tcW w:w="3600" w:type="dxa"/>
            <w:tcBorders/>
          </w:tcPr>
          <w:p w14:paraId="86645B7A">
            <w:pPr>
              <w:pStyle w:val="style0"/>
              <w:rPr/>
            </w:pPr>
            <w:r>
              <w:rPr>
                <w:b w:val="false"/>
                <w:bCs w:val="false"/>
                <w:sz w:val="20"/>
                <w:szCs w:val="20"/>
              </w:rPr>
              <w:t>Cell state + 3 gates</w:t>
            </w:r>
          </w:p>
        </w:tc>
      </w:tr>
      <w:tr w14:paraId="2770C356">
        <w:tblPrEx/>
        <w:trPr/>
        <w:tc>
          <w:tcPr>
            <w:tcW w:w="2400" w:type="dxa"/>
            <w:tcBorders/>
          </w:tcPr>
          <w:p w14:paraId="56B272D2">
            <w:pPr>
              <w:pStyle w:val="style0"/>
              <w:rPr/>
            </w:pPr>
            <w:r>
              <w:rPr>
                <w:b w:val="false"/>
                <w:bCs w:val="false"/>
                <w:sz w:val="20"/>
                <w:szCs w:val="20"/>
              </w:rPr>
              <w:t>Long-term dependency</w:t>
            </w:r>
          </w:p>
        </w:tc>
        <w:tc>
          <w:tcPr>
            <w:tcW w:w="3600" w:type="dxa"/>
            <w:tcBorders/>
          </w:tcPr>
          <w:p w14:paraId="28E276EF">
            <w:pPr>
              <w:pStyle w:val="style0"/>
              <w:rPr/>
            </w:pPr>
            <w:r>
              <w:rPr>
                <w:b w:val="false"/>
                <w:bCs w:val="false"/>
                <w:sz w:val="20"/>
                <w:szCs w:val="20"/>
              </w:rPr>
              <w:t>Weak, decays quickly</w:t>
            </w:r>
          </w:p>
        </w:tc>
        <w:tc>
          <w:tcPr>
            <w:tcW w:w="3600" w:type="dxa"/>
            <w:tcBorders/>
          </w:tcPr>
          <w:p w14:paraId="DC74E1BD">
            <w:pPr>
              <w:pStyle w:val="style0"/>
              <w:rPr/>
            </w:pPr>
            <w:r>
              <w:rPr>
                <w:b w:val="false"/>
                <w:bCs w:val="false"/>
                <w:sz w:val="20"/>
                <w:szCs w:val="20"/>
              </w:rPr>
              <w:t>Strong, retained longer</w:t>
            </w:r>
          </w:p>
        </w:tc>
      </w:tr>
      <w:tr w14:paraId="51F552C3">
        <w:tblPrEx/>
        <w:trPr/>
        <w:tc>
          <w:tcPr>
            <w:tcW w:w="2400" w:type="dxa"/>
            <w:tcBorders/>
          </w:tcPr>
          <w:p w14:paraId="BA4ED733">
            <w:pPr>
              <w:pStyle w:val="style0"/>
              <w:rPr/>
            </w:pPr>
            <w:r>
              <w:rPr>
                <w:b w:val="false"/>
                <w:bCs w:val="false"/>
                <w:sz w:val="20"/>
                <w:szCs w:val="20"/>
              </w:rPr>
              <w:t>Vanishing gradient</w:t>
            </w:r>
          </w:p>
        </w:tc>
        <w:tc>
          <w:tcPr>
            <w:tcW w:w="3600" w:type="dxa"/>
            <w:tcBorders/>
          </w:tcPr>
          <w:p w14:paraId="15040B12">
            <w:pPr>
              <w:pStyle w:val="style0"/>
              <w:rPr/>
            </w:pPr>
            <w:r>
              <w:rPr>
                <w:b w:val="false"/>
                <w:bCs w:val="false"/>
                <w:sz w:val="20"/>
                <w:szCs w:val="20"/>
              </w:rPr>
              <w:t>Severe over long sequences</w:t>
            </w:r>
          </w:p>
        </w:tc>
        <w:tc>
          <w:tcPr>
            <w:tcW w:w="3600" w:type="dxa"/>
            <w:tcBorders/>
          </w:tcPr>
          <w:p w14:paraId="4D064E6B">
            <w:pPr>
              <w:pStyle w:val="style0"/>
              <w:rPr/>
            </w:pPr>
            <w:r>
              <w:rPr>
                <w:b w:val="false"/>
                <w:bCs w:val="false"/>
                <w:sz w:val="20"/>
                <w:szCs w:val="20"/>
              </w:rPr>
              <w:t>Substantially reduced</w:t>
            </w:r>
          </w:p>
        </w:tc>
      </w:tr>
      <w:tr w14:paraId="2126E581">
        <w:tblPrEx/>
        <w:trPr/>
        <w:tc>
          <w:tcPr>
            <w:tcW w:w="2400" w:type="dxa"/>
            <w:tcBorders/>
          </w:tcPr>
          <w:p w14:paraId="C5FA586C">
            <w:pPr>
              <w:pStyle w:val="style0"/>
              <w:rPr/>
            </w:pPr>
            <w:r>
              <w:rPr>
                <w:b w:val="false"/>
                <w:bCs w:val="false"/>
                <w:sz w:val="20"/>
                <w:szCs w:val="20"/>
              </w:rPr>
              <w:t>Parameters / cost</w:t>
            </w:r>
          </w:p>
        </w:tc>
        <w:tc>
          <w:tcPr>
            <w:tcW w:w="3600" w:type="dxa"/>
            <w:tcBorders/>
          </w:tcPr>
          <w:p w14:paraId="CA0677CB">
            <w:pPr>
              <w:pStyle w:val="style0"/>
              <w:rPr/>
            </w:pPr>
            <w:r>
              <w:rPr>
                <w:b w:val="false"/>
                <w:bCs w:val="false"/>
                <w:sz w:val="20"/>
                <w:szCs w:val="20"/>
              </w:rPr>
              <w:t>Fewer, cheaper to train</w:t>
            </w:r>
          </w:p>
        </w:tc>
        <w:tc>
          <w:tcPr>
            <w:tcW w:w="3600" w:type="dxa"/>
            <w:tcBorders/>
          </w:tcPr>
          <w:p w14:paraId="83885C34">
            <w:pPr>
              <w:pStyle w:val="style0"/>
              <w:rPr/>
            </w:pPr>
            <w:r>
              <w:rPr>
                <w:b w:val="false"/>
                <w:bCs w:val="false"/>
                <w:sz w:val="20"/>
                <w:szCs w:val="20"/>
              </w:rPr>
              <w:t>~4x more, costlier</w:t>
            </w:r>
          </w:p>
        </w:tc>
      </w:tr>
      <w:tr w14:paraId="30EA4FBE">
        <w:tblPrEx/>
        <w:trPr/>
        <w:tc>
          <w:tcPr>
            <w:tcW w:w="2400" w:type="dxa"/>
            <w:tcBorders/>
          </w:tcPr>
          <w:p w14:paraId="382D6DF9">
            <w:pPr>
              <w:pStyle w:val="style0"/>
              <w:rPr/>
            </w:pPr>
            <w:r>
              <w:rPr>
                <w:b w:val="false"/>
                <w:bCs w:val="false"/>
                <w:sz w:val="20"/>
                <w:szCs w:val="20"/>
              </w:rPr>
              <w:t>Training speed</w:t>
            </w:r>
          </w:p>
        </w:tc>
        <w:tc>
          <w:tcPr>
            <w:tcW w:w="3600" w:type="dxa"/>
            <w:tcBorders/>
          </w:tcPr>
          <w:p w14:paraId="C2DA9A91">
            <w:pPr>
              <w:pStyle w:val="style0"/>
              <w:rPr/>
            </w:pPr>
            <w:r>
              <w:rPr>
                <w:b w:val="false"/>
                <w:bCs w:val="false"/>
                <w:sz w:val="20"/>
                <w:szCs w:val="20"/>
              </w:rPr>
              <w:t>Faster per step</w:t>
            </w:r>
          </w:p>
        </w:tc>
        <w:tc>
          <w:tcPr>
            <w:tcW w:w="3600" w:type="dxa"/>
            <w:tcBorders/>
          </w:tcPr>
          <w:p w14:paraId="911A6E62">
            <w:pPr>
              <w:pStyle w:val="style0"/>
              <w:rPr/>
            </w:pPr>
            <w:r>
              <w:rPr>
                <w:b w:val="false"/>
                <w:bCs w:val="false"/>
                <w:sz w:val="20"/>
                <w:szCs w:val="20"/>
              </w:rPr>
              <w:t>Slower per step</w:t>
            </w:r>
          </w:p>
        </w:tc>
      </w:tr>
      <w:tr w14:paraId="B205D7D0">
        <w:tblPrEx/>
        <w:trPr/>
        <w:tc>
          <w:tcPr>
            <w:tcW w:w="2400" w:type="dxa"/>
            <w:tcBorders/>
          </w:tcPr>
          <w:p w14:paraId="3AF17246">
            <w:pPr>
              <w:pStyle w:val="style0"/>
              <w:rPr/>
            </w:pPr>
            <w:r>
              <w:rPr>
                <w:b w:val="false"/>
                <w:bCs w:val="false"/>
                <w:sz w:val="20"/>
                <w:szCs w:val="20"/>
              </w:rPr>
              <w:t>Best use case</w:t>
            </w:r>
          </w:p>
        </w:tc>
        <w:tc>
          <w:tcPr>
            <w:tcW w:w="3600" w:type="dxa"/>
            <w:tcBorders/>
          </w:tcPr>
          <w:p w14:paraId="D6E67CC7">
            <w:pPr>
              <w:pStyle w:val="style0"/>
              <w:rPr/>
            </w:pPr>
            <w:r>
              <w:rPr>
                <w:b w:val="false"/>
                <w:bCs w:val="false"/>
                <w:sz w:val="20"/>
                <w:szCs w:val="20"/>
              </w:rPr>
              <w:t>Short sequences, baseline</w:t>
            </w:r>
          </w:p>
        </w:tc>
        <w:tc>
          <w:tcPr>
            <w:tcW w:w="3600" w:type="dxa"/>
            <w:tcBorders/>
          </w:tcPr>
          <w:p w14:paraId="95AE85E9">
            <w:pPr>
              <w:pStyle w:val="style0"/>
              <w:rPr/>
            </w:pPr>
            <w:r>
              <w:rPr>
                <w:b w:val="false"/>
                <w:bCs w:val="false"/>
                <w:sz w:val="20"/>
                <w:szCs w:val="20"/>
              </w:rPr>
              <w:t>Long sequences, higher accuracy</w:t>
            </w:r>
          </w:p>
        </w:tc>
      </w:tr>
    </w:tbl>
    <w:p w14:paraId="222C0DE8">
      <w:pPr>
        <w:pStyle w:val="style0"/>
        <w:spacing w:before="150" w:after="80"/>
        <w:rPr/>
      </w:pPr>
      <w:r>
        <w:rPr>
          <w:b/>
          <w:bCs/>
        </w:rPr>
        <w:t>Illustrative Example</w:t>
      </w:r>
    </w:p>
    <w:p w14:paraId="2448AABF">
      <w:pPr>
        <w:pStyle w:val="style0"/>
        <w:spacing w:after="120"/>
        <w:rPr/>
      </w:pPr>
      <w:r>
        <w:t>Consider forecasting a stock's closing price using the previous 60 trading days as input. A plain RNN, when trained on this sequence, tends to weight only the most recent 5-10 days heavily because gradients from earlier days vanish during backpropagation — so it may miss a slow-building momentum trend that started 40 days earlier. An LSTM trained on the same 60-day window can use its forget and input gates to retain the early momentum signal in its cell state while still updating on recent price movements, typically producing forecasts that track medium-term trends more accurately, at the cost of roughly 4x the trainable parameters and longer training time per epoch.</w:t>
      </w:r>
    </w:p>
    <w:p w14:paraId="1F6C77D3">
      <w:pPr>
        <w:pStyle w:val="style4098"/>
        <w:spacing w:before="300" w:after="150"/>
        <w:rPr>
          <w:color w:val="000000"/>
        </w:rPr>
      </w:pPr>
      <w:r>
        <w:rPr>
          <w:color w:val="000000"/>
        </w:rPr>
        <w:t>Q3. Naïve Bayes vs Support Vector Machines (Sentiment Analysis / Classification)</w:t>
      </w:r>
    </w:p>
    <w:p w14:paraId="1153EB28">
      <w:pPr>
        <w:pStyle w:val="style0"/>
        <w:spacing w:before="150" w:after="80"/>
        <w:rPr/>
      </w:pPr>
      <w:r>
        <w:rPr>
          <w:b/>
          <w:bCs/>
        </w:rPr>
        <w:t>Assumptions</w:t>
      </w:r>
    </w:p>
    <w:p w14:paraId="C276E15E">
      <w:pPr>
        <w:pStyle w:val="style0"/>
        <w:spacing w:after="120"/>
        <w:rPr/>
      </w:pPr>
      <w:r>
        <w:t>Naïve Bayes assumes conditional independence between features given the class — e.g., it assumes each word in a review contributes independently to the sentiment label, which is rarely fully true in language but often works well in practice. SVM makes no such independence assumption; it only assumes that the classes can be separated (in the original or a transformed/kernel feature space) by a maximum-margin boundary.</w:t>
      </w:r>
    </w:p>
    <w:p w14:paraId="AFEBD4A4">
      <w:pPr>
        <w:pStyle w:val="style0"/>
        <w:spacing w:before="150" w:after="80"/>
        <w:rPr/>
      </w:pPr>
      <w:r>
        <w:rPr>
          <w:b/>
          <w:bCs/>
        </w:rPr>
        <w:t>Decision Boundaries</w:t>
      </w:r>
    </w:p>
    <w:p w14:paraId="F33D1332">
      <w:pPr>
        <w:pStyle w:val="style0"/>
        <w:spacing w:after="120"/>
        <w:rPr/>
      </w:pPr>
      <w:r>
        <w:t>Naïve Bayes produces a decision boundary derived from probability estimates (based on Bayes' theorem and feature likelihoods), which is typically linear for common distributional assumptions like Gaussian or Multinomial Naïve Bayes. SVM explicitly constructs the maximum-margin hyperplane between classes, and with kernel functions (e.g., RBF), it can form flexible non-linear decision boundaries, often giving better separation on complex text-feature spaces.</w:t>
      </w:r>
    </w:p>
    <w:p w14:paraId="AC57DCBB">
      <w:pPr>
        <w:pStyle w:val="style0"/>
        <w:spacing w:before="150" w:after="80"/>
        <w:rPr/>
      </w:pPr>
      <w:r>
        <w:rPr>
          <w:b/>
          <w:bCs/>
        </w:rPr>
        <w:t>Computational Efficiency</w:t>
      </w:r>
    </w:p>
    <w:p w14:paraId="006EDBD6">
      <w:pPr>
        <w:pStyle w:val="style0"/>
        <w:spacing w:after="120"/>
        <w:rPr/>
      </w:pPr>
      <w:r>
        <w:t>Naïve Bayes is extremely fast to train and predict since it only requires computing feature frequency/probability statistics in a single pass over the data, and it scales well to very large datasets and vocabularies. SVM training is more computationally expensive, particularly with non-linear kernels, since it involves solving a quadratic optimization problem whose cost grows with the number of training samples.</w:t>
      </w:r>
    </w:p>
    <w:p w14:paraId="8E639C14">
      <w:pPr>
        <w:pStyle w:val="style0"/>
        <w:spacing w:before="150" w:after="80"/>
        <w:rPr/>
      </w:pPr>
      <w:r>
        <w:rPr>
          <w:b/>
          <w:bCs/>
        </w:rPr>
        <w:t>Performance on High-Dimensional Data</w:t>
      </w:r>
    </w:p>
    <w:p w14:paraId="5522DC82">
      <w:pPr>
        <w:pStyle w:val="style0"/>
        <w:spacing w:after="120"/>
        <w:rPr/>
      </w:pPr>
      <w:r>
        <w:t>Text data such as reviews produces very high-dimensional, sparse feature vectors (bag-of-words/TF-IDF). Naïve Bayes handles this well and remains effective even with limited training data. SVMs are also well-suited to high-dimensional sparse data and often achieve higher accuracy than Naïve Bayes on such data, especially with a linear kernel, because the margin-maximization approach generalizes well in high dimensions, though it needs more data and tuning to reach that performance.</w:t>
      </w:r>
    </w:p>
    <w:p w14:paraId="1F936EEE">
      <w:pPr>
        <w:pStyle w:val="style0"/>
        <w:spacing w:before="150" w:after="80"/>
        <w:rPr/>
      </w:pPr>
      <w:r>
        <w:rPr>
          <w:b/>
          <w:bCs/>
        </w:rPr>
        <w:t>When Each Method Is Preferable</w:t>
      </w:r>
    </w:p>
    <w:p w14:paraId="5EB86709">
      <w:pPr>
        <w:pStyle w:val="style179"/>
        <w:numPr>
          <w:ilvl w:val="0"/>
          <w:numId w:val="1"/>
        </w:numPr>
        <w:spacing w:after="60"/>
        <w:rPr/>
      </w:pPr>
      <w:r>
        <w:t>Naïve Bayes is preferable when training data is limited, fast training/prediction is required (e.g., real-time filtering), or as a strong, simple baseline for text classification.</w:t>
      </w:r>
    </w:p>
    <w:p w14:paraId="8E9D4571">
      <w:pPr>
        <w:pStyle w:val="style179"/>
        <w:numPr>
          <w:ilvl w:val="0"/>
          <w:numId w:val="1"/>
        </w:numPr>
        <w:spacing w:after="60"/>
        <w:rPr/>
      </w:pPr>
      <w:r>
        <w:t>SVM is preferable when higher classification accuracy is the priority, sufficient training data and computational resources are available, and the decision boundary between sentiment classes is complex or not well captured by independence assumptions.</w:t>
      </w:r>
    </w:p>
    <w:p w14:paraId="63171C3D">
      <w:pPr>
        <w:pStyle w:val="style179"/>
        <w:numPr>
          <w:ilvl w:val="0"/>
          <w:numId w:val="1"/>
        </w:numPr>
        <w:spacing w:after="60"/>
        <w:rPr/>
      </w:pPr>
      <w:r>
        <w:t>In real sentiment-analysis pipelines, Naïve Bayes is often used first for a fast baseline and for spam-style filters at scale, while SVM (typically with a linear kernel on TF-IDF features) is used when the extra accuracy justifies the higher training cost, such as in production-grade review classifiers.</w:t>
      </w:r>
    </w:p>
    <w:p w14:paraId="30479D36">
      <w:pPr>
        <w:pStyle w:val="style0"/>
        <w:spacing w:before="150" w:after="80"/>
        <w:rPr/>
      </w:pPr>
      <w:r>
        <w:rPr>
          <w:b/>
          <w:bCs/>
        </w:rPr>
        <w:t>Summary Comparison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600"/>
        <w:gridCol w:w="3600"/>
      </w:tblGrid>
      <w:tr w14:paraId="8277A404">
        <w:trPr/>
        <w:tc>
          <w:tcPr>
            <w:tcW w:w="2400" w:type="dxa"/>
            <w:tcBorders/>
            <w:shd w:val="clear" w:color="auto" w:fill="d9e2f3"/>
          </w:tcPr>
          <w:p w14:paraId="811F58A8">
            <w:pPr>
              <w:pStyle w:val="style0"/>
              <w:rPr/>
            </w:pPr>
            <w:r>
              <w:rPr>
                <w:b/>
                <w:bCs/>
                <w:sz w:val="20"/>
                <w:szCs w:val="20"/>
              </w:rPr>
              <w:t>Aspect</w:t>
            </w:r>
          </w:p>
        </w:tc>
        <w:tc>
          <w:tcPr>
            <w:tcW w:w="3600" w:type="dxa"/>
            <w:tcBorders/>
            <w:shd w:val="clear" w:color="auto" w:fill="d9e2f3"/>
          </w:tcPr>
          <w:p w14:paraId="0A298C1A">
            <w:pPr>
              <w:pStyle w:val="style0"/>
              <w:rPr/>
            </w:pPr>
            <w:r>
              <w:rPr>
                <w:b/>
                <w:bCs/>
                <w:sz w:val="20"/>
                <w:szCs w:val="20"/>
              </w:rPr>
              <w:t>Naïve Bayes</w:t>
            </w:r>
          </w:p>
        </w:tc>
        <w:tc>
          <w:tcPr>
            <w:tcW w:w="3600" w:type="dxa"/>
            <w:tcBorders/>
            <w:shd w:val="clear" w:color="auto" w:fill="d9e2f3"/>
          </w:tcPr>
          <w:p w14:paraId="92AB8184">
            <w:pPr>
              <w:pStyle w:val="style0"/>
              <w:rPr/>
            </w:pPr>
            <w:r>
              <w:rPr>
                <w:b/>
                <w:bCs/>
                <w:sz w:val="20"/>
                <w:szCs w:val="20"/>
              </w:rPr>
              <w:t>SVM</w:t>
            </w:r>
          </w:p>
        </w:tc>
      </w:tr>
      <w:tr w14:paraId="5836789C">
        <w:tblPrEx/>
        <w:trPr/>
        <w:tc>
          <w:tcPr>
            <w:tcW w:w="2400" w:type="dxa"/>
            <w:tcBorders/>
          </w:tcPr>
          <w:p w14:paraId="9077ABC8">
            <w:pPr>
              <w:pStyle w:val="style0"/>
              <w:rPr/>
            </w:pPr>
            <w:r>
              <w:rPr>
                <w:b w:val="false"/>
                <w:bCs w:val="false"/>
                <w:sz w:val="20"/>
                <w:szCs w:val="20"/>
              </w:rPr>
              <w:t>Core assumption</w:t>
            </w:r>
          </w:p>
        </w:tc>
        <w:tc>
          <w:tcPr>
            <w:tcW w:w="3600" w:type="dxa"/>
            <w:tcBorders/>
          </w:tcPr>
          <w:p w14:paraId="86551D5E">
            <w:pPr>
              <w:pStyle w:val="style0"/>
              <w:rPr/>
            </w:pPr>
            <w:r>
              <w:rPr>
                <w:b w:val="false"/>
                <w:bCs w:val="false"/>
                <w:sz w:val="20"/>
                <w:szCs w:val="20"/>
              </w:rPr>
              <w:t>Feature independence given class</w:t>
            </w:r>
          </w:p>
        </w:tc>
        <w:tc>
          <w:tcPr>
            <w:tcW w:w="3600" w:type="dxa"/>
            <w:tcBorders/>
          </w:tcPr>
          <w:p w14:paraId="AEA3C42C">
            <w:pPr>
              <w:pStyle w:val="style0"/>
              <w:rPr/>
            </w:pPr>
            <w:r>
              <w:rPr>
                <w:b w:val="false"/>
                <w:bCs w:val="false"/>
                <w:sz w:val="20"/>
                <w:szCs w:val="20"/>
              </w:rPr>
              <w:t>Classes separable by max-margin</w:t>
            </w:r>
          </w:p>
        </w:tc>
      </w:tr>
      <w:tr w14:paraId="B349DC17">
        <w:tblPrEx/>
        <w:trPr/>
        <w:tc>
          <w:tcPr>
            <w:tcW w:w="2400" w:type="dxa"/>
            <w:tcBorders/>
          </w:tcPr>
          <w:p w14:paraId="8684CB77">
            <w:pPr>
              <w:pStyle w:val="style0"/>
              <w:rPr/>
            </w:pPr>
            <w:r>
              <w:rPr>
                <w:b w:val="false"/>
                <w:bCs w:val="false"/>
                <w:sz w:val="20"/>
                <w:szCs w:val="20"/>
              </w:rPr>
              <w:t>Decision boundary</w:t>
            </w:r>
          </w:p>
        </w:tc>
        <w:tc>
          <w:tcPr>
            <w:tcW w:w="3600" w:type="dxa"/>
            <w:tcBorders/>
          </w:tcPr>
          <w:p w14:paraId="BE1FF8C8">
            <w:pPr>
              <w:pStyle w:val="style0"/>
              <w:rPr/>
            </w:pPr>
            <w:r>
              <w:rPr>
                <w:b w:val="false"/>
                <w:bCs w:val="false"/>
                <w:sz w:val="20"/>
                <w:szCs w:val="20"/>
              </w:rPr>
              <w:t>Typically linear (probabilistic)</w:t>
            </w:r>
          </w:p>
        </w:tc>
        <w:tc>
          <w:tcPr>
            <w:tcW w:w="3600" w:type="dxa"/>
            <w:tcBorders/>
          </w:tcPr>
          <w:p w14:paraId="777F7C0A">
            <w:pPr>
              <w:pStyle w:val="style0"/>
              <w:rPr/>
            </w:pPr>
            <w:r>
              <w:rPr>
                <w:b w:val="false"/>
                <w:bCs w:val="false"/>
                <w:sz w:val="20"/>
                <w:szCs w:val="20"/>
              </w:rPr>
              <w:t>Linear or non-linear (kernel)</w:t>
            </w:r>
          </w:p>
        </w:tc>
      </w:tr>
      <w:tr w14:paraId="CB913565">
        <w:tblPrEx/>
        <w:trPr/>
        <w:tc>
          <w:tcPr>
            <w:tcW w:w="2400" w:type="dxa"/>
            <w:tcBorders/>
          </w:tcPr>
          <w:p w14:paraId="C08008F0">
            <w:pPr>
              <w:pStyle w:val="style0"/>
              <w:rPr/>
            </w:pPr>
            <w:r>
              <w:rPr>
                <w:b w:val="false"/>
                <w:bCs w:val="false"/>
                <w:sz w:val="20"/>
                <w:szCs w:val="20"/>
              </w:rPr>
              <w:t>Training speed</w:t>
            </w:r>
          </w:p>
        </w:tc>
        <w:tc>
          <w:tcPr>
            <w:tcW w:w="3600" w:type="dxa"/>
            <w:tcBorders/>
          </w:tcPr>
          <w:p w14:paraId="60FFBD11">
            <w:pPr>
              <w:pStyle w:val="style0"/>
              <w:rPr/>
            </w:pPr>
            <w:r>
              <w:rPr>
                <w:b w:val="false"/>
                <w:bCs w:val="false"/>
                <w:sz w:val="20"/>
                <w:szCs w:val="20"/>
              </w:rPr>
              <w:t>Very fast, single pass</w:t>
            </w:r>
          </w:p>
        </w:tc>
        <w:tc>
          <w:tcPr>
            <w:tcW w:w="3600" w:type="dxa"/>
            <w:tcBorders/>
          </w:tcPr>
          <w:p w14:paraId="88ADBFC2">
            <w:pPr>
              <w:pStyle w:val="style0"/>
              <w:rPr/>
            </w:pPr>
            <w:r>
              <w:rPr>
                <w:b w:val="false"/>
                <w:bCs w:val="false"/>
                <w:sz w:val="20"/>
                <w:szCs w:val="20"/>
              </w:rPr>
              <w:t>Slower, optimization-based</w:t>
            </w:r>
          </w:p>
        </w:tc>
      </w:tr>
      <w:tr w14:paraId="5A732ED6">
        <w:tblPrEx/>
        <w:trPr/>
        <w:tc>
          <w:tcPr>
            <w:tcW w:w="2400" w:type="dxa"/>
            <w:tcBorders/>
          </w:tcPr>
          <w:p w14:paraId="36F50886">
            <w:pPr>
              <w:pStyle w:val="style0"/>
              <w:rPr/>
            </w:pPr>
            <w:r>
              <w:rPr>
                <w:b w:val="false"/>
                <w:bCs w:val="false"/>
                <w:sz w:val="20"/>
                <w:szCs w:val="20"/>
              </w:rPr>
              <w:t>High-dim sparse text</w:t>
            </w:r>
          </w:p>
        </w:tc>
        <w:tc>
          <w:tcPr>
            <w:tcW w:w="3600" w:type="dxa"/>
            <w:tcBorders/>
          </w:tcPr>
          <w:p w14:paraId="81BE7B71">
            <w:pPr>
              <w:pStyle w:val="style0"/>
              <w:rPr/>
            </w:pPr>
            <w:r>
              <w:rPr>
                <w:b w:val="false"/>
                <w:bCs w:val="false"/>
                <w:sz w:val="20"/>
                <w:szCs w:val="20"/>
              </w:rPr>
              <w:t>Handles well, low data need</w:t>
            </w:r>
          </w:p>
        </w:tc>
        <w:tc>
          <w:tcPr>
            <w:tcW w:w="3600" w:type="dxa"/>
            <w:tcBorders/>
          </w:tcPr>
          <w:p w14:paraId="80CA26B0">
            <w:pPr>
              <w:pStyle w:val="style0"/>
              <w:rPr/>
            </w:pPr>
            <w:r>
              <w:rPr>
                <w:b w:val="false"/>
                <w:bCs w:val="false"/>
                <w:sz w:val="20"/>
                <w:szCs w:val="20"/>
              </w:rPr>
              <w:t>Handles well, often more accurate</w:t>
            </w:r>
          </w:p>
        </w:tc>
      </w:tr>
      <w:tr w14:paraId="EBD30BFC">
        <w:tblPrEx/>
        <w:trPr/>
        <w:tc>
          <w:tcPr>
            <w:tcW w:w="2400" w:type="dxa"/>
            <w:tcBorders/>
          </w:tcPr>
          <w:p w14:paraId="FE21F7C7">
            <w:pPr>
              <w:pStyle w:val="style0"/>
              <w:rPr/>
            </w:pPr>
            <w:r>
              <w:rPr>
                <w:b w:val="false"/>
                <w:bCs w:val="false"/>
                <w:sz w:val="20"/>
                <w:szCs w:val="20"/>
              </w:rPr>
              <w:t>Best use case</w:t>
            </w:r>
          </w:p>
        </w:tc>
        <w:tc>
          <w:tcPr>
            <w:tcW w:w="3600" w:type="dxa"/>
            <w:tcBorders/>
          </w:tcPr>
          <w:p w14:paraId="F33E9F7C">
            <w:pPr>
              <w:pStyle w:val="style0"/>
              <w:rPr/>
            </w:pPr>
            <w:r>
              <w:rPr>
                <w:b w:val="false"/>
                <w:bCs w:val="false"/>
                <w:sz w:val="20"/>
                <w:szCs w:val="20"/>
              </w:rPr>
              <w:t>Fast baseline, limited data</w:t>
            </w:r>
          </w:p>
        </w:tc>
        <w:tc>
          <w:tcPr>
            <w:tcW w:w="3600" w:type="dxa"/>
            <w:tcBorders/>
          </w:tcPr>
          <w:p w14:paraId="AED012B7">
            <w:pPr>
              <w:pStyle w:val="style0"/>
              <w:rPr/>
            </w:pPr>
            <w:r>
              <w:rPr>
                <w:b w:val="false"/>
                <w:bCs w:val="false"/>
                <w:sz w:val="20"/>
                <w:szCs w:val="20"/>
              </w:rPr>
              <w:t>Higher accuracy, complex boundaries</w:t>
            </w:r>
          </w:p>
        </w:tc>
      </w:tr>
    </w:tbl>
    <w:p w14:paraId="FD13754B">
      <w:pPr>
        <w:pStyle w:val="style0"/>
        <w:spacing w:before="150" w:after="80"/>
        <w:rPr/>
      </w:pPr>
      <w:r>
        <w:rPr>
          <w:b/>
          <w:bCs/>
        </w:rPr>
        <w:t>Illustrative Example</w:t>
      </w:r>
    </w:p>
    <w:p w14:paraId="FA2A88D2">
      <w:pPr>
        <w:pStyle w:val="style0"/>
        <w:spacing w:after="120"/>
        <w:rPr/>
      </w:pPr>
      <w:r>
        <w:t>For classifying product reviews as positive or negative, a Multinomial Naïve Bayes model trained on word-frequency features can be built and evaluated in seconds, even on hundreds of thousands of reviews, making it ideal for a first working system. However, because it assumes each word contributes independently to sentiment, it can misjudge reviews containing negation or sarcasm (e.g., 'not bad at all' or 'great, just what I needed — another broken product'), where word combinations matter more than individual words. An SVM trained on the same TF-IDF features, especially with a linear kernel, can better exploit combinations of features near the decision boundary and often improves accuracy on such nuanced reviews, though at a noticeably higher training cost as the review corpus grows.</w:t>
      </w:r>
    </w:p>
    <w:p w14:paraId="613BBC14">
      <w:pPr>
        <w:pStyle w:val="style0"/>
        <w:spacing w:before="300" w:after="120"/>
        <w:rPr/>
      </w:pPr>
      <w:r>
        <w:rPr>
          <w:b/>
          <w:bCs/>
          <w:sz w:val="24"/>
          <w:szCs w:val="24"/>
        </w:rPr>
        <w:t>Overall Conclusion</w:t>
      </w:r>
    </w:p>
    <w:p w14:paraId="9F70FBB1">
      <w:pPr>
        <w:pStyle w:val="style0"/>
        <w:spacing w:after="120"/>
        <w:rPr/>
      </w:pPr>
      <w:r>
        <w:t>Across all three comparisons, the same underlying trade-off recurs: simpler models (Linear Regression, RNN, Naïve Bayes) are faster, more interpretable, and less prone to overfitting on small data, while their more sophisticated counterparts (Polynomial Regression, LSTM, SVM) can model more complex relationships and typically achieve higher accuracy at the cost of increased computation, reduced interpretability, and greater sensitivity to overfitting if not tuned carefully. The right choice in each case depends on the size and nature of the dataset, the complexity of the underlying relationship, and whether interpretability or raw predictive accuracy is the priority.</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092c6a47-cc32-4dd5-8096-b38840ddb4db"/>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1835</Words>
  <Characters>10801</Characters>
  <Application>WPS Office</Application>
  <Paragraphs>139</Paragraphs>
  <CharactersWithSpaces>12524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2026-08-14T15:41:59Z</dcterms:created>
  <dc:creator>Un-named</dc:creator>
  <lastModifiedBy>CPH2637</lastModifiedBy>
  <dcterms:modified xsi:type="dcterms:W3CDTF">2026-08-14T15:41:59Z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22725c8323e9445cbaa9eae855102a54_23</vt:lpwstr>
  </property>
</Properties>
</file>