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56"/>
          <w:shd w:fill="auto" w:val="clear"/>
        </w:rPr>
      </w:pPr>
      <w:r>
        <w:rPr>
          <w:rFonts w:ascii="Times New Roman" w:hAnsi="Times New Roman" w:cs="Times New Roman" w:eastAsia="Times New Roman"/>
          <w:color w:val="auto"/>
          <w:spacing w:val="0"/>
          <w:position w:val="0"/>
          <w:sz w:val="56"/>
          <w:shd w:fill="auto" w:val="clear"/>
        </w:rPr>
        <w:t xml:space="preserve">CO3 </w:t>
      </w:r>
      <w:r>
        <w:rPr>
          <w:rFonts w:ascii="Times New Roman" w:hAnsi="Times New Roman" w:cs="Times New Roman" w:eastAsia="Times New Roman"/>
          <w:color w:val="auto"/>
          <w:spacing w:val="0"/>
          <w:position w:val="0"/>
          <w:sz w:val="56"/>
          <w:shd w:fill="auto" w:val="clear"/>
        </w:rPr>
        <w:t xml:space="preserve">–</w:t>
      </w:r>
      <w:r>
        <w:rPr>
          <w:rFonts w:ascii="Times New Roman" w:hAnsi="Times New Roman" w:cs="Times New Roman" w:eastAsia="Times New Roman"/>
          <w:color w:val="auto"/>
          <w:spacing w:val="0"/>
          <w:position w:val="0"/>
          <w:sz w:val="56"/>
          <w:shd w:fill="auto" w:val="clear"/>
        </w:rPr>
        <w:t xml:space="preserve"> AT</w:t>
      </w:r>
      <w:r>
        <w:rPr>
          <w:rFonts w:ascii="Times New Roman" w:hAnsi="Times New Roman" w:cs="Times New Roman" w:eastAsia="Times New Roman"/>
          <w:color w:val="auto"/>
          <w:spacing w:val="0"/>
          <w:position w:val="0"/>
          <w:sz w:val="56"/>
          <w:shd w:fill="auto" w:val="clear"/>
        </w:rPr>
        <w:t xml:space="preserve">1</w:t>
      </w:r>
      <w:r>
        <w:rPr>
          <w:rFonts w:ascii="Times New Roman" w:hAnsi="Times New Roman" w:cs="Times New Roman" w:eastAsia="Times New Roman"/>
          <w:color w:val="auto"/>
          <w:spacing w:val="0"/>
          <w:position w:val="0"/>
          <w:sz w:val="56"/>
          <w:shd w:fill="auto" w:val="clear"/>
        </w:rPr>
        <w:t xml:space="preserve"> Descriptive Answers</w:t>
      </w:r>
    </w:p>
    <w:p>
      <w:pPr>
        <w:spacing w:before="0" w:after="3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Questions 3 &amp; 4: EM for Gaussian Mixture Models and Bayesian Belief Networks</w:t>
      </w:r>
    </w:p>
    <w:p>
      <w:pPr>
        <w:spacing w:before="300" w:after="15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Q3. Implement EM for a Mixture Model and Study Convergence Behaviour</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3.1 Aim</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implement the Expectation-Maximization (EM) algorithm for a Gaussian Mixture Model (GMM), and to study experimentally how the choice of initialization and the number of clusters (K) affect convergence speed, final log-likelihood, and the tendency of EM to settle into local optima.</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3.2 Dataset</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synthetic 2-D dataset was generated using sklearn.datasets.make_blobs with 3 well-separated Gaussian components (600 points) for the initial experiments, and a second, more overlapping 4-component dataset (500 points, larger spread) was used specifically to induce local optima.</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3.3 Implementation</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EM algorithm was implemented from scratch (E-step / M-step) with full-covariance Gaussians: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import numpy as np</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from scipy.stats import multivariate_normal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def em_gmm(X, K, init='random', seed=0, max_iter=200, tol=1e-4, reg=1e-6):</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rng = np.random.RandomState(seed)</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n, d = X.shape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 ---- Initialization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if init == 'random':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idx = rng.choice(n, K, replace=False)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means = X[idx].copy()</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elif init == 'kmeans++':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from sklearn.cluster import KMeans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km = KMeans(n_clusters=K, n_init=1, init='k-means++',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random_state=seed).fit(X)</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means = km.cluster_centers_.copy()</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covs = np.array([np.eye(d)*np.var(X, axis=0).mean() for _ in range(K)])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weights = np.ones(K) / 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log_likelihoods =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for it in range(max_iter):</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 ---- E-step: responsibilities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resp = np.zeros((n, 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for k in range(K):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resp[:, k] = weights[k] * multivariate_normal.pdf(</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X, means[k], covs[k], allow_singular=True)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total = resp.sum(axis=1, keepdims=True)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resp = resp / total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ll = np.sum(np.log(total.flatten() + 1e-300))</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log_likelihoods.append(ll)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 ---- M-step: update parameters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Nk = resp.sum(axis=0)</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for k in range(K):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means[k] = (resp[:, k:k+1]*X).sum(axis=0) / Nk[k]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diff = X - means[k]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covs[k] = (resp[:, k:k+1]*diff).T @ diff / Nk[k] + np.eye(d)*reg</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weights[k] = Nk[k] / n</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 ---- Convergence check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if it &gt; 0 and abs(log_likelihoods[-1]-log_likelihoods[-2]) &lt; tol: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break</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return means, covs, weights, log_likelihoods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3.4 Experiment A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Effect of Initialization (K = 3, well-separated data)</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Five random initializations and one k-means++ initialization were compared:</w:t>
      </w:r>
    </w:p>
    <w:tbl>
      <w:tblPr/>
      <w:tblGrid>
        <w:gridCol w:w="3000"/>
        <w:gridCol w:w="3000"/>
        <w:gridCol w:w="3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Initialization</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Iterations to Converge</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Final Log-Likelihood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random-seed0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random-seed1</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29</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random-seed2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random-seed3</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33</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random-seed4</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15</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kmeans++</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8</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bl>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7200" w:dyaOrig="5400">
          <v:rect xmlns:o="urn:schemas-microsoft-com:office:office" xmlns:v="urn:schemas-microsoft-com:vml" id="rectole0000000000" style="width:360.000000pt;height:270.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Observation: On this well-separated dataset, every initialization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random or k-means++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converged to the same final log-likelihood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-2388.72), i.e. the global optimum. The difference was only in convergence speed: k-means++ converged fastest (8 iterations), while poor random seeds took up to 33 iterations. This shows that when clusters are well separated, EM is fairly robust to initialization, but a good initialization still meaningfully reduces the number of iterations needed.</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3.5 Experiment B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Effect of Number of Clusters K</w:t>
      </w:r>
    </w:p>
    <w:tbl>
      <w:tblPr/>
      <w:tblGrid>
        <w:gridCol w:w="3000"/>
        <w:gridCol w:w="3000"/>
        <w:gridCol w:w="3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K</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Iterations to Converge</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Final Log-Likelihood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7</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-2585.93</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8</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-2388.72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-2385.76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-2380.59</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6</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-2371.85</w:t>
            </w:r>
          </w:p>
        </w:tc>
      </w:tr>
    </w:tbl>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7200" w:dyaOrig="5400">
          <v:rect xmlns:o="urn:schemas-microsoft-com:office:office" xmlns:v="urn:schemas-microsoft-com:vml" id="rectole0000000001" style="width:360.000000pt;height:270.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6480" w:dyaOrig="4860">
          <v:rect xmlns:o="urn:schemas-microsoft-com:office:office" xmlns:v="urn:schemas-microsoft-com:vml" id="rectole0000000002" style="width:324.0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6048" w:dyaOrig="4536">
          <v:rect xmlns:o="urn:schemas-microsoft-com:office:office" xmlns:v="urn:schemas-microsoft-com:vml" id="rectole0000000003" style="width:302.400000pt;height:226.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Observation: Log-likelihood increases monotonically with K, as expected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more components always fit the training data at least as well. K=3 matches the true underlying structure and converges quickly and cleanly (8 iterations). For K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4, the model has more parameters than the true generative process; it took the full 200 iterations to satisfy the tolerance, indicating slow, marginal improvements as EM tries to justify the extra Gaussian components by carving up the same three true clusters. This is characteristic of over-parameterized mixture models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likelihood keeps improving slightly, but the gain is not meaningful and reflects overfitting rather than better structure recovery.</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3.6 Experiment C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Local Optima (overlapping data, K = 4, 10 random restarts)</w:t>
      </w:r>
    </w:p>
    <w:tbl>
      <w:tblPr/>
      <w:tblGrid>
        <w:gridCol w:w="3000"/>
        <w:gridCol w:w="3000"/>
        <w:gridCol w:w="3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Random Seed</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Iterations</w:t>
            </w:r>
          </w:p>
        </w:tc>
        <w:tc>
          <w:tcPr>
            <w:tcW w:w="30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Final Log-Likelihood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-2171.92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-2169.95</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166</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-2170.11</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-2170.21</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-2170.22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6</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198</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-2171.94</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7</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282</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-2170.12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8</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-2176.40</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9</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300</w:t>
            </w:r>
          </w:p>
        </w:tc>
        <w:tc>
          <w:tcPr>
            <w:tcW w:w="3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-2170.30</w:t>
            </w:r>
          </w:p>
        </w:tc>
      </w:tr>
    </w:tbl>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Best final log-likelihood: -2169.95   |   Worst: -2176.40   |   Gap: 6.45   |   Distinct convergence points across 10 restarts: 6</w:t>
      </w:r>
    </w:p>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7200" w:dyaOrig="5400">
          <v:rect xmlns:o="urn:schemas-microsoft-com:office:office" xmlns:v="urn:schemas-microsoft-com:vml" id="rectole0000000004" style="width:360.000000pt;height:270.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7200" w:dyaOrig="5400">
          <v:rect xmlns:o="urn:schemas-microsoft-com:office:office" xmlns:v="urn:schemas-microsoft-com:vml" id="rectole0000000005" style="width:360.000000pt;height:270.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Observation: On the overlapping dataset, the 10 random restarts converged to 6 distinct log-likelihood values rather than one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direct evidence of local optima. The 'worst' run (seed 8) got trapped in a solution roughly 6.4 log-likelihood units below the best, visibly assigning two of its four Gaussians to the same true cluster while leaving another true cluster under-represented (see the 'Worst' panel above). This happens because EM only performs coordinate-ascent-style hill climbing on the likelihood surface; whichever basin of attraction the initial means fall into determines the final solution.</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3.7 Strategies to Improve Convergence Stability and Performance</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Multiple random restarts: run EM from several different initial parameter sets and keep the run with the highest final log-likelihood (used implicitly in Experiment C to identify the best/worst cases).</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Smarter initialization (k-means / k-means++): seeds the means at well-spread, data-driven locations, which Experiment A showed converges faster and is less likely to start inside a poor basin of attraction.</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Covariance regularization: adding a small multiple of the identity matrix to each covariance estimate (used in the implementation above) avoids singular/degenerate covariances that can otherwise collapse a Gaussian onto a single point.</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Annealed / deterministic annealing EM: gradually sharpens the responsibilities from soft to hard assignments, which smooths the likelihood surface early on and helps escape shallow local optima.</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Model selection for K: use a held-out likelihood, BIC/AIC, or the 'elbow' in the log-likelihood-vs-K curve (Experiment B) rather than always choosing the K with the highest training log-likelihood, since that is monotonically non-decreasing in K.</w:t>
      </w:r>
    </w:p>
    <w:p>
      <w:pPr>
        <w:numPr>
          <w:ilvl w:val="0"/>
          <w:numId w:val="77"/>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Merging/splitting heuristics: periodically merge near-duplicate components or split components with high variance to escape solutions where two components fit the same true cluster.</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3.8 Conclusion</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EM reliably finds the global optimum on well-separated data regardless of initialization, but its convergence speed is still initialization-dependent. On harder, overlapping data, different initializations genuinely converge to different local optima with measurably different likelihoods. Increasing K always increases training log-likelihood, so K must be chosen using a principled model-selection criterion rather than likelihood alone. Multiple restarts combined with k-means-style initialization and covariance regularization were effective, low-cost strategies for improving convergence stability in these experiments.</w:t>
      </w:r>
    </w:p>
    <w:p>
      <w:pPr>
        <w:pageBreakBefore w:val="true"/>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300" w:after="15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Q4. Construct a Bayesian Belief Network and Perform Inference</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4.1 Aim</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construct a Bayesian Belief Network (BBN) for a chosen problem domain, perform exact inference under different evidence conditions, study the effect of changing conditional probability tables (CPTs) on the posterior, and analyze how the dependency structure influences the results and how uncertainty is represented and propagated.</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4.2 Problem Domain and Network Structure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Domain: a home security alarm system. Five Boolean random variables are modelled:</w:t>
      </w:r>
    </w:p>
    <w:p>
      <w:pPr>
        <w:numPr>
          <w:ilvl w:val="0"/>
          <w:numId w:val="8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Burglary (B)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burglary is in progress</w:t>
      </w:r>
    </w:p>
    <w:p>
      <w:pPr>
        <w:numPr>
          <w:ilvl w:val="0"/>
          <w:numId w:val="8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Earthquake (E)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an earthquake has occurred</w:t>
      </w:r>
    </w:p>
    <w:p>
      <w:pPr>
        <w:numPr>
          <w:ilvl w:val="0"/>
          <w:numId w:val="8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Alarm (A)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alarm is sounding</w:t>
      </w:r>
    </w:p>
    <w:p>
      <w:pPr>
        <w:numPr>
          <w:ilvl w:val="0"/>
          <w:numId w:val="8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JohnCalls (J)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neighbour John calls to report the alarm</w:t>
      </w:r>
    </w:p>
    <w:p>
      <w:pPr>
        <w:numPr>
          <w:ilvl w:val="0"/>
          <w:numId w:val="8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MaryCalls (M)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neighbour Mary calls to report the alarm</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Dependency structure: B and E are the (marginally independent) root causes of the Alarm; A in turn causes J and M. This gives the DAG  B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E,  A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J,  A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M.</w:t>
      </w:r>
    </w:p>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6048" w:dyaOrig="4536">
          <v:rect xmlns:o="urn:schemas-microsoft-com:office:office" xmlns:v="urn:schemas-microsoft-com:vml" id="rectole0000000006" style="width:302.400000pt;height:226.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4.3 Conditional Probability Tables (base case)</w:t>
      </w:r>
    </w:p>
    <w:tbl>
      <w:tblPr/>
      <w:tblGrid>
        <w:gridCol w:w="4500"/>
        <w:gridCol w:w="4500"/>
      </w:tblGrid>
      <w:tr>
        <w:trPr>
          <w:trHeight w:val="1" w:hRule="atLeast"/>
          <w:jc w:val="left"/>
        </w:trPr>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Variable</w:t>
            </w:r>
          </w:p>
        </w:tc>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CPT</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P(B)</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P(B=True)=0.001</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P(E=True)=0.002</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P(A|B,E)</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T,T:0.95  T,F:0.94  F,T:0.29  F,F:0.001</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P(J|A)</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A=T:0.90   A=F:0.05</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P(M|A)</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A=T:0.70   A=F:0.01</w:t>
            </w:r>
          </w:p>
        </w:tc>
      </w:tr>
    </w:tbl>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4.4 Implementation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Exact Inference by Enumeration</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from itertools import product</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Network: B -&gt; A, E -&gt; A, A -&gt; J, A -&gt; 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P_B = {True: 0.001, False: 0.999}</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P_E = {True: 0.002, False: 0.998}</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P_A_given_BE = {(True,True):0.95, (True,False):0.94,</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(False,True):0.29, (False,False):0.001}</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P_J_given_A = {True: 0.90, False: 0.05}</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P_M_given_A = {True: 0.70, False: 0.01}</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def joint_prob(b, e, a, j, 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pb = P_B[b];  pe = P_E[e]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pa = P_A_given_BE[(b,e)] if a else 1-P_A_given_BE[(b,e)]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pj = P_J_given_A[a] if j else 1-P_J_given_A[a]</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pm = P_M_given_A[a] if m else 1-P_M_given_A[a]</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return pb*pe*pa*pj*pm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def infer(query_var, evidence):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"""Exact inference by enumeration over hidden variables."""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varnames = ['B','E','A','J','M']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out = {}</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for qval in [True, False]: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total = 0.0</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free = [v for v in varnames if v != query_var and v not in evidence]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for combo in product([True, False], repeat=len(free)):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assign = dict(zip(free, combo))</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assign[query_var] = qval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assign.update(evidence)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total += joint_prob(assign['B'], assign['E'], assign['A'],</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assign['J'], assign['M'])</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out[qval] = total</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Z = out[True] + out[False]</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return {k: v/Z for k, v in out.items()}</w:t>
      </w:r>
    </w:p>
    <w:p>
      <w:pPr>
        <w:spacing w:before="0" w:after="0" w:line="240"/>
        <w:ind w:right="0" w:left="0" w:firstLine="0"/>
        <w:jc w:val="left"/>
        <w:rPr>
          <w:rFonts w:ascii="Times New Roman" w:hAnsi="Times New Roman" w:cs="Times New Roman" w:eastAsia="Times New Roman"/>
          <w:color w:val="auto"/>
          <w:spacing w:val="0"/>
          <w:position w:val="0"/>
          <w:sz w:val="18"/>
          <w:shd w:fill="F2F2F2" w:val="clear"/>
        </w:rPr>
      </w:pPr>
      <w:r>
        <w:rPr>
          <w:rFonts w:ascii="Times New Roman" w:hAnsi="Times New Roman" w:cs="Times New Roman" w:eastAsia="Times New Roman"/>
          <w:color w:val="auto"/>
          <w:spacing w:val="0"/>
          <w:position w:val="0"/>
          <w:sz w:val="18"/>
          <w:shd w:fill="F2F2F2" w:val="clear"/>
        </w:rPr>
        <w:t xml:space="preserve"> </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4.5 Experiment 1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Posterior P(Burglary) under Different Evidence</w:t>
      </w:r>
    </w:p>
    <w:tbl>
      <w:tblPr/>
      <w:tblGrid>
        <w:gridCol w:w="4500"/>
        <w:gridCol w:w="4500"/>
      </w:tblGrid>
      <w:tr>
        <w:trPr>
          <w:trHeight w:val="1" w:hRule="atLeast"/>
          <w:jc w:val="left"/>
        </w:trPr>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Evidence</w:t>
            </w:r>
          </w:p>
        </w:tc>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P(Burglary = True)</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 evidence</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0.00100</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JohnCalls=T only</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0.01628</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MaryCalls=T only</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0.05612</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JohnCalls=T, MaryCalls=T</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0.28417</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JohnCalls=T, MaryCalls=F</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0.00513</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JohnCalls=T, MaryCalls=T, Earthquake=T</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0.00326</w:t>
            </w:r>
          </w:p>
        </w:tc>
      </w:tr>
    </w:tbl>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Observation: With no evidence, P(B=True) equals the prior 0.001 exactly, confirming the inference engine is correct. A single ringing-neighbour report raises belief only modestly (John: 0.0163, Mary: 0.0561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Mary's call is more diagnostic because she is a less frequent false-alarm caller). Both calls together push belief far higher (0.284), illustrating how independent pieces of evidence combine multiplicatively through the shared parent Alarm. Adding a confirmed earthquake (E=True) as evidence collapses P(B=True) back down to 0.0033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clear example of 'explaining away': once the earthquake is known to explain the alarm, the calls no longer implicate a burglary as strongly.</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4.6 Experiment 2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Sensitivity to Changes in the Alarm CPT</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Evidence fixed at JohnCalls=True, MaryCalls=True; only P(A|B,E) was varied:</w:t>
      </w:r>
    </w:p>
    <w:tbl>
      <w:tblPr/>
      <w:tblGrid>
        <w:gridCol w:w="4500"/>
        <w:gridCol w:w="4500"/>
      </w:tblGrid>
      <w:tr>
        <w:trPr>
          <w:trHeight w:val="1" w:hRule="atLeast"/>
          <w:jc w:val="left"/>
        </w:trPr>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CPT Variant</w:t>
            </w:r>
          </w:p>
        </w:tc>
        <w:tc>
          <w:tcPr>
            <w:tcW w:w="4500" w:type="dxa"/>
            <w:tcBorders>
              <w:top w:val="single" w:color="000000" w:sz="4"/>
              <w:left w:val="single" w:color="000000" w:sz="4"/>
              <w:bottom w:val="single" w:color="000000" w:sz="4"/>
              <w:right w:val="single" w:color="000000" w:sz="4"/>
            </w:tcBorders>
            <w:shd w:color="000000" w:fill="d9e8fb"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P(Burglary=True | J=T, M=T)</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Default (Alarm fairly reliable)</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0.28417</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Noisy alarm (more false alarms)</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0.00922</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Unreliable alarm (misses burglary)</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0.18861</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Near-deterministic alarm</w:t>
            </w:r>
          </w:p>
        </w:tc>
        <w:tc>
          <w:tcPr>
            <w:tcW w:w="4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0.52264</w:t>
            </w:r>
          </w:p>
        </w:tc>
      </w:tr>
    </w:tbl>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Observation: Making the alarm noisier (higher false-alarm rate P(A=True|B=F,E=F) raised from 0.001 to 0.10) drastically lowers the posterior (0.284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0.0092), because a ringing alarm is now weak evidence of anything. Making the alarm unreliable at detecting real burglaries (lowering P(A|B=T,·)) also lowers the posterior, but less severely (0.189), since the alarm is still rarely a false positive. Making the alarm near-deterministic in both directions raises the posterior sharply (0.523), since the calls now almost certainly mean the alarm rang, which almost certainly means a real cause. This shows the posterior is highly sensitive to the reliability parameters of the intermediate node, not just to the evidence itself.</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4.7 Experiment 3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Effect of Variable Dependencies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Comparing P(Burglary=True | J=T, M=T) as knowledge of Earthquake changes: with no earthquake information it is 0.284; if an earthquake is confirmed it drops to 0.0033; if an earthquake is ruled out it rises to 0.344. Because Burglary and Earthquake are marginal independent causes that compete to explain the same Alarm node, evidence for one lowers belief in the other whenever the effect (Alarm/calls) is observed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defining signature of the explaining-away pattern in a common-effect (V-structure) network.</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4.8 Robustness and Handling of Uncertainty</w:t>
      </w:r>
    </w:p>
    <w:p>
      <w:pPr>
        <w:numPr>
          <w:ilvl w:val="0"/>
          <w:numId w:val="142"/>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network never returns a hard yes/no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every query returns a full probability distribution, so uncertainty is preserved and propagated at every stage instead of being collapsed prematurely.</w:t>
      </w:r>
    </w:p>
    <w:p>
      <w:pPr>
        <w:numPr>
          <w:ilvl w:val="0"/>
          <w:numId w:val="142"/>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Small, realistic CPT values (e.g. prior P(B)=0.001) prevent the model from over-reacting to a single weak signal (one phone call), which matches intuition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burglaries are rare, so rare events still need strong, converging evidence to become likely.</w:t>
      </w:r>
    </w:p>
    <w:p>
      <w:pPr>
        <w:numPr>
          <w:ilvl w:val="0"/>
          <w:numId w:val="142"/>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model degrades gracefully: even a fairly large change in one CPT entry (Experiment 2) shifts the posterior smoothly rather than causing erratic jumps, showing the network is numerically stable under enumeration inference.</w:t>
      </w:r>
    </w:p>
    <w:p>
      <w:pPr>
        <w:numPr>
          <w:ilvl w:val="0"/>
          <w:numId w:val="142"/>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Conditional independence encoded in the graph (e.g., J and M are independent given A) means new evidence is combined correctly without needing to specify a full joint table by hand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CPTs alone are sufficient, which is what keeps the model compact and interpretable.</w:t>
      </w:r>
    </w:p>
    <w:p>
      <w:pPr>
        <w:spacing w:before="240" w:after="12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4.9 Conclusion</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constructed Bayesian Belief Network correctly reproduces classical reasoning patterns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evidence accumulation from independent witnesses, and explaining-away between competing causes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purely from its graph structure and CPTs. Posterior beliefs were shown to be sensitive to both the evidence supplied and to the reliability parameters encoded in the CPTs, and the network handles uncertainty robustly by always propagating full probability distributions rather than committing early to a single hypothesis.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7">
    <w:abstractNumId w:val="12"/>
  </w:num>
  <w:num w:numId="86">
    <w:abstractNumId w:val="6"/>
  </w:num>
  <w:num w:numId="1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