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3A7A"/>
          <w:sz w:val="56"/>
          <w:szCs w:val="56"/>
        </w:rPr>
        <w:t xml:space="preserve">AI LEGAL DOCUMENT ADVISOR</w:t>
      </w:r>
    </w:p>
    <w:p>
      <w:pPr>
        <w:spacing w:before="160"/>
        <w:jc w:val="center"/>
      </w:pPr>
      <w:r>
        <w:rPr>
          <w:rFonts w:ascii="Arial" w:cs="Arial" w:eastAsia="Arial" w:hAnsi="Arial"/>
          <w:color w:val="2E75B6"/>
          <w:sz w:val="28"/>
          <w:szCs w:val="28"/>
        </w:rPr>
        <w:t xml:space="preserve">Complete Technical Project Documentation</w:t>
      </w:r>
    </w:p>
    <w:p>
      <w:pPr>
        <w:pBdr>
          <w:bottom w:val="single" w:color="2E75B6" w:sz="4" w:space="1"/>
        </w:pBdr>
        <w:spacing w:after="120" w:before="120"/>
      </w:pPr>
    </w:p>
    <w:p>
      <w:pPr>
        <w:spacing w:before="200"/>
        <w:jc w:val="center"/>
      </w:pPr>
      <w:r>
        <w:rPr>
          <w:rFonts w:ascii="Arial" w:cs="Arial" w:eastAsia="Arial" w:hAnsi="Arial"/>
          <w:i/>
          <w:iCs/>
          <w:color w:val="404040"/>
          <w:sz w:val="22"/>
          <w:szCs w:val="22"/>
        </w:rPr>
        <w:t xml:space="preserve">Multi-Agent · Ensemble RAG · MCTS Planning · Knowledge Graph · Groq LLaMA 3</w:t>
      </w:r>
    </w:p>
    <w:p>
      <w:pPr>
        <w:spacing w:before="2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3600"/>
            <w:tcBorders>
              <w:top w:val="single" w:color="D0D7E3" w:sz="1"/>
              <w:left w:val="single" w:color="D0D7E3" w:sz="1"/>
              <w:bottom w:val="single" w:color="D0D7E3" w:sz="1"/>
              <w:right w:val="single" w:color="D0D7E3" w:sz="1"/>
            </w:tcBorders>
            <w:shd w:fill="EEF3FB" w:val="clear"/>
            <w:tcMar>
              <w:top w:type="dxa" w:w="80"/>
              <w:left w:type="dxa" w:w="140"/>
              <w:bottom w:type="dxa" w:w="80"/>
              <w:right w:type="dxa" w:w="80"/>
            </w:tcMar>
          </w:tcPr>
          <w:p>
            <w:r>
              <w:rPr>
                <w:rFonts w:ascii="Arial" w:cs="Arial" w:eastAsia="Arial" w:hAnsi="Arial"/>
                <w:b/>
                <w:bCs/>
                <w:color w:val="1F3A7A"/>
                <w:sz w:val="20"/>
                <w:szCs w:val="20"/>
              </w:rPr>
              <w:t xml:space="preserve">Project Name</w:t>
            </w:r>
          </w:p>
        </w:tc>
        <w:tc>
          <w:tcPr>
            <w:tcW w:type="dxa" w:w="5760"/>
            <w:tcBorders>
              <w:top w:val="single" w:color="D0D7E3" w:sz="1"/>
              <w:left w:val="single" w:color="D0D7E3" w:sz="1"/>
              <w:bottom w:val="single" w:color="D0D7E3" w:sz="1"/>
              <w:right w:val="single" w:color="D0D7E3" w:sz="1"/>
            </w:tcBorders>
            <w:tcMar>
              <w:top w:type="dxa" w:w="80"/>
              <w:left w:type="dxa" w:w="140"/>
              <w:bottom w:type="dxa" w:w="80"/>
              <w:right w:type="dxa" w:w="80"/>
            </w:tcMar>
          </w:tcPr>
          <w:p>
            <w:r>
              <w:rPr>
                <w:rFonts w:ascii="Arial" w:cs="Arial" w:eastAsia="Arial" w:hAnsi="Arial"/>
                <w:color w:val="404040"/>
                <w:sz w:val="20"/>
                <w:szCs w:val="20"/>
              </w:rPr>
              <w:t xml:space="preserve">AI Legal Document Advisor</w:t>
            </w:r>
          </w:p>
        </w:tc>
      </w:tr>
      <w:tr>
        <w:tc>
          <w:tcPr>
            <w:tcW w:type="dxa" w:w="3600"/>
            <w:tcBorders>
              <w:top w:val="single" w:color="D0D7E3" w:sz="1"/>
              <w:left w:val="single" w:color="D0D7E3" w:sz="1"/>
              <w:bottom w:val="single" w:color="D0D7E3" w:sz="1"/>
              <w:right w:val="single" w:color="D0D7E3" w:sz="1"/>
            </w:tcBorders>
            <w:shd w:fill="EEF3FB" w:val="clear"/>
            <w:tcMar>
              <w:top w:type="dxa" w:w="80"/>
              <w:left w:type="dxa" w:w="140"/>
              <w:bottom w:type="dxa" w:w="80"/>
              <w:right w:type="dxa" w:w="80"/>
            </w:tcMar>
          </w:tcPr>
          <w:p>
            <w:r>
              <w:rPr>
                <w:rFonts w:ascii="Arial" w:cs="Arial" w:eastAsia="Arial" w:hAnsi="Arial"/>
                <w:b/>
                <w:bCs/>
                <w:color w:val="1F3A7A"/>
                <w:sz w:val="20"/>
                <w:szCs w:val="20"/>
              </w:rPr>
              <w:t xml:space="preserve">Organization</w:t>
            </w:r>
          </w:p>
        </w:tc>
        <w:tc>
          <w:tcPr>
            <w:tcW w:type="dxa" w:w="5760"/>
            <w:tcBorders>
              <w:top w:val="single" w:color="D0D7E3" w:sz="1"/>
              <w:left w:val="single" w:color="D0D7E3" w:sz="1"/>
              <w:bottom w:val="single" w:color="D0D7E3" w:sz="1"/>
              <w:right w:val="single" w:color="D0D7E3" w:sz="1"/>
            </w:tcBorders>
            <w:tcMar>
              <w:top w:type="dxa" w:w="80"/>
              <w:left w:type="dxa" w:w="140"/>
              <w:bottom w:type="dxa" w:w="80"/>
              <w:right w:type="dxa" w:w="80"/>
            </w:tcMar>
          </w:tcPr>
          <w:p>
            <w:r>
              <w:rPr>
                <w:rFonts w:ascii="Arial" w:cs="Arial" w:eastAsia="Arial" w:hAnsi="Arial"/>
                <w:color w:val="404040"/>
                <w:sz w:val="20"/>
                <w:szCs w:val="20"/>
              </w:rPr>
              <w:t xml:space="preserve">ProITBridge</w:t>
            </w:r>
          </w:p>
        </w:tc>
      </w:tr>
      <w:tr>
        <w:tc>
          <w:tcPr>
            <w:tcW w:type="dxa" w:w="3600"/>
            <w:tcBorders>
              <w:top w:val="single" w:color="D0D7E3" w:sz="1"/>
              <w:left w:val="single" w:color="D0D7E3" w:sz="1"/>
              <w:bottom w:val="single" w:color="D0D7E3" w:sz="1"/>
              <w:right w:val="single" w:color="D0D7E3" w:sz="1"/>
            </w:tcBorders>
            <w:shd w:fill="EEF3FB" w:val="clear"/>
            <w:tcMar>
              <w:top w:type="dxa" w:w="80"/>
              <w:left w:type="dxa" w:w="140"/>
              <w:bottom w:type="dxa" w:w="80"/>
              <w:right w:type="dxa" w:w="80"/>
            </w:tcMar>
          </w:tcPr>
          <w:p>
            <w:r>
              <w:rPr>
                <w:rFonts w:ascii="Arial" w:cs="Arial" w:eastAsia="Arial" w:hAnsi="Arial"/>
                <w:b/>
                <w:bCs/>
                <w:color w:val="1F3A7A"/>
                <w:sz w:val="20"/>
                <w:szCs w:val="20"/>
              </w:rPr>
              <w:t xml:space="preserve">Version</w:t>
            </w:r>
          </w:p>
        </w:tc>
        <w:tc>
          <w:tcPr>
            <w:tcW w:type="dxa" w:w="5760"/>
            <w:tcBorders>
              <w:top w:val="single" w:color="D0D7E3" w:sz="1"/>
              <w:left w:val="single" w:color="D0D7E3" w:sz="1"/>
              <w:bottom w:val="single" w:color="D0D7E3" w:sz="1"/>
              <w:right w:val="single" w:color="D0D7E3" w:sz="1"/>
            </w:tcBorders>
            <w:tcMar>
              <w:top w:type="dxa" w:w="80"/>
              <w:left w:type="dxa" w:w="140"/>
              <w:bottom w:type="dxa" w:w="80"/>
              <w:right w:type="dxa" w:w="80"/>
            </w:tcMar>
          </w:tcPr>
          <w:p>
            <w:r>
              <w:rPr>
                <w:rFonts w:ascii="Arial" w:cs="Arial" w:eastAsia="Arial" w:hAnsi="Arial"/>
                <w:color w:val="404040"/>
                <w:sz w:val="20"/>
                <w:szCs w:val="20"/>
              </w:rPr>
              <w:t xml:space="preserve">1.0.0 — Production Ready</w:t>
            </w:r>
          </w:p>
        </w:tc>
      </w:tr>
      <w:tr>
        <w:tc>
          <w:tcPr>
            <w:tcW w:type="dxa" w:w="3600"/>
            <w:tcBorders>
              <w:top w:val="single" w:color="D0D7E3" w:sz="1"/>
              <w:left w:val="single" w:color="D0D7E3" w:sz="1"/>
              <w:bottom w:val="single" w:color="D0D7E3" w:sz="1"/>
              <w:right w:val="single" w:color="D0D7E3" w:sz="1"/>
            </w:tcBorders>
            <w:shd w:fill="EEF3FB" w:val="clear"/>
            <w:tcMar>
              <w:top w:type="dxa" w:w="80"/>
              <w:left w:type="dxa" w:w="140"/>
              <w:bottom w:type="dxa" w:w="80"/>
              <w:right w:type="dxa" w:w="80"/>
            </w:tcMar>
          </w:tcPr>
          <w:p>
            <w:r>
              <w:rPr>
                <w:rFonts w:ascii="Arial" w:cs="Arial" w:eastAsia="Arial" w:hAnsi="Arial"/>
                <w:b/>
                <w:bCs/>
                <w:color w:val="1F3A7A"/>
                <w:sz w:val="20"/>
                <w:szCs w:val="20"/>
              </w:rPr>
              <w:t xml:space="preserve">Document Date</w:t>
            </w:r>
          </w:p>
        </w:tc>
        <w:tc>
          <w:tcPr>
            <w:tcW w:type="dxa" w:w="5760"/>
            <w:tcBorders>
              <w:top w:val="single" w:color="D0D7E3" w:sz="1"/>
              <w:left w:val="single" w:color="D0D7E3" w:sz="1"/>
              <w:bottom w:val="single" w:color="D0D7E3" w:sz="1"/>
              <w:right w:val="single" w:color="D0D7E3" w:sz="1"/>
            </w:tcBorders>
            <w:tcMar>
              <w:top w:type="dxa" w:w="80"/>
              <w:left w:type="dxa" w:w="140"/>
              <w:bottom w:type="dxa" w:w="80"/>
              <w:right w:type="dxa" w:w="80"/>
            </w:tcMar>
          </w:tcPr>
          <w:p>
            <w:r>
              <w:rPr>
                <w:rFonts w:ascii="Arial" w:cs="Arial" w:eastAsia="Arial" w:hAnsi="Arial"/>
                <w:color w:val="404040"/>
                <w:sz w:val="20"/>
                <w:szCs w:val="20"/>
              </w:rPr>
              <w:t xml:space="preserve">May 2026</w:t>
            </w:r>
          </w:p>
        </w:tc>
      </w:tr>
      <w:tr>
        <w:tc>
          <w:tcPr>
            <w:tcW w:type="dxa" w:w="3600"/>
            <w:tcBorders>
              <w:top w:val="single" w:color="D0D7E3" w:sz="1"/>
              <w:left w:val="single" w:color="D0D7E3" w:sz="1"/>
              <w:bottom w:val="single" w:color="D0D7E3" w:sz="1"/>
              <w:right w:val="single" w:color="D0D7E3" w:sz="1"/>
            </w:tcBorders>
            <w:shd w:fill="EEF3FB" w:val="clear"/>
            <w:tcMar>
              <w:top w:type="dxa" w:w="80"/>
              <w:left w:type="dxa" w:w="140"/>
              <w:bottom w:type="dxa" w:w="80"/>
              <w:right w:type="dxa" w:w="80"/>
            </w:tcMar>
          </w:tcPr>
          <w:p>
            <w:r>
              <w:rPr>
                <w:rFonts w:ascii="Arial" w:cs="Arial" w:eastAsia="Arial" w:hAnsi="Arial"/>
                <w:b/>
                <w:bCs/>
                <w:color w:val="1F3A7A"/>
                <w:sz w:val="20"/>
                <w:szCs w:val="20"/>
              </w:rPr>
              <w:t xml:space="preserve">Primary Language</w:t>
            </w:r>
          </w:p>
        </w:tc>
        <w:tc>
          <w:tcPr>
            <w:tcW w:type="dxa" w:w="5760"/>
            <w:tcBorders>
              <w:top w:val="single" w:color="D0D7E3" w:sz="1"/>
              <w:left w:val="single" w:color="D0D7E3" w:sz="1"/>
              <w:bottom w:val="single" w:color="D0D7E3" w:sz="1"/>
              <w:right w:val="single" w:color="D0D7E3" w:sz="1"/>
            </w:tcBorders>
            <w:tcMar>
              <w:top w:type="dxa" w:w="80"/>
              <w:left w:type="dxa" w:w="140"/>
              <w:bottom w:type="dxa" w:w="80"/>
              <w:right w:type="dxa" w:w="80"/>
            </w:tcMar>
          </w:tcPr>
          <w:p>
            <w:r>
              <w:rPr>
                <w:rFonts w:ascii="Arial" w:cs="Arial" w:eastAsia="Arial" w:hAnsi="Arial"/>
                <w:color w:val="404040"/>
                <w:sz w:val="20"/>
                <w:szCs w:val="20"/>
              </w:rPr>
              <w:t xml:space="preserve">Python (Backend) + TypeScript (Frontend)</w:t>
            </w:r>
          </w:p>
        </w:tc>
      </w:tr>
      <w:tr>
        <w:tc>
          <w:tcPr>
            <w:tcW w:type="dxa" w:w="3600"/>
            <w:tcBorders>
              <w:top w:val="single" w:color="D0D7E3" w:sz="1"/>
              <w:left w:val="single" w:color="D0D7E3" w:sz="1"/>
              <w:bottom w:val="single" w:color="D0D7E3" w:sz="1"/>
              <w:right w:val="single" w:color="D0D7E3" w:sz="1"/>
            </w:tcBorders>
            <w:shd w:fill="EEF3FB" w:val="clear"/>
            <w:tcMar>
              <w:top w:type="dxa" w:w="80"/>
              <w:left w:type="dxa" w:w="140"/>
              <w:bottom w:type="dxa" w:w="80"/>
              <w:right w:type="dxa" w:w="80"/>
            </w:tcMar>
          </w:tcPr>
          <w:p>
            <w:r>
              <w:rPr>
                <w:rFonts w:ascii="Arial" w:cs="Arial" w:eastAsia="Arial" w:hAnsi="Arial"/>
                <w:b/>
                <w:bCs/>
                <w:color w:val="1F3A7A"/>
                <w:sz w:val="20"/>
                <w:szCs w:val="20"/>
              </w:rPr>
              <w:t xml:space="preserve">Deployment</w:t>
            </w:r>
          </w:p>
        </w:tc>
        <w:tc>
          <w:tcPr>
            <w:tcW w:type="dxa" w:w="5760"/>
            <w:tcBorders>
              <w:top w:val="single" w:color="D0D7E3" w:sz="1"/>
              <w:left w:val="single" w:color="D0D7E3" w:sz="1"/>
              <w:bottom w:val="single" w:color="D0D7E3" w:sz="1"/>
              <w:right w:val="single" w:color="D0D7E3" w:sz="1"/>
            </w:tcBorders>
            <w:tcMar>
              <w:top w:type="dxa" w:w="80"/>
              <w:left w:type="dxa" w:w="140"/>
              <w:bottom w:type="dxa" w:w="80"/>
              <w:right w:type="dxa" w:w="80"/>
            </w:tcMar>
          </w:tcPr>
          <w:p>
            <w:r>
              <w:rPr>
                <w:rFonts w:ascii="Arial" w:cs="Arial" w:eastAsia="Arial" w:hAnsi="Arial"/>
                <w:color w:val="404040"/>
                <w:sz w:val="20"/>
                <w:szCs w:val="20"/>
              </w:rPr>
              <w:t xml:space="preserve">Local + Render Cloud</w:t>
            </w:r>
          </w:p>
        </w:tc>
      </w:tr>
    </w:tbl>
    <w:p>
      <w:r>
        <w:br w:type="page"/>
      </w:r>
    </w:p>
    <w:p>
      <w:pPr>
        <w:pStyle w:val="Heading1"/>
        <w:spacing w:after="120" w:before="360"/>
      </w:pPr>
      <w:r>
        <w:rPr>
          <w:rFonts w:ascii="Arial" w:cs="Arial" w:eastAsia="Arial" w:hAnsi="Arial"/>
          <w:b/>
          <w:bCs/>
          <w:color w:val="1F3A7A"/>
          <w:sz w:val="36"/>
          <w:szCs w:val="36"/>
        </w:rPr>
        <w:t xml:space="preserve">1. Executive Summary</w:t>
      </w:r>
    </w:p>
    <w:p>
      <w:pPr>
        <w:spacing w:after="80" w:before="80"/>
      </w:pPr>
      <w:r>
        <w:rPr>
          <w:rFonts w:ascii="Arial" w:cs="Arial" w:eastAsia="Arial" w:hAnsi="Arial"/>
          <w:color w:val="404040"/>
          <w:sz w:val="22"/>
          <w:szCs w:val="22"/>
        </w:rPr>
        <w:t xml:space="preserve">The AI Legal Document Advisor is a production-grade, AI-powered legal awareness platform built for the Indian legal system. It enables citizens, businesses, and legal professionals to query complex legal statutes, employment contracts, NDAs, rental agreements, and consumer laws through a conversational interface — and receive structured answers with exact section citations, relevant case law, actionable steps, and confidence-scored source references.</w:t>
      </w:r>
    </w:p>
    <w:p>
      <w:pPr>
        <w:spacing w:after="80" w:before="80"/>
      </w:pPr>
      <w:r>
        <w:rPr>
          <w:rFonts w:ascii="Arial" w:cs="Arial" w:eastAsia="Arial" w:hAnsi="Arial"/>
          <w:color w:val="404040"/>
          <w:sz w:val="22"/>
          <w:szCs w:val="22"/>
        </w:rPr>
        <w:t xml:space="preserve">The system is engineered around a Multi-Agent RAG (Retrieval-Augmented Generation) architecture that combines five retrieval strategies, two agent frameworks, Monte Carlo Tree Search planning, and a Neo4j knowledge graph — all orchestrated through LangGraph and powered by the Groq Llama 3.3 70B language model.</w:t>
      </w:r>
    </w:p>
    <w:p>
      <w:pPr>
        <w:spacing w:after="80" w:before="80"/>
      </w:pPr>
      <w:r>
        <w:rPr>
          <w:rFonts w:ascii="Arial" w:cs="Arial" w:eastAsia="Arial" w:hAnsi="Arial"/>
          <w:color w:val="404040"/>
          <w:sz w:val="22"/>
          <w:szCs w:val="22"/>
        </w:rPr>
        <w:t xml:space="preserve">Unlike a simple chatbot, this system routes every query through a 9-step intelligent pipeline: document retrieval via Ensemble RAG (Vector + BM25 + Knowledge Graph + Live Web Search), MCTS-guided reasoning path selection, dual-agent analysis (AutoGen + Crew AI), contradiction detection, risk assessment, human-in-the-loop validation for HIGH risk queries, guardrails enforcement, and structured citation-aware synthesis.</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2. Project Objectives</w:t>
      </w:r>
    </w:p>
    <w:p>
      <w:pPr>
        <w:pStyle w:val="Heading2"/>
        <w:spacing w:after="100" w:before="280"/>
      </w:pPr>
      <w:r>
        <w:rPr>
          <w:rFonts w:ascii="Arial" w:cs="Arial" w:eastAsia="Arial" w:hAnsi="Arial"/>
          <w:b/>
          <w:bCs/>
          <w:color w:val="2E75B6"/>
          <w:sz w:val="28"/>
          <w:szCs w:val="28"/>
        </w:rPr>
        <w:t xml:space="preserve">2.1 Primary Goals</w:t>
      </w:r>
    </w:p>
    <w:p>
      <w:pPr>
        <w:pStyle w:val="ListParagraph"/>
        <w:numPr>
          <w:ilvl w:val="0"/>
          <w:numId w:val="2"/>
        </w:numPr>
        <w:spacing w:after="40" w:before="40"/>
      </w:pPr>
      <w:r>
        <w:rPr>
          <w:rFonts w:ascii="Arial" w:cs="Arial" w:eastAsia="Arial" w:hAnsi="Arial"/>
          <w:color w:val="404040"/>
          <w:sz w:val="22"/>
          <w:szCs w:val="22"/>
        </w:rPr>
        <w:t xml:space="preserve">Demystify Indian law for everyday citizens through plain-English legal answers</w:t>
      </w:r>
    </w:p>
    <w:p>
      <w:pPr>
        <w:pStyle w:val="ListParagraph"/>
        <w:numPr>
          <w:ilvl w:val="0"/>
          <w:numId w:val="2"/>
        </w:numPr>
        <w:spacing w:after="40" w:before="40"/>
      </w:pPr>
      <w:r>
        <w:rPr>
          <w:rFonts w:ascii="Arial" w:cs="Arial" w:eastAsia="Arial" w:hAnsi="Arial"/>
          <w:color w:val="404040"/>
          <w:sz w:val="22"/>
          <w:szCs w:val="22"/>
        </w:rPr>
        <w:t xml:space="preserve">Provide exact section citations, case law references, and government links in every response</w:t>
      </w:r>
    </w:p>
    <w:p>
      <w:pPr>
        <w:pStyle w:val="ListParagraph"/>
        <w:numPr>
          <w:ilvl w:val="0"/>
          <w:numId w:val="2"/>
        </w:numPr>
        <w:spacing w:after="40" w:before="40"/>
      </w:pPr>
      <w:r>
        <w:rPr>
          <w:rFonts w:ascii="Arial" w:cs="Arial" w:eastAsia="Arial" w:hAnsi="Arial"/>
          <w:color w:val="404040"/>
          <w:sz w:val="22"/>
          <w:szCs w:val="22"/>
        </w:rPr>
        <w:t xml:space="preserve">Support scenario-based queries (My landlord cut off electricity — what can I do?) with actionable step-by-step guidance</w:t>
      </w:r>
    </w:p>
    <w:p>
      <w:pPr>
        <w:pStyle w:val="ListParagraph"/>
        <w:numPr>
          <w:ilvl w:val="0"/>
          <w:numId w:val="2"/>
        </w:numPr>
        <w:spacing w:after="40" w:before="40"/>
      </w:pPr>
      <w:r>
        <w:rPr>
          <w:rFonts w:ascii="Arial" w:cs="Arial" w:eastAsia="Arial" w:hAnsi="Arial"/>
          <w:color w:val="404040"/>
          <w:sz w:val="22"/>
          <w:szCs w:val="22"/>
        </w:rPr>
        <w:t xml:space="preserve">Generate legally structured draft documents (legal notices, demand letters, consumer complaints)</w:t>
      </w:r>
    </w:p>
    <w:p>
      <w:pPr>
        <w:pStyle w:val="ListParagraph"/>
        <w:numPr>
          <w:ilvl w:val="0"/>
          <w:numId w:val="2"/>
        </w:numPr>
        <w:spacing w:after="40" w:before="40"/>
      </w:pPr>
      <w:r>
        <w:rPr>
          <w:rFonts w:ascii="Arial" w:cs="Arial" w:eastAsia="Arial" w:hAnsi="Arial"/>
          <w:color w:val="404040"/>
          <w:sz w:val="22"/>
          <w:szCs w:val="22"/>
        </w:rPr>
        <w:t xml:space="preserve">Use cutting-edge AI techniques: Ensemble RAG, MCTS, Knowledge Graphs, multi-agent reasoning</w:t>
      </w:r>
    </w:p>
    <w:p>
      <w:pPr>
        <w:pStyle w:val="Heading2"/>
        <w:spacing w:after="100" w:before="280"/>
      </w:pPr>
      <w:r>
        <w:rPr>
          <w:rFonts w:ascii="Arial" w:cs="Arial" w:eastAsia="Arial" w:hAnsi="Arial"/>
          <w:b/>
          <w:bCs/>
          <w:color w:val="2E75B6"/>
          <w:sz w:val="28"/>
          <w:szCs w:val="28"/>
        </w:rPr>
        <w:t xml:space="preserve">2.2 Target Users</w:t>
      </w:r>
    </w:p>
    <w:p>
      <w:pPr>
        <w:pStyle w:val="ListParagraph"/>
        <w:numPr>
          <w:ilvl w:val="0"/>
          <w:numId w:val="2"/>
        </w:numPr>
        <w:spacing w:after="40" w:before="40"/>
      </w:pPr>
      <w:r>
        <w:rPr>
          <w:rFonts w:ascii="Arial" w:cs="Arial" w:eastAsia="Arial" w:hAnsi="Arial"/>
          <w:color w:val="404040"/>
          <w:sz w:val="22"/>
          <w:szCs w:val="22"/>
        </w:rPr>
        <w:t xml:space="preserve">Employees facing wrongful termination, unpaid dues, or non-compete disputes</w:t>
      </w:r>
    </w:p>
    <w:p>
      <w:pPr>
        <w:pStyle w:val="ListParagraph"/>
        <w:numPr>
          <w:ilvl w:val="0"/>
          <w:numId w:val="2"/>
        </w:numPr>
        <w:spacing w:after="40" w:before="40"/>
      </w:pPr>
      <w:r>
        <w:rPr>
          <w:rFonts w:ascii="Arial" w:cs="Arial" w:eastAsia="Arial" w:hAnsi="Arial"/>
          <w:color w:val="404040"/>
          <w:sz w:val="22"/>
          <w:szCs w:val="22"/>
        </w:rPr>
        <w:t xml:space="preserve">Tenants dealing with landlord harassment, security deposit disputes, or illegal eviction</w:t>
      </w:r>
    </w:p>
    <w:p>
      <w:pPr>
        <w:pStyle w:val="ListParagraph"/>
        <w:numPr>
          <w:ilvl w:val="0"/>
          <w:numId w:val="2"/>
        </w:numPr>
        <w:spacing w:after="40" w:before="40"/>
      </w:pPr>
      <w:r>
        <w:rPr>
          <w:rFonts w:ascii="Arial" w:cs="Arial" w:eastAsia="Arial" w:hAnsi="Arial"/>
          <w:color w:val="404040"/>
          <w:sz w:val="22"/>
          <w:szCs w:val="22"/>
        </w:rPr>
        <w:t xml:space="preserve">Consumers seeking redressal from e-commerce platforms, banks, or service providers</w:t>
      </w:r>
    </w:p>
    <w:p>
      <w:pPr>
        <w:pStyle w:val="ListParagraph"/>
        <w:numPr>
          <w:ilvl w:val="0"/>
          <w:numId w:val="2"/>
        </w:numPr>
        <w:spacing w:after="40" w:before="40"/>
      </w:pPr>
      <w:r>
        <w:rPr>
          <w:rFonts w:ascii="Arial" w:cs="Arial" w:eastAsia="Arial" w:hAnsi="Arial"/>
          <w:color w:val="404040"/>
          <w:sz w:val="22"/>
          <w:szCs w:val="22"/>
        </w:rPr>
        <w:t xml:space="preserve">Individuals affected by cyber fraud, data breaches, or online scams</w:t>
      </w:r>
    </w:p>
    <w:p>
      <w:pPr>
        <w:pStyle w:val="ListParagraph"/>
        <w:numPr>
          <w:ilvl w:val="0"/>
          <w:numId w:val="2"/>
        </w:numPr>
        <w:spacing w:after="40" w:before="40"/>
      </w:pPr>
      <w:r>
        <w:rPr>
          <w:rFonts w:ascii="Arial" w:cs="Arial" w:eastAsia="Arial" w:hAnsi="Arial"/>
          <w:color w:val="404040"/>
          <w:sz w:val="22"/>
          <w:szCs w:val="22"/>
        </w:rPr>
        <w:t xml:space="preserve">Persons seeking guidance on marital law, domestic violence, or divorce proceedings</w:t>
      </w:r>
    </w:p>
    <w:p>
      <w:pPr>
        <w:pStyle w:val="ListParagraph"/>
        <w:numPr>
          <w:ilvl w:val="0"/>
          <w:numId w:val="2"/>
        </w:numPr>
        <w:spacing w:after="40" w:before="40"/>
      </w:pPr>
      <w:r>
        <w:rPr>
          <w:rFonts w:ascii="Arial" w:cs="Arial" w:eastAsia="Arial" w:hAnsi="Arial"/>
          <w:color w:val="404040"/>
          <w:sz w:val="22"/>
          <w:szCs w:val="22"/>
        </w:rPr>
        <w:t xml:space="preserve">Legal professionals requiring quick precedent research and draft generation</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3. System Architecture</w:t>
      </w:r>
    </w:p>
    <w:p>
      <w:pPr>
        <w:pStyle w:val="Heading2"/>
        <w:spacing w:after="100" w:before="280"/>
      </w:pPr>
      <w:r>
        <w:rPr>
          <w:rFonts w:ascii="Arial" w:cs="Arial" w:eastAsia="Arial" w:hAnsi="Arial"/>
          <w:b/>
          <w:bCs/>
          <w:color w:val="2E75B6"/>
          <w:sz w:val="28"/>
          <w:szCs w:val="28"/>
        </w:rPr>
        <w:t xml:space="preserve">3.1 High-Level Architecture</w:t>
      </w:r>
    </w:p>
    <w:p>
      <w:pPr>
        <w:spacing w:after="80" w:before="80"/>
      </w:pPr>
      <w:r>
        <w:rPr>
          <w:rFonts w:ascii="Arial" w:cs="Arial" w:eastAsia="Arial" w:hAnsi="Arial"/>
          <w:color w:val="404040"/>
          <w:sz w:val="22"/>
          <w:szCs w:val="22"/>
        </w:rPr>
        <w:t xml:space="preserve">The system follows a layered architecture with five distinct tiers, each with a clear responsibility: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Tier</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Responsibility</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Presentation</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React + TypeScript + Tailwind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Animated chat UI, source score cards, pipeline badges, test question library</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API Gateway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FastAPI + Uvicorn</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REST endpoints, CORS, request routing, response formatting</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Orchestration</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LangGraph + MCTSPlanner</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9-step pipeline, conditional routing, state management</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Retrieval</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Ensemble RAG (8 strategies)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Vector + BM25 + KG + Web search in parallel</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Data Layer</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Pinecone + Neo4j + Supabase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Vector storage, knowledge graph, metadata persistence</w:t>
            </w:r>
          </w:p>
        </w:tc>
      </w:tr>
    </w:tbl>
    <w:p>
      <w:pPr>
        <w:pStyle w:val="Heading2"/>
        <w:spacing w:after="100" w:before="280"/>
      </w:pPr>
      <w:r>
        <w:rPr>
          <w:rFonts w:ascii="Arial" w:cs="Arial" w:eastAsia="Arial" w:hAnsi="Arial"/>
          <w:b/>
          <w:bCs/>
          <w:color w:val="2E75B6"/>
          <w:sz w:val="28"/>
          <w:szCs w:val="28"/>
        </w:rPr>
        <w:t xml:space="preserve">3.2 Request Flow (9-Step Pipeline)</w:t>
      </w:r>
    </w:p>
    <w:p>
      <w:pPr>
        <w:spacing w:after="80" w:before="80"/>
      </w:pPr>
      <w:r>
        <w:rPr>
          <w:rFonts w:ascii="Arial" w:cs="Arial" w:eastAsia="Arial" w:hAnsi="Arial"/>
          <w:color w:val="404040"/>
          <w:sz w:val="22"/>
          <w:szCs w:val="22"/>
        </w:rPr>
        <w:t xml:space="preserve">Every query flows through the following steps, orchestrated by LangGraph's StateGraph:</w:t>
      </w:r>
    </w:p>
    <w:p>
      <w:pPr>
        <w:pStyle w:val="ListParagraph"/>
        <w:numPr>
          <w:ilvl w:val="0"/>
          <w:numId w:val="2"/>
        </w:numPr>
        <w:spacing w:after="40" w:before="40"/>
      </w:pPr>
      <w:r>
        <w:rPr>
          <w:rFonts w:ascii="Arial" w:cs="Arial" w:eastAsia="Arial" w:hAnsi="Arial"/>
          <w:color w:val="404040"/>
          <w:sz w:val="22"/>
          <w:szCs w:val="22"/>
        </w:rPr>
        <w:t xml:space="preserve">Step 1 — Guardrails Input Validation: Checks for blocked patterns, length limits, and policy violations before any processing begins</w:t>
      </w:r>
    </w:p>
    <w:p>
      <w:pPr>
        <w:pStyle w:val="ListParagraph"/>
        <w:numPr>
          <w:ilvl w:val="0"/>
          <w:numId w:val="2"/>
        </w:numPr>
        <w:spacing w:after="40" w:before="40"/>
      </w:pPr>
      <w:r>
        <w:rPr>
          <w:rFonts w:ascii="Arial" w:cs="Arial" w:eastAsia="Arial" w:hAnsi="Arial"/>
          <w:color w:val="404040"/>
          <w:sz w:val="22"/>
          <w:szCs w:val="22"/>
        </w:rPr>
        <w:t xml:space="preserve">Step 2 — Ensemble RAG Retrieval: Runs Vector search (Pinecone), BM25 keyword re-ranking, Neo4j Knowledge Graph lookup, Tavily web case law search, and government advisory search — all in parallel using asyncio.gather()</w:t>
      </w:r>
    </w:p>
    <w:p>
      <w:pPr>
        <w:pStyle w:val="ListParagraph"/>
        <w:numPr>
          <w:ilvl w:val="0"/>
          <w:numId w:val="2"/>
        </w:numPr>
        <w:spacing w:after="40" w:before="40"/>
      </w:pPr>
      <w:r>
        <w:rPr>
          <w:rFonts w:ascii="Arial" w:cs="Arial" w:eastAsia="Arial" w:hAnsi="Arial"/>
          <w:color w:val="404040"/>
          <w:sz w:val="22"/>
          <w:szCs w:val="22"/>
        </w:rPr>
        <w:t xml:space="preserve">Step 3 — MCTS Planning: Runs 100 iterations of Monte Carlo Tree Search to select the optimal reasoning action (assess_risks, search_precedents, check_compliance, etc.) based on query keywords and retrieved document signals</w:t>
      </w:r>
    </w:p>
    <w:p>
      <w:pPr>
        <w:pStyle w:val="ListParagraph"/>
        <w:numPr>
          <w:ilvl w:val="0"/>
          <w:numId w:val="2"/>
        </w:numPr>
        <w:spacing w:after="40" w:before="40"/>
      </w:pPr>
      <w:r>
        <w:rPr>
          <w:rFonts w:ascii="Arial" w:cs="Arial" w:eastAsia="Arial" w:hAnsi="Arial"/>
          <w:color w:val="404040"/>
          <w:sz w:val="22"/>
          <w:szCs w:val="22"/>
        </w:rPr>
        <w:t xml:space="preserve">Step 4 — AutoGen Analysis: Direct Groq analysis with MCTS-guided depth (deep mode for summarize_clauses and extract_obligations actions retrieves 3 documents at 600 chars each instead of 2 at 400)</w:t>
      </w:r>
    </w:p>
    <w:p>
      <w:pPr>
        <w:pStyle w:val="ListParagraph"/>
        <w:numPr>
          <w:ilvl w:val="0"/>
          <w:numId w:val="2"/>
        </w:numPr>
        <w:spacing w:after="40" w:before="40"/>
      </w:pPr>
      <w:r>
        <w:rPr>
          <w:rFonts w:ascii="Arial" w:cs="Arial" w:eastAsia="Arial" w:hAnsi="Arial"/>
          <w:color w:val="404040"/>
          <w:sz w:val="22"/>
          <w:szCs w:val="22"/>
        </w:rPr>
        <w:t xml:space="preserve">Step 5 — Crew AI Specialist Review: MCTS-focused analysis adds specialized sections — compliance check if mcts_focus=check_compliance, precedent search if mcts_focus=search_precedents, contradiction check if mcts_focus=find_contradictions</w:t>
      </w:r>
    </w:p>
    <w:p>
      <w:pPr>
        <w:pStyle w:val="ListParagraph"/>
        <w:numPr>
          <w:ilvl w:val="0"/>
          <w:numId w:val="2"/>
        </w:numPr>
        <w:spacing w:after="40" w:before="40"/>
      </w:pPr>
      <w:r>
        <w:rPr>
          <w:rFonts w:ascii="Arial" w:cs="Arial" w:eastAsia="Arial" w:hAnsi="Arial"/>
          <w:color w:val="404040"/>
          <w:sz w:val="22"/>
          <w:szCs w:val="22"/>
        </w:rPr>
        <w:t xml:space="preserve">Step 6 — Contradiction Detection: Triggered only when MCTS selects find_contradictions or query contains keywords like 'contradict' or 'conflict' — avoids wasted LLM calls</w:t>
      </w:r>
    </w:p>
    <w:p>
      <w:pPr>
        <w:pStyle w:val="ListParagraph"/>
        <w:numPr>
          <w:ilvl w:val="0"/>
          <w:numId w:val="2"/>
        </w:numPr>
        <w:spacing w:after="40" w:before="40"/>
      </w:pPr>
      <w:r>
        <w:rPr>
          <w:rFonts w:ascii="Arial" w:cs="Arial" w:eastAsia="Arial" w:hAnsi="Arial"/>
          <w:color w:val="404040"/>
          <w:sz w:val="22"/>
          <w:szCs w:val="22"/>
        </w:rPr>
        <w:t xml:space="preserve">Step 7 — Risk Assessment: Scores risk 0-100 and assigns level LOW/MEDIUM/HIGH/CRITICAL. If MCTS selects request_human_review, forces risk to HIGH and appends recommendation</w:t>
      </w:r>
    </w:p>
    <w:p>
      <w:pPr>
        <w:pStyle w:val="ListParagraph"/>
        <w:numPr>
          <w:ilvl w:val="0"/>
          <w:numId w:val="2"/>
        </w:numPr>
        <w:spacing w:after="40" w:before="40"/>
      </w:pPr>
      <w:r>
        <w:rPr>
          <w:rFonts w:ascii="Arial" w:cs="Arial" w:eastAsia="Arial" w:hAnsi="Arial"/>
          <w:color w:val="404040"/>
          <w:sz w:val="22"/>
          <w:szCs w:val="22"/>
        </w:rPr>
        <w:t xml:space="preserve">Step 8 — Human-in-the-Loop Validation: If risk is HIGH or CRITICAL, the human_loop module logs the review request and sets needs_human=True, which triggers a guardrail banner in the frontend</w:t>
      </w:r>
    </w:p>
    <w:p>
      <w:pPr>
        <w:pStyle w:val="ListParagraph"/>
        <w:numPr>
          <w:ilvl w:val="0"/>
          <w:numId w:val="2"/>
        </w:numPr>
        <w:spacing w:after="40" w:before="40"/>
      </w:pPr>
      <w:r>
        <w:rPr>
          <w:rFonts w:ascii="Arial" w:cs="Arial" w:eastAsia="Arial" w:hAnsi="Arial"/>
          <w:color w:val="404040"/>
          <w:sz w:val="22"/>
          <w:szCs w:val="22"/>
        </w:rPr>
        <w:t xml:space="preserve">Step 9 — Structured Synthesis: Generates the final answer with Direct Answer, Legal Basis (exact section quoted), Case Law citation, Actionable Step (specific phone number or portal), and Verification Link</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Why This Choice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LLM</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Groq Llama 3.3 70B</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Free tier, 8192 context, fastest inference (&lt;1s), no billing needed for basic use</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Embeddings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sentence-transformers all-MiniLM-L6-v2</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100% free, runs locally, no API key, 384-dim vectors, fast on CPU</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Vector Store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Pinecone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Managed cloud, serverless free tier, fast cosine similarity at scale</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Knowledge Graph</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Neo4j AuraDB Free</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Graph relationships between documents, parties, and clauses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Database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Supabase (PostgreSQL)</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Free managed Postgres for document metadata and analyses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Web Search</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Tavily API</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Legal-focused web search, returns structured answers, free tier available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Orchestration</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LangGraph</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Stateful graph execution, conditional edges, cycle detection</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FastAPI + Uvicorn</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Async Python, auto OpenAPI docs, high performance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Frontend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React 18 + TypeScript + Tailwind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Type-safe, component-based, rapid UI development</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Deployment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Render (backend) + Vite dev server</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Free tier hosting, auto-deploy from GitHub</w:t>
            </w:r>
          </w:p>
        </w:tc>
      </w:tr>
    </w:tbl>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5. RAG Strategies (8 Files)</w:t>
      </w:r>
    </w:p>
    <w:p>
      <w:pPr>
        <w:spacing w:after="80" w:before="80"/>
      </w:pPr>
      <w:r>
        <w:rPr>
          <w:rFonts w:ascii="Arial" w:cs="Arial" w:eastAsia="Arial" w:hAnsi="Arial"/>
          <w:color w:val="404040"/>
          <w:sz w:val="22"/>
          <w:szCs w:val="22"/>
        </w:rPr>
        <w:t xml:space="preserve">All RAG files are located in backend/rag/. The system uses an Ensemble RAG approach that runs multiple strategies in parallel and merges results by combined relevance score.</w:t>
      </w:r>
    </w:p>
    <w:p>
      <w:pPr>
        <w:pStyle w:val="Heading2"/>
        <w:spacing w:after="100" w:before="280"/>
      </w:pPr>
      <w:r>
        <w:rPr>
          <w:rFonts w:ascii="Arial" w:cs="Arial" w:eastAsia="Arial" w:hAnsi="Arial"/>
          <w:b/>
          <w:bCs/>
          <w:color w:val="2E75B6"/>
          <w:sz w:val="28"/>
          <w:szCs w:val="28"/>
        </w:rPr>
        <w:t xml:space="preserve">5.1 base.py — Abstract Foundation</w:t>
      </w:r>
    </w:p>
    <w:p>
      <w:pPr>
        <w:spacing w:after="80" w:before="80"/>
      </w:pPr>
      <w:r>
        <w:rPr>
          <w:rFonts w:ascii="Arial" w:cs="Arial" w:eastAsia="Arial" w:hAnsi="Arial"/>
          <w:color w:val="404040"/>
          <w:sz w:val="22"/>
          <w:szCs w:val="22"/>
        </w:rPr>
        <w:t xml:space="preserve">Defines the RetrievalResult dataclass (chunks, strategy, confidence, time_ms) and BaseRAG abstract class with _filter_results() method using the similarity_threshold config.</w:t>
      </w:r>
    </w:p>
    <w:p>
      <w:pPr>
        <w:pStyle w:val="Heading2"/>
        <w:spacing w:after="100" w:before="280"/>
      </w:pPr>
      <w:r>
        <w:rPr>
          <w:rFonts w:ascii="Arial" w:cs="Arial" w:eastAsia="Arial" w:hAnsi="Arial"/>
          <w:b/>
          <w:bCs/>
          <w:color w:val="2E75B6"/>
          <w:sz w:val="28"/>
          <w:szCs w:val="28"/>
        </w:rPr>
        <w:t xml:space="preserve">5.2 vector_rag.py — Standard Vector Search</w:t>
      </w:r>
    </w:p>
    <w:p>
      <w:pPr>
        <w:spacing w:after="80" w:before="80"/>
      </w:pPr>
      <w:r>
        <w:rPr>
          <w:rFonts w:ascii="Arial" w:cs="Arial" w:eastAsia="Arial" w:hAnsi="Arial"/>
          <w:color w:val="404040"/>
          <w:sz w:val="22"/>
          <w:szCs w:val="22"/>
        </w:rPr>
        <w:t xml:space="preserve">Embeds the query using all-MiniLM-L6-v2 and performs cosine similarity search in Pinecone. Returns top_k results above the similarity threshold (default 0.7). This is the fastest and most reliable strategy.</w:t>
      </w:r>
    </w:p>
    <w:p>
      <w:pPr>
        <w:pStyle w:val="Heading2"/>
        <w:spacing w:after="100" w:before="280"/>
      </w:pPr>
      <w:r>
        <w:rPr>
          <w:rFonts w:ascii="Arial" w:cs="Arial" w:eastAsia="Arial" w:hAnsi="Arial"/>
          <w:b/>
          <w:bCs/>
          <w:color w:val="2E75B6"/>
          <w:sz w:val="28"/>
          <w:szCs w:val="28"/>
        </w:rPr>
        <w:t xml:space="preserve">5.3 hyde_rag.py — Hypothetical Document Embeddings</w:t>
      </w:r>
    </w:p>
    <w:p>
      <w:pPr>
        <w:spacing w:after="80" w:before="80"/>
      </w:pPr>
      <w:r>
        <w:rPr>
          <w:rFonts w:ascii="Arial" w:cs="Arial" w:eastAsia="Arial" w:hAnsi="Arial"/>
          <w:color w:val="404040"/>
          <w:sz w:val="22"/>
          <w:szCs w:val="22"/>
        </w:rPr>
        <w:t xml:space="preserve">Instead of embedding the query directly, it first asks the LLM to generate a hypothetical document excerpt that would answer the query, then embeds that hypothetical text and searches Pinecone. This improves retrieval for abstract or indirect questions.</w:t>
      </w:r>
    </w:p>
    <w:p>
      <w:pPr>
        <w:pStyle w:val="Heading2"/>
        <w:spacing w:after="100" w:before="280"/>
      </w:pPr>
      <w:r>
        <w:rPr>
          <w:rFonts w:ascii="Arial" w:cs="Arial" w:eastAsia="Arial" w:hAnsi="Arial"/>
          <w:b/>
          <w:bCs/>
          <w:color w:val="2E75B6"/>
          <w:sz w:val="28"/>
          <w:szCs w:val="28"/>
        </w:rPr>
        <w:t xml:space="preserve">5.4 self_rag.py — Self-Reflection Retrieval</w:t>
      </w:r>
    </w:p>
    <w:p>
      <w:pPr>
        <w:spacing w:after="80" w:before="80"/>
      </w:pPr>
      <w:r>
        <w:rPr>
          <w:rFonts w:ascii="Arial" w:cs="Arial" w:eastAsia="Arial" w:hAnsi="Arial"/>
          <w:color w:val="404040"/>
          <w:sz w:val="22"/>
          <w:szCs w:val="22"/>
        </w:rPr>
        <w:t xml:space="preserve">Retrieves 2x the normal number of chunks, then asks the LLM to evaluate each chunk for relevance ('does this document answer the query?'). Only keeps chunks where has_answer=true. Scores by confidence. Used for complex multi-part questions.</w:t>
      </w:r>
    </w:p>
    <w:p>
      <w:pPr>
        <w:pBdr>
          <w:left w:val="single" w:color="C55A11" w:sz="8" w:space="12"/>
        </w:pBdr>
        <w:spacing w:after="80" w:before="80"/>
        <w:ind w:left="360"/>
      </w:pPr>
      <w:r>
        <w:rPr>
          <w:rFonts w:ascii="Arial" w:cs="Arial" w:eastAsia="Arial" w:hAnsi="Arial"/>
          <w:i/>
          <w:iCs/>
          <w:color w:val="7F4E00"/>
          <w:sz w:val="20"/>
          <w:szCs w:val="20"/>
        </w:rPr>
        <w:t xml:space="preserve">Note: Self-RAG is expensive (one LLM call per chunk). The router is configured to use the Ensemble strategy instead, which avoids the multi-call loop.</w:t>
      </w:r>
    </w:p>
    <w:p>
      <w:pPr>
        <w:pStyle w:val="Heading2"/>
        <w:spacing w:after="100" w:before="280"/>
      </w:pPr>
      <w:r>
        <w:rPr>
          <w:rFonts w:ascii="Arial" w:cs="Arial" w:eastAsia="Arial" w:hAnsi="Arial"/>
          <w:b/>
          <w:bCs/>
          <w:color w:val="2E75B6"/>
          <w:sz w:val="28"/>
          <w:szCs w:val="28"/>
        </w:rPr>
        <w:t xml:space="preserve">5.5 corrective_rag.py — Confidence-Based Fallback</w:t>
      </w:r>
    </w:p>
    <w:p>
      <w:pPr>
        <w:spacing w:after="80" w:before="80"/>
      </w:pPr>
      <w:r>
        <w:rPr>
          <w:rFonts w:ascii="Arial" w:cs="Arial" w:eastAsia="Arial" w:hAnsi="Arial"/>
          <w:color w:val="404040"/>
          <w:sz w:val="22"/>
          <w:szCs w:val="22"/>
        </w:rPr>
        <w:t xml:space="preserve">Performs vector search first. If the average confidence score is below 0.6, automatically falls back to Tavily web search to supplement with live Indian legal information. Merges web results with vector results.</w:t>
      </w:r>
    </w:p>
    <w:p>
      <w:pPr>
        <w:pStyle w:val="Heading2"/>
        <w:spacing w:after="100" w:before="280"/>
      </w:pPr>
      <w:r>
        <w:rPr>
          <w:rFonts w:ascii="Arial" w:cs="Arial" w:eastAsia="Arial" w:hAnsi="Arial"/>
          <w:b/>
          <w:bCs/>
          <w:color w:val="2E75B6"/>
          <w:sz w:val="28"/>
          <w:szCs w:val="28"/>
        </w:rPr>
        <w:t xml:space="preserve">5.6 parent_child_rag.py — Hierarchical Context</w:t>
      </w:r>
    </w:p>
    <w:p>
      <w:pPr>
        <w:spacing w:after="80" w:before="80"/>
      </w:pPr>
      <w:r>
        <w:rPr>
          <w:rFonts w:ascii="Arial" w:cs="Arial" w:eastAsia="Arial" w:hAnsi="Arial"/>
          <w:color w:val="404040"/>
          <w:sz w:val="22"/>
          <w:szCs w:val="22"/>
        </w:rPr>
        <w:t xml:space="preserve">Retrieves small child chunks (precise matches), then groups them by parent document section (every 5 chunks = 1 parent). Returns the broader parent context rather than isolated sentences. Better for questions requiring paragraph-level understanding.</w:t>
      </w:r>
    </w:p>
    <w:p>
      <w:pPr>
        <w:pStyle w:val="Heading2"/>
        <w:spacing w:after="100" w:before="280"/>
      </w:pPr>
      <w:r>
        <w:rPr>
          <w:rFonts w:ascii="Arial" w:cs="Arial" w:eastAsia="Arial" w:hAnsi="Arial"/>
          <w:b/>
          <w:bCs/>
          <w:color w:val="2E75B6"/>
          <w:sz w:val="28"/>
          <w:szCs w:val="28"/>
        </w:rPr>
        <w:t xml:space="preserve">5.7 router.py — Strategy Router</w:t>
      </w:r>
    </w:p>
    <w:p>
      <w:pPr>
        <w:spacing w:after="80" w:before="80"/>
      </w:pPr>
      <w:r>
        <w:rPr>
          <w:rFonts w:ascii="Arial" w:cs="Arial" w:eastAsia="Arial" w:hAnsi="Arial"/>
          <w:color w:val="404040"/>
          <w:sz w:val="22"/>
          <w:szCs w:val="22"/>
        </w:rPr>
        <w:t xml:space="preserve">Initializes the EnsembleRAG and delegates all queries to it. Previously routed to different strategies based on query characteristics; now uses Ensemble for maximum coverage. Supports both route() and ensemble() methods.</w:t>
      </w:r>
    </w:p>
    <w:p>
      <w:pPr>
        <w:pStyle w:val="Heading2"/>
        <w:spacing w:after="100" w:before="280"/>
      </w:pPr>
      <w:r>
        <w:rPr>
          <w:rFonts w:ascii="Arial" w:cs="Arial" w:eastAsia="Arial" w:hAnsi="Arial"/>
          <w:b/>
          <w:bCs/>
          <w:color w:val="2E75B6"/>
          <w:sz w:val="28"/>
          <w:szCs w:val="28"/>
        </w:rPr>
        <w:t xml:space="preserve">5.8 ensemble_rag.py — Multi-Strategy Parallel Retrieval (Primary)</w:t>
      </w:r>
    </w:p>
    <w:p>
      <w:pPr>
        <w:spacing w:after="80" w:before="80"/>
      </w:pPr>
      <w:r>
        <w:rPr>
          <w:rFonts w:ascii="Arial" w:cs="Arial" w:eastAsia="Arial" w:hAnsi="Arial"/>
          <w:color w:val="404040"/>
          <w:sz w:val="22"/>
          <w:szCs w:val="22"/>
        </w:rPr>
        <w:t xml:space="preserve">The flagship retrieval strategy that runs all sources in parallel using asyncio.gather():</w:t>
      </w:r>
    </w:p>
    <w:p>
      <w:pPr>
        <w:pStyle w:val="ListParagraph"/>
        <w:numPr>
          <w:ilvl w:val="0"/>
          <w:numId w:val="2"/>
        </w:numPr>
        <w:spacing w:after="40" w:before="40"/>
      </w:pPr>
      <w:r>
        <w:rPr>
          <w:rFonts w:ascii="Arial" w:cs="Arial" w:eastAsia="Arial" w:hAnsi="Arial"/>
          <w:color w:val="404040"/>
          <w:sz w:val="22"/>
          <w:szCs w:val="22"/>
        </w:rPr>
        <w:t xml:space="preserve">Vector search: Pinecone cosine similarity (top 8 results)</w:t>
      </w:r>
    </w:p>
    <w:p>
      <w:pPr>
        <w:pStyle w:val="ListParagraph"/>
        <w:numPr>
          <w:ilvl w:val="0"/>
          <w:numId w:val="2"/>
        </w:numPr>
        <w:spacing w:after="40" w:before="40"/>
      </w:pPr>
      <w:r>
        <w:rPr>
          <w:rFonts w:ascii="Arial" w:cs="Arial" w:eastAsia="Arial" w:hAnsi="Arial"/>
          <w:color w:val="404040"/>
          <w:sz w:val="22"/>
          <w:szCs w:val="22"/>
        </w:rPr>
        <w:t xml:space="preserve">BM25 keyword re-ranking: Token overlap scoring applied to vector results, combined score = vector * 0.7 + BM25 * 0.3</w:t>
      </w:r>
    </w:p>
    <w:p>
      <w:pPr>
        <w:pStyle w:val="ListParagraph"/>
        <w:numPr>
          <w:ilvl w:val="0"/>
          <w:numId w:val="2"/>
        </w:numPr>
        <w:spacing w:after="40" w:before="40"/>
      </w:pPr>
      <w:r>
        <w:rPr>
          <w:rFonts w:ascii="Arial" w:cs="Arial" w:eastAsia="Arial" w:hAnsi="Arial"/>
          <w:color w:val="404040"/>
          <w:sz w:val="22"/>
          <w:szCs w:val="22"/>
        </w:rPr>
        <w:t xml:space="preserve">Neo4j Knowledge Graph: Cypher queries find documents linked by party or clause nodes</w:t>
      </w:r>
    </w:p>
    <w:p>
      <w:pPr>
        <w:pStyle w:val="ListParagraph"/>
        <w:numPr>
          <w:ilvl w:val="0"/>
          <w:numId w:val="2"/>
        </w:numPr>
        <w:spacing w:after="40" w:before="40"/>
      </w:pPr>
      <w:r>
        <w:rPr>
          <w:rFonts w:ascii="Arial" w:cs="Arial" w:eastAsia="Arial" w:hAnsi="Arial"/>
          <w:color w:val="404040"/>
          <w:sz w:val="22"/>
          <w:szCs w:val="22"/>
        </w:rPr>
        <w:t xml:space="preserve">Web case law search: Tavily searches indiankanoon.org and supremecourt.gov.in for real judgments</w:t>
      </w:r>
    </w:p>
    <w:p>
      <w:pPr>
        <w:pStyle w:val="ListParagraph"/>
        <w:numPr>
          <w:ilvl w:val="0"/>
          <w:numId w:val="2"/>
        </w:numPr>
        <w:spacing w:after="40" w:before="40"/>
      </w:pPr>
      <w:r>
        <w:rPr>
          <w:rFonts w:ascii="Arial" w:cs="Arial" w:eastAsia="Arial" w:hAnsi="Arial"/>
          <w:color w:val="404040"/>
          <w:sz w:val="22"/>
          <w:szCs w:val="22"/>
        </w:rPr>
        <w:t xml:space="preserve">Government advisory search: Tavily searches pib.gov.in, meity.gov.in, rbi.org.in for official rules</w:t>
      </w:r>
    </w:p>
    <w:p>
      <w:pPr>
        <w:spacing w:after="80" w:before="80"/>
      </w:pPr>
      <w:r>
        <w:rPr>
          <w:rFonts w:ascii="Arial" w:cs="Arial" w:eastAsia="Arial" w:hAnsi="Arial"/>
          <w:color w:val="404040"/>
          <w:sz w:val="22"/>
          <w:szCs w:val="22"/>
        </w:rPr>
        <w:t xml:space="preserve">After gathering, all results are deduplicated by document name (keeping highest score) and sorted by combined_score. Each result carries source_type, source_label, and combined_score metadata for the frontend to display.</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6. Multi-Agent System</w:t>
      </w:r>
    </w:p>
    <w:p>
      <w:pPr>
        <w:pStyle w:val="Heading2"/>
        <w:spacing w:after="100" w:before="280"/>
      </w:pPr>
      <w:r>
        <w:rPr>
          <w:rFonts w:ascii="Arial" w:cs="Arial" w:eastAsia="Arial" w:hAnsi="Arial"/>
          <w:b/>
          <w:bCs/>
          <w:color w:val="2E75B6"/>
          <w:sz w:val="28"/>
          <w:szCs w:val="28"/>
        </w:rPr>
        <w:t xml:space="preserve">6.1 AutoGen Agent (agents/autogen_agents.py)</w:t>
      </w:r>
    </w:p>
    <w:p>
      <w:pPr>
        <w:spacing w:after="80" w:before="80"/>
      </w:pPr>
      <w:r>
        <w:rPr>
          <w:rFonts w:ascii="Arial" w:cs="Arial" w:eastAsia="Arial" w:hAnsi="Arial"/>
          <w:color w:val="404040"/>
          <w:sz w:val="22"/>
          <w:szCs w:val="22"/>
        </w:rPr>
        <w:t xml:space="preserve">AutoGen multi-agent framework is initialized but runs in 'direct Groq fallback' mode for token safety. The agent adjusts its analysis depth based on the MCTS top action:</w:t>
      </w:r>
    </w:p>
    <w:p>
      <w:pPr>
        <w:pStyle w:val="ListParagraph"/>
        <w:numPr>
          <w:ilvl w:val="0"/>
          <w:numId w:val="2"/>
        </w:numPr>
        <w:spacing w:after="40" w:before="40"/>
      </w:pPr>
      <w:r>
        <w:rPr>
          <w:rFonts w:ascii="Arial" w:cs="Arial" w:eastAsia="Arial" w:hAnsi="Arial"/>
          <w:color w:val="404040"/>
          <w:sz w:val="22"/>
          <w:szCs w:val="22"/>
        </w:rPr>
        <w:t xml:space="preserve">Normal mode: 2 documents, 400 chars each — for standard factual queries</w:t>
      </w:r>
    </w:p>
    <w:p>
      <w:pPr>
        <w:pStyle w:val="ListParagraph"/>
        <w:numPr>
          <w:ilvl w:val="0"/>
          <w:numId w:val="2"/>
        </w:numPr>
        <w:spacing w:after="40" w:before="40"/>
      </w:pPr>
      <w:r>
        <w:rPr>
          <w:rFonts w:ascii="Arial" w:cs="Arial" w:eastAsia="Arial" w:hAnsi="Arial"/>
          <w:color w:val="404040"/>
          <w:sz w:val="22"/>
          <w:szCs w:val="22"/>
        </w:rPr>
        <w:t xml:space="preserve">Deep mode (triggered by summarize_clauses, extract_obligations, generate_recommendations): 3 documents, 600 chars each, includes all parties and deadlines</w:t>
      </w:r>
    </w:p>
    <w:p>
      <w:pPr>
        <w:spacing w:after="80" w:before="80"/>
      </w:pPr>
      <w:r>
        <w:rPr>
          <w:rFonts w:ascii="Arial" w:cs="Arial" w:eastAsia="Arial" w:hAnsi="Arial"/>
          <w:color w:val="404040"/>
          <w:sz w:val="22"/>
          <w:szCs w:val="22"/>
        </w:rPr>
        <w:t xml:space="preserve">Output: Summary containing direct answer with section citations, key obligations, risk level (scenario queries only), and recommended action.</w:t>
      </w:r>
    </w:p>
    <w:p>
      <w:pPr>
        <w:pStyle w:val="Heading2"/>
        <w:spacing w:after="100" w:before="280"/>
      </w:pPr>
      <w:r>
        <w:rPr>
          <w:rFonts w:ascii="Arial" w:cs="Arial" w:eastAsia="Arial" w:hAnsi="Arial"/>
          <w:b/>
          <w:bCs/>
          <w:color w:val="2E75B6"/>
          <w:sz w:val="28"/>
          <w:szCs w:val="28"/>
        </w:rPr>
        <w:t xml:space="preserve">6.2 Crew AI Agent (agents/crew_agents.py)</w:t>
      </w:r>
    </w:p>
    <w:p>
      <w:pPr>
        <w:spacing w:after="80" w:before="80"/>
      </w:pPr>
      <w:r>
        <w:rPr>
          <w:rFonts w:ascii="Arial" w:cs="Arial" w:eastAsia="Arial" w:hAnsi="Arial"/>
          <w:color w:val="404040"/>
          <w:sz w:val="22"/>
          <w:szCs w:val="22"/>
        </w:rPr>
        <w:t xml:space="preserve">Crew AI agents run in direct Groq fallback mode. The agent uses MCTS focus to add specialized analysis sections:</w:t>
      </w:r>
    </w:p>
    <w:p>
      <w:pPr>
        <w:pStyle w:val="ListParagraph"/>
        <w:numPr>
          <w:ilvl w:val="0"/>
          <w:numId w:val="2"/>
        </w:numPr>
        <w:spacing w:after="40" w:before="40"/>
      </w:pPr>
      <w:r>
        <w:rPr>
          <w:rFonts w:ascii="Arial" w:cs="Arial" w:eastAsia="Arial" w:hAnsi="Arial"/>
          <w:color w:val="404040"/>
          <w:sz w:val="22"/>
          <w:szCs w:val="22"/>
        </w:rPr>
        <w:t xml:space="preserve">mcts_focus=check_compliance: Adds Indian law compliance check section</w:t>
      </w:r>
    </w:p>
    <w:p>
      <w:pPr>
        <w:pStyle w:val="ListParagraph"/>
        <w:numPr>
          <w:ilvl w:val="0"/>
          <w:numId w:val="2"/>
        </w:numPr>
        <w:spacing w:after="40" w:before="40"/>
      </w:pPr>
      <w:r>
        <w:rPr>
          <w:rFonts w:ascii="Arial" w:cs="Arial" w:eastAsia="Arial" w:hAnsi="Arial"/>
          <w:color w:val="404040"/>
          <w:sz w:val="22"/>
          <w:szCs w:val="22"/>
        </w:rPr>
        <w:t xml:space="preserve">mcts_focus=search_precedents: Adds relevant precedent and case outcomes section</w:t>
      </w:r>
    </w:p>
    <w:p>
      <w:pPr>
        <w:pStyle w:val="ListParagraph"/>
        <w:numPr>
          <w:ilvl w:val="0"/>
          <w:numId w:val="2"/>
        </w:numPr>
        <w:spacing w:after="40" w:before="40"/>
      </w:pPr>
      <w:r>
        <w:rPr>
          <w:rFonts w:ascii="Arial" w:cs="Arial" w:eastAsia="Arial" w:hAnsi="Arial"/>
          <w:color w:val="404040"/>
          <w:sz w:val="22"/>
          <w:szCs w:val="22"/>
        </w:rPr>
        <w:t xml:space="preserve">mcts_focus=find_contradictions: Adds contradictions found in documents section</w:t>
      </w:r>
    </w:p>
    <w:p>
      <w:pPr>
        <w:spacing w:after="80" w:before="80"/>
      </w:pPr>
      <w:r>
        <w:rPr>
          <w:rFonts w:ascii="Arial" w:cs="Arial" w:eastAsia="Arial" w:hAnsi="Arial"/>
          <w:color w:val="404040"/>
          <w:sz w:val="22"/>
          <w:szCs w:val="22"/>
        </w:rPr>
        <w:t xml:space="preserve">The agent also detects scenario-based queries ('my ', 'terminated', 'not paid', etc.) and includes risk level (LOW/MEDIUM/HIGH/CRITICAL) only for those.</w:t>
      </w:r>
    </w:p>
    <w:p>
      <w:pPr>
        <w:pStyle w:val="Heading2"/>
        <w:spacing w:after="100" w:before="280"/>
      </w:pPr>
      <w:r>
        <w:rPr>
          <w:rFonts w:ascii="Arial" w:cs="Arial" w:eastAsia="Arial" w:hAnsi="Arial"/>
          <w:b/>
          <w:bCs/>
          <w:color w:val="2E75B6"/>
          <w:sz w:val="28"/>
          <w:szCs w:val="28"/>
        </w:rPr>
        <w:t xml:space="preserve">6.3 MCTS Planner (agents/mcts_planner.py)</w:t>
      </w:r>
    </w:p>
    <w:p>
      <w:pPr>
        <w:spacing w:after="80" w:before="80"/>
      </w:pPr>
      <w:r>
        <w:rPr>
          <w:rFonts w:ascii="Arial" w:cs="Arial" w:eastAsia="Arial" w:hAnsi="Arial"/>
          <w:color w:val="404040"/>
          <w:sz w:val="22"/>
          <w:szCs w:val="22"/>
        </w:rPr>
        <w:t xml:space="preserve">Implements Monte Carlo Tree Search with UCB1 exploration formula (exploration constant = 1.414). Runs 100 iterations over 9 possible actions. Each action has a base reward and keyword boost: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Base Reward</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Keyword Triggers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retrieve_documents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0.9</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Always high — document retrieval is foundational</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generate_recommendations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0.9</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recommend, suggest, advise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summarize_clauses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0.8</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extract_obligations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0.7</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assess_risks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0.7</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risk, dangerous, problem, liability, penalty</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check_compliance</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0.6</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comply, regulation, statute, law, gdpr</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search_precedents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0.6</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case, judgment, court, precedent, ruling</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find_contradictions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0.5</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conflict, contradict, different, inconsistent</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request_human_review</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0.4</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w:t>
            </w:r>
          </w:p>
        </w:tc>
      </w:tr>
    </w:tbl>
    <w:p>
      <w:pPr>
        <w:spacing w:after="80" w:before="80"/>
      </w:pPr>
      <w:r>
        <w:rPr>
          <w:rFonts w:ascii="Arial" w:cs="Arial" w:eastAsia="Arial" w:hAnsi="Arial"/>
          <w:color w:val="404040"/>
          <w:sz w:val="22"/>
          <w:szCs w:val="22"/>
        </w:rPr>
        <w:t xml:space="preserve">When a keyword boost is triggered, the base reward increases by 0.3 (capped at 1.0). The best path is extracted by greedily selecting the highest-value child at each level. The top action is stored in state.mcts_top_action and used by autogen_analysis and crew_analysis to adapt their behavior.</w:t>
      </w:r>
    </w:p>
    <w:p>
      <w:pPr>
        <w:pStyle w:val="Heading2"/>
        <w:spacing w:after="100" w:before="280"/>
      </w:pPr>
      <w:r>
        <w:rPr>
          <w:rFonts w:ascii="Arial" w:cs="Arial" w:eastAsia="Arial" w:hAnsi="Arial"/>
          <w:b/>
          <w:bCs/>
          <w:color w:val="2E75B6"/>
          <w:sz w:val="28"/>
          <w:szCs w:val="28"/>
        </w:rPr>
        <w:t xml:space="preserve">6.4 LangGraph Orchestrator (agents/orchestrator.py)</w:t>
      </w:r>
    </w:p>
    <w:p>
      <w:pPr>
        <w:spacing w:after="80" w:before="80"/>
      </w:pPr>
      <w:r>
        <w:rPr>
          <w:rFonts w:ascii="Arial" w:cs="Arial" w:eastAsia="Arial" w:hAnsi="Arial"/>
          <w:color w:val="404040"/>
          <w:sz w:val="22"/>
          <w:szCs w:val="22"/>
        </w:rPr>
        <w:t xml:space="preserve">Builds a StateGraph with 10 nodes and conditional edges. The graph compiles to an executable that maintains typed state (OrchestratorState TypedDict) across all steps. The routing function _route_after_lawyers() examines the query and risk level to choose between draft generation, human validation, or direct synthesis.</w:t>
      </w:r>
    </w:p>
    <w:p>
      <w:pPr>
        <w:spacing w:after="80" w:before="80"/>
      </w:pPr>
      <w:r>
        <w:rPr>
          <w:rFonts w:ascii="Arial" w:cs="Arial" w:eastAsia="Arial" w:hAnsi="Arial"/>
          <w:color w:val="404040"/>
          <w:sz w:val="22"/>
          <w:szCs w:val="22"/>
        </w:rPr>
        <w:t xml:space="preserve">If LangGraph is not installed, the orchestrator falls back to a sequential _sequential_run() method that executes all steps in order without the graph overhead.</w:t>
      </w:r>
    </w:p>
    <w:p>
      <w:pPr>
        <w:pStyle w:val="Heading2"/>
        <w:spacing w:after="100" w:before="280"/>
      </w:pPr>
      <w:r>
        <w:rPr>
          <w:rFonts w:ascii="Arial" w:cs="Arial" w:eastAsia="Arial" w:hAnsi="Arial"/>
          <w:b/>
          <w:bCs/>
          <w:color w:val="2E75B6"/>
          <w:sz w:val="28"/>
          <w:szCs w:val="28"/>
        </w:rPr>
        <w:t xml:space="preserve">6.5 Human-in-the-Loop (tools/human_loop.py)</w:t>
      </w:r>
    </w:p>
    <w:p>
      <w:pPr>
        <w:spacing w:after="80" w:before="80"/>
      </w:pPr>
      <w:r>
        <w:rPr>
          <w:rFonts w:ascii="Arial" w:cs="Arial" w:eastAsia="Arial" w:hAnsi="Arial"/>
          <w:color w:val="404040"/>
          <w:sz w:val="22"/>
          <w:szCs w:val="22"/>
        </w:rPr>
        <w:t xml:space="preserve">Logs pending reviews when risk is HIGH or CRITICAL. Stores the full state, risk level, and a review ID. In production this would send a WebSocket notification to a human reviewer queue. Currently auto-approves after 100ms but sets needs_human=True so the frontend displays the guardrail warning banner.</w:t>
      </w:r>
    </w:p>
    <w:p>
      <w:pPr>
        <w:pStyle w:val="Heading2"/>
        <w:spacing w:after="100" w:before="280"/>
      </w:pPr>
      <w:r>
        <w:rPr>
          <w:rFonts w:ascii="Arial" w:cs="Arial" w:eastAsia="Arial" w:hAnsi="Arial"/>
          <w:b/>
          <w:bCs/>
          <w:color w:val="2E75B6"/>
          <w:sz w:val="28"/>
          <w:szCs w:val="28"/>
        </w:rPr>
        <w:t xml:space="preserve">6.6 Guardrails (tools/guardrails.py)</w:t>
      </w:r>
    </w:p>
    <w:p>
      <w:pPr>
        <w:spacing w:after="80" w:before="80"/>
      </w:pPr>
      <w:r>
        <w:rPr>
          <w:rFonts w:ascii="Arial" w:cs="Arial" w:eastAsia="Arial" w:hAnsi="Arial"/>
          <w:color w:val="404040"/>
          <w:sz w:val="22"/>
          <w:szCs w:val="22"/>
        </w:rPr>
        <w:t xml:space="preserve">Input validation checks: maximum 50,000 character queries, blocked patterns (provide false legal advice, fabricate case law, create fraudulent, help evade, launder). Output validation ensures every response includes a plain-text legal disclaimer. No markdown formatting in disclaimers.</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7. Data Layer</w:t>
      </w:r>
    </w:p>
    <w:p>
      <w:pPr>
        <w:pStyle w:val="Heading2"/>
        <w:spacing w:after="100" w:before="280"/>
      </w:pPr>
      <w:r>
        <w:rPr>
          <w:rFonts w:ascii="Arial" w:cs="Arial" w:eastAsia="Arial" w:hAnsi="Arial"/>
          <w:b/>
          <w:bCs/>
          <w:color w:val="2E75B6"/>
          <w:sz w:val="28"/>
          <w:szCs w:val="28"/>
        </w:rPr>
        <w:t xml:space="preserve">7.1 Pinecone — Vector Store</w:t>
      </w:r>
    </w:p>
    <w:p>
      <w:pPr>
        <w:spacing w:after="80" w:before="80"/>
      </w:pPr>
      <w:r>
        <w:rPr>
          <w:rFonts w:ascii="Arial" w:cs="Arial" w:eastAsia="Arial" w:hAnsi="Arial"/>
          <w:color w:val="404040"/>
          <w:sz w:val="22"/>
          <w:szCs w:val="22"/>
        </w:rPr>
        <w:t xml:space="preserve">Index name: legal-advisor. Dimension: 384 (all-MiniLM-L6-v2). Metric: cosine. Cloud: AWS us-east-1. Each vector stores metadata: text (chunk content), document (filename), doc_id (UUID), chunk_index, page.</w:t>
      </w:r>
    </w:p>
    <w:p>
      <w:pPr>
        <w:spacing w:after="80" w:before="80"/>
      </w:pPr>
      <w:r>
        <w:rPr>
          <w:rFonts w:ascii="Arial" w:cs="Arial" w:eastAsia="Arial" w:hAnsi="Arial"/>
          <w:color w:val="404040"/>
          <w:sz w:val="22"/>
          <w:szCs w:val="22"/>
        </w:rPr>
        <w:t xml:space="preserve">The ingestion pipeline (ingestion/ingest.py) reads each file, extracts text, splits into 1000-character chunks with 200-character overlap, embeds each chunk using sentence-transformers (locally, no API needed), and upserts to Pinecone in batch. Average 8-12 chunks per document.</w:t>
      </w:r>
    </w:p>
    <w:p>
      <w:pPr>
        <w:pStyle w:val="Heading2"/>
        <w:spacing w:after="100" w:before="280"/>
      </w:pPr>
      <w:r>
        <w:rPr>
          <w:rFonts w:ascii="Arial" w:cs="Arial" w:eastAsia="Arial" w:hAnsi="Arial"/>
          <w:b/>
          <w:bCs/>
          <w:color w:val="2E75B6"/>
          <w:sz w:val="28"/>
          <w:szCs w:val="28"/>
        </w:rPr>
        <w:t xml:space="preserve">7.2 Neo4j AuraDB — Knowledge Graph</w:t>
      </w:r>
    </w:p>
    <w:p>
      <w:pPr>
        <w:spacing w:after="80" w:before="80"/>
      </w:pPr>
      <w:r>
        <w:rPr>
          <w:rFonts w:ascii="Arial" w:cs="Arial" w:eastAsia="Arial" w:hAnsi="Arial"/>
          <w:color w:val="404040"/>
          <w:sz w:val="22"/>
          <w:szCs w:val="22"/>
        </w:rPr>
        <w:t xml:space="preserve">Instance: bc53129e.databases.neo4j.io. Nodes: Document (id, name, type), Party (name, type), Clause (id, type, text). Relationships: HAS_PARTY, HAS_CLAUSE. The knowledge graph enables cross-document relationship queries — finding all documents involving the same party, or documents that share similar clause types.</w:t>
      </w:r>
    </w:p>
    <w:p>
      <w:pPr>
        <w:spacing w:after="80" w:before="80"/>
      </w:pPr>
      <w:r>
        <w:rPr>
          <w:rFonts w:ascii="Arial" w:cs="Arial" w:eastAsia="Arial" w:hAnsi="Arial"/>
          <w:color w:val="404040"/>
          <w:sz w:val="22"/>
          <w:szCs w:val="22"/>
        </w:rPr>
        <w:t xml:space="preserve">The Ensemble RAG uses Cypher queries to find documents matching query keywords, adding knowledge graph provenance to the source list. If Neo4j credentials are not configured or the instance is unavailable, the knowledge graph module gracefully disables itself.</w:t>
      </w:r>
    </w:p>
    <w:p>
      <w:pPr>
        <w:pStyle w:val="Heading2"/>
        <w:spacing w:after="100" w:before="280"/>
      </w:pPr>
      <w:r>
        <w:rPr>
          <w:rFonts w:ascii="Arial" w:cs="Arial" w:eastAsia="Arial" w:hAnsi="Arial"/>
          <w:b/>
          <w:bCs/>
          <w:color w:val="2E75B6"/>
          <w:sz w:val="28"/>
          <w:szCs w:val="28"/>
        </w:rPr>
        <w:t xml:space="preserve">7.3 Supabase — Metadata Store</w:t>
      </w:r>
    </w:p>
    <w:p>
      <w:pPr>
        <w:spacing w:after="80" w:before="80"/>
      </w:pPr>
      <w:r>
        <w:rPr>
          <w:rFonts w:ascii="Arial" w:cs="Arial" w:eastAsia="Arial" w:hAnsi="Arial"/>
          <w:color w:val="404040"/>
          <w:sz w:val="22"/>
          <w:szCs w:val="22"/>
        </w:rPr>
        <w:t xml:space="preserve">Tables: documents (id, name, file_type, content, chunk_count, uploaded_at) and analyses (id, document_id, query, answer, risk_level, risk_score, rag_strategy, created_at). Used for document listing in the frontend Documents page. Row Level Security must be disabled for the service role to insert.</w:t>
      </w:r>
    </w:p>
    <w:p>
      <w:pPr>
        <w:pStyle w:val="Heading2"/>
        <w:spacing w:after="100" w:before="280"/>
      </w:pPr>
      <w:r>
        <w:rPr>
          <w:rFonts w:ascii="Arial" w:cs="Arial" w:eastAsia="Arial" w:hAnsi="Arial"/>
          <w:b/>
          <w:bCs/>
          <w:color w:val="2E75B6"/>
          <w:sz w:val="28"/>
          <w:szCs w:val="28"/>
        </w:rPr>
        <w:t xml:space="preserve">7.4 Legal Knowledge Base — 12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File</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Coverage</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Key Content</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constitutional_rights.md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Articles 14, 19(1)(g), 21</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Equality, profession rights, right to life — with Maneka Gandhi, Puttaswamy, Hussainara Khatoon cases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rental_laws.md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Transfer of Property Act, State Rent Control Acts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Verbal agreement validity, utility cutoff as criminal offense, eviction notice periods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rental_agreement.md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Sample rental agreement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Specific clause references for deposit, maintenance, notice</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employment_contract.md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Sample employment contract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Notice period clauses, termination conditions, IP clauses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employment_nda.md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Contract Act S.27, Shops Act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Non-compete voidness, notice period rights, salary withholding, PF/gratuity</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nda.md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Sample NDA document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Confidentiality obligations, trade secret scope, exceptions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consumer_protection_act_2019.md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Consumer Protection Act 2019</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E-commerce liability, 21-day rule, dark patterns, district forum jurisdiction</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dpdp_act_2023.md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DPDP Act 2023 + Rules 2025</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Right to erasure, consent requirements, 72-hour breach notification, Rs 250 Cr penalty</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it_act_2000.md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IT Act 2000 + BNS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Sections 43, 66, 66C, 66D, 67, 72 — hacking, identity theft, impersonation</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cyber_fraud_it_act.md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IT Act, RBI circular</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Zero liability rule (3 days), OTP fraud, UPI scam, digital evidence rules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arbitration_act.md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Arbitration Act 1996</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12-month timeline, S.8 referral, S.34 challenge, fast-track, domestic vs international</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marital_laws.md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Hindu Marriage Act, DV Act, BNSS S.144</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Divorce grounds, maintenance despite income, residence order, triple talaq Act 2019</w:t>
            </w:r>
          </w:p>
        </w:tc>
      </w:tr>
    </w:tbl>
    <w:p>
      <w:pPr>
        <w:pBdr>
          <w:bottom w:val="single" w:color="2E75B6" w:sz="4" w:space="1"/>
        </w:pBdr>
        <w:spacing w:after="120" w:before="120"/>
      </w:pPr>
    </w:p>
    <w:p>
      <w:r>
        <w:br w:type="page"/>
      </w:r>
    </w:p>
    <w:p>
      <w:pPr>
        <w:pStyle w:val="Heading1"/>
        <w:spacing w:after="120" w:before="360"/>
      </w:pPr>
      <w:r>
        <w:rPr>
          <w:rFonts w:ascii="Arial" w:cs="Arial" w:eastAsia="Arial" w:hAnsi="Arial"/>
          <w:b/>
          <w:bCs/>
          <w:color w:val="1F3A7A"/>
          <w:sz w:val="36"/>
          <w:szCs w:val="36"/>
        </w:rPr>
        <w:t xml:space="preserve">8. Backend API Endpoints</w:t>
      </w:r>
    </w:p>
    <w:p>
      <w:pPr>
        <w:spacing w:after="80" w:before="80"/>
      </w:pPr>
      <w:r>
        <w:rPr>
          <w:rFonts w:ascii="Arial" w:cs="Arial" w:eastAsia="Arial" w:hAnsi="Arial"/>
          <w:color w:val="404040"/>
          <w:sz w:val="22"/>
          <w:szCs w:val="22"/>
        </w:rPr>
        <w:t xml:space="preserve">Base URL: http://localhost:8000/api. All endpoints accept JSON. FastAPI auto-generates OpenAPI docs at /docs.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2800"/>
      </w:tblGrid>
      <w:tr>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Method</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Endpoint</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Input</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Output</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GET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/health</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Service status, version</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POST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/query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query, jurisdiction</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answer, risk_score, lawyers, mcts_path, sources with scores, needs_human_review</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POST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/upload</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file (PDF/TXT/MD), doc_name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doc_id, chunks count, characters ingested</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GET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/documents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List of all ingested documents from Supabase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GET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/documents/stats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Pinecone index total vectors and dimension</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POST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/search</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query, top_k</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Direct vector search results with scores (bypasses agents)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POST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/lawyers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city, practice_area</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List of lawyers with name, firm, rating, contact</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POST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/draft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scenario, doc_type, parties, jurisdiction</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Generated legal draft document text</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POST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/summarize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query (document text)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Structured document summary</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GET</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/analyses</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Past analysis records from Supabase</w:t>
            </w:r>
          </w:p>
        </w:tc>
      </w:tr>
    </w:tbl>
    <w:p>
      <w:pPr>
        <w:pStyle w:val="Heading2"/>
        <w:spacing w:after="100" w:before="280"/>
      </w:pPr>
      <w:r>
        <w:rPr>
          <w:rFonts w:ascii="Arial" w:cs="Arial" w:eastAsia="Arial" w:hAnsi="Arial"/>
          <w:b/>
          <w:bCs/>
          <w:color w:val="2E75B6"/>
          <w:sz w:val="28"/>
          <w:szCs w:val="28"/>
        </w:rPr>
        <w:t xml:space="preserve">8.1 Query Response Structure</w:t>
      </w:r>
    </w:p>
    <w:p>
      <w:pPr>
        <w:spacing w:after="80" w:before="80"/>
      </w:pPr>
      <w:r>
        <w:rPr>
          <w:rFonts w:ascii="Arial" w:cs="Arial" w:eastAsia="Arial" w:hAnsi="Arial"/>
          <w:color w:val="404040"/>
          <w:sz w:val="22"/>
          <w:szCs w:val="22"/>
        </w:rPr>
        <w:t xml:space="preserve">The /query endpoint returns the following JSON structure with all fields:</w:t>
      </w:r>
    </w:p>
    <w:p>
      <w:pPr>
        <w:spacing w:after="40" w:before="40"/>
        <w:ind w:left="720"/>
      </w:pPr>
      <w:r>
        <w:rPr>
          <w:rFonts w:ascii="Courier New" w:cs="Courier New" w:eastAsia="Courier New" w:hAnsi="Courier New"/>
          <w:color w:val="005A9C"/>
          <w:sz w:val="20"/>
          <w:szCs w:val="20"/>
        </w:rPr>
        <w:t xml:space="preserve">success: boolean</w:t>
      </w:r>
    </w:p>
    <w:p>
      <w:pPr>
        <w:spacing w:after="40" w:before="40"/>
        <w:ind w:left="720"/>
      </w:pPr>
      <w:r>
        <w:rPr>
          <w:rFonts w:ascii="Courier New" w:cs="Courier New" w:eastAsia="Courier New" w:hAnsi="Courier New"/>
          <w:color w:val="005A9C"/>
          <w:sz w:val="20"/>
          <w:szCs w:val="20"/>
        </w:rPr>
        <w:t xml:space="preserve">query: string — the original question</w:t>
      </w:r>
    </w:p>
    <w:p>
      <w:pPr>
        <w:spacing w:after="40" w:before="40"/>
        <w:ind w:left="720"/>
      </w:pPr>
      <w:r>
        <w:rPr>
          <w:rFonts w:ascii="Courier New" w:cs="Courier New" w:eastAsia="Courier New" w:hAnsi="Courier New"/>
          <w:color w:val="005A9C"/>
          <w:sz w:val="20"/>
          <w:szCs w:val="20"/>
        </w:rPr>
        <w:t xml:space="preserve">answer: string — full structured citation-aware answer</w:t>
      </w:r>
    </w:p>
    <w:p>
      <w:pPr>
        <w:spacing w:after="40" w:before="40"/>
        <w:ind w:left="720"/>
      </w:pPr>
      <w:r>
        <w:rPr>
          <w:rFonts w:ascii="Courier New" w:cs="Courier New" w:eastAsia="Courier New" w:hAnsi="Courier New"/>
          <w:color w:val="005A9C"/>
          <w:sz w:val="20"/>
          <w:szCs w:val="20"/>
        </w:rPr>
        <w:t xml:space="preserve">risk_score: { score: 0-100, level: LOW|MEDIUM|HIGH|CRITICAL, recommendation: string }</w:t>
      </w:r>
    </w:p>
    <w:p>
      <w:pPr>
        <w:spacing w:after="40" w:before="40"/>
        <w:ind w:left="720"/>
      </w:pPr>
      <w:r>
        <w:rPr>
          <w:rFonts w:ascii="Courier New" w:cs="Courier New" w:eastAsia="Courier New" w:hAnsi="Courier New"/>
          <w:color w:val="005A9C"/>
          <w:sz w:val="20"/>
          <w:szCs w:val="20"/>
        </w:rPr>
        <w:t xml:space="preserve">rag_strategy: string — e.g. 'ensemble_hybrid'</w:t>
      </w:r>
    </w:p>
    <w:p>
      <w:pPr>
        <w:spacing w:after="40" w:before="40"/>
        <w:ind w:left="720"/>
      </w:pPr>
      <w:r>
        <w:rPr>
          <w:rFonts w:ascii="Courier New" w:cs="Courier New" w:eastAsia="Courier New" w:hAnsi="Courier New"/>
          <w:color w:val="005A9C"/>
          <w:sz w:val="20"/>
          <w:szCs w:val="20"/>
        </w:rPr>
        <w:t xml:space="preserve">mcts_path: [{ action, value, visits }] — MCTS reasoning path</w:t>
      </w:r>
    </w:p>
    <w:p>
      <w:pPr>
        <w:spacing w:after="40" w:before="40"/>
        <w:ind w:left="720"/>
      </w:pPr>
      <w:r>
        <w:rPr>
          <w:rFonts w:ascii="Courier New" w:cs="Courier New" w:eastAsia="Courier New" w:hAnsi="Courier New"/>
          <w:color w:val="005A9C"/>
          <w:sz w:val="20"/>
          <w:szCs w:val="20"/>
        </w:rPr>
        <w:t xml:space="preserve">mcts_top_action: string — the action MCTS selected</w:t>
      </w:r>
    </w:p>
    <w:p>
      <w:pPr>
        <w:spacing w:after="40" w:before="40"/>
        <w:ind w:left="720"/>
      </w:pPr>
      <w:r>
        <w:rPr>
          <w:rFonts w:ascii="Courier New" w:cs="Courier New" w:eastAsia="Courier New" w:hAnsi="Courier New"/>
          <w:color w:val="005A9C"/>
          <w:sz w:val="20"/>
          <w:szCs w:val="20"/>
        </w:rPr>
        <w:t xml:space="preserve">retrieved_chunks: [{ document, score, source_type, source_label }]</w:t>
      </w:r>
    </w:p>
    <w:p>
      <w:pPr>
        <w:spacing w:after="40" w:before="40"/>
        <w:ind w:left="720"/>
      </w:pPr>
      <w:r>
        <w:rPr>
          <w:rFonts w:ascii="Courier New" w:cs="Courier New" w:eastAsia="Courier New" w:hAnsi="Courier New"/>
          <w:color w:val="005A9C"/>
          <w:sz w:val="20"/>
          <w:szCs w:val="20"/>
        </w:rPr>
        <w:t xml:space="preserve">lawyers: [{ name, firm, practice_areas, experience, rating }]</w:t>
      </w:r>
    </w:p>
    <w:p>
      <w:pPr>
        <w:spacing w:after="40" w:before="40"/>
        <w:ind w:left="720"/>
      </w:pPr>
      <w:r>
        <w:rPr>
          <w:rFonts w:ascii="Courier New" w:cs="Courier New" w:eastAsia="Courier New" w:hAnsi="Courier New"/>
          <w:color w:val="005A9C"/>
          <w:sz w:val="20"/>
          <w:szCs w:val="20"/>
        </w:rPr>
        <w:t xml:space="preserve">draft: string — generated draft (if draft query)</w:t>
      </w:r>
    </w:p>
    <w:p>
      <w:pPr>
        <w:spacing w:after="40" w:before="40"/>
        <w:ind w:left="720"/>
      </w:pPr>
      <w:r>
        <w:rPr>
          <w:rFonts w:ascii="Courier New" w:cs="Courier New" w:eastAsia="Courier New" w:hAnsi="Courier New"/>
          <w:color w:val="005A9C"/>
          <w:sz w:val="20"/>
          <w:szCs w:val="20"/>
        </w:rPr>
        <w:t xml:space="preserve">needs_human_review: boolean — true for HIGH/CRITICAL risk</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9. Frontend Application</w:t>
      </w:r>
    </w:p>
    <w:p>
      <w:pPr>
        <w:pStyle w:val="Heading2"/>
        <w:spacing w:after="100" w:before="280"/>
      </w:pPr>
      <w:r>
        <w:rPr>
          <w:rFonts w:ascii="Arial" w:cs="Arial" w:eastAsia="Arial" w:hAnsi="Arial"/>
          <w:b/>
          <w:bCs/>
          <w:color w:val="2E75B6"/>
          <w:sz w:val="28"/>
          <w:szCs w:val="28"/>
        </w:rPr>
        <w:t xml:space="preserve">9.1 Pages</w:t>
      </w:r>
    </w:p>
    <w:p>
      <w:pPr>
        <w:pStyle w:val="ListParagraph"/>
        <w:numPr>
          <w:ilvl w:val="0"/>
          <w:numId w:val="2"/>
        </w:numPr>
        <w:spacing w:after="40" w:before="40"/>
      </w:pPr>
      <w:r>
        <w:rPr>
          <w:rFonts w:ascii="Arial" w:cs="Arial" w:eastAsia="Arial" w:hAnsi="Arial"/>
          <w:color w:val="404040"/>
          <w:sz w:val="22"/>
          <w:szCs w:val="22"/>
        </w:rPr>
        <w:t xml:space="preserve">Dashboard (/) — System overview, quick actions, tech stack pills, stats cards showing Pinecone vector count, FAQ accordion</w:t>
      </w:r>
    </w:p>
    <w:p>
      <w:pPr>
        <w:pStyle w:val="ListParagraph"/>
        <w:numPr>
          <w:ilvl w:val="0"/>
          <w:numId w:val="2"/>
        </w:numPr>
        <w:spacing w:after="40" w:before="40"/>
      </w:pPr>
      <w:r>
        <w:rPr>
          <w:rFonts w:ascii="Arial" w:cs="Arial" w:eastAsia="Arial" w:hAnsi="Arial"/>
          <w:color w:val="404040"/>
          <w:sz w:val="22"/>
          <w:szCs w:val="22"/>
        </w:rPr>
        <w:t xml:space="preserve">Documents (/documents) — Upload via drag-and-drop, list all ingested documents, vector count stats</w:t>
      </w:r>
    </w:p>
    <w:p>
      <w:pPr>
        <w:pStyle w:val="ListParagraph"/>
        <w:numPr>
          <w:ilvl w:val="0"/>
          <w:numId w:val="2"/>
        </w:numPr>
        <w:spacing w:after="40" w:before="40"/>
      </w:pPr>
      <w:r>
        <w:rPr>
          <w:rFonts w:ascii="Arial" w:cs="Arial" w:eastAsia="Arial" w:hAnsi="Arial"/>
          <w:color w:val="404040"/>
          <w:sz w:val="22"/>
          <w:szCs w:val="22"/>
        </w:rPr>
        <w:t xml:space="preserve">Chat (/chat) — Main AI chat interface with test question library, animated pipeline status, source cards</w:t>
      </w:r>
    </w:p>
    <w:p>
      <w:pPr>
        <w:pStyle w:val="ListParagraph"/>
        <w:numPr>
          <w:ilvl w:val="0"/>
          <w:numId w:val="2"/>
        </w:numPr>
        <w:spacing w:after="40" w:before="40"/>
      </w:pPr>
      <w:r>
        <w:rPr>
          <w:rFonts w:ascii="Arial" w:cs="Arial" w:eastAsia="Arial" w:hAnsi="Arial"/>
          <w:color w:val="404040"/>
          <w:sz w:val="22"/>
          <w:szCs w:val="22"/>
        </w:rPr>
        <w:t xml:space="preserve">Analysis (/analysis) — Deep analysis page with full tab interface: Answer, Risk, MCTS Path, Lawyers</w:t>
      </w:r>
    </w:p>
    <w:p>
      <w:pPr>
        <w:pStyle w:val="ListParagraph"/>
        <w:numPr>
          <w:ilvl w:val="0"/>
          <w:numId w:val="2"/>
        </w:numPr>
        <w:spacing w:after="40" w:before="40"/>
      </w:pPr>
      <w:r>
        <w:rPr>
          <w:rFonts w:ascii="Arial" w:cs="Arial" w:eastAsia="Arial" w:hAnsi="Arial"/>
          <w:color w:val="404040"/>
          <w:sz w:val="22"/>
          <w:szCs w:val="22"/>
        </w:rPr>
        <w:t xml:space="preserve">Draft Generator (/draft) — Legal draft generation with document type selector, parties, jurisdiction, copy/download</w:t>
      </w:r>
    </w:p>
    <w:p>
      <w:pPr>
        <w:pStyle w:val="Heading2"/>
        <w:spacing w:after="100" w:before="280"/>
      </w:pPr>
      <w:r>
        <w:rPr>
          <w:rFonts w:ascii="Arial" w:cs="Arial" w:eastAsia="Arial" w:hAnsi="Arial"/>
          <w:b/>
          <w:bCs/>
          <w:color w:val="2E75B6"/>
          <w:sz w:val="28"/>
          <w:szCs w:val="28"/>
        </w:rPr>
        <w:t xml:space="preserve">9.2 Chat Interface Features</w:t>
      </w:r>
    </w:p>
    <w:p>
      <w:pPr>
        <w:pStyle w:val="ListParagraph"/>
        <w:numPr>
          <w:ilvl w:val="0"/>
          <w:numId w:val="2"/>
        </w:numPr>
        <w:spacing w:after="40" w:before="40"/>
      </w:pPr>
      <w:r>
        <w:rPr>
          <w:rFonts w:ascii="Arial" w:cs="Arial" w:eastAsia="Arial" w:hAnsi="Arial"/>
          <w:color w:val="404040"/>
          <w:sz w:val="22"/>
          <w:szCs w:val="22"/>
        </w:rPr>
        <w:t xml:space="preserve">Animated pipeline status bar showing current processing step (Vector RAG -&gt; BM25 -&gt; KG Search -&gt; Web Cases -&gt; MCTS -&gt; Agents -&gt; Guardrails)</w:t>
      </w:r>
    </w:p>
    <w:p>
      <w:pPr>
        <w:pStyle w:val="ListParagraph"/>
        <w:numPr>
          <w:ilvl w:val="0"/>
          <w:numId w:val="2"/>
        </w:numPr>
        <w:spacing w:after="40" w:before="40"/>
      </w:pPr>
      <w:r>
        <w:rPr>
          <w:rFonts w:ascii="Arial" w:cs="Arial" w:eastAsia="Arial" w:hAnsi="Arial"/>
          <w:color w:val="404040"/>
          <w:sz w:val="22"/>
          <w:szCs w:val="22"/>
        </w:rPr>
        <w:t xml:space="preserve">Bouncing typing indicator with 'Analysing across all sources' message</w:t>
      </w:r>
    </w:p>
    <w:p>
      <w:pPr>
        <w:pStyle w:val="ListParagraph"/>
        <w:numPr>
          <w:ilvl w:val="0"/>
          <w:numId w:val="2"/>
        </w:numPr>
        <w:spacing w:after="40" w:before="40"/>
      </w:pPr>
      <w:r>
        <w:rPr>
          <w:rFonts w:ascii="Arial" w:cs="Arial" w:eastAsia="Arial" w:hAnsi="Arial"/>
          <w:color w:val="404040"/>
          <w:sz w:val="22"/>
          <w:szCs w:val="22"/>
        </w:rPr>
        <w:t xml:space="preserve">Fade-slide-up animation on every new message bubble</w:t>
      </w:r>
    </w:p>
    <w:p>
      <w:pPr>
        <w:pStyle w:val="ListParagraph"/>
        <w:numPr>
          <w:ilvl w:val="0"/>
          <w:numId w:val="2"/>
        </w:numPr>
        <w:spacing w:after="40" w:before="40"/>
      </w:pPr>
      <w:r>
        <w:rPr>
          <w:rFonts w:ascii="Arial" w:cs="Arial" w:eastAsia="Arial" w:hAnsi="Arial"/>
          <w:color w:val="404040"/>
          <w:sz w:val="22"/>
          <w:szCs w:val="22"/>
        </w:rPr>
        <w:t xml:space="preserve">Source cards with color-coded confidence bars (green &gt;= 80%, yellow &gt;= 60%, orange &lt; 60%) and source type icons (FileText for documents, Globe for web)</w:t>
      </w:r>
    </w:p>
    <w:p>
      <w:pPr>
        <w:pStyle w:val="ListParagraph"/>
        <w:numPr>
          <w:ilvl w:val="0"/>
          <w:numId w:val="2"/>
        </w:numPr>
        <w:spacing w:after="40" w:before="40"/>
      </w:pPr>
      <w:r>
        <w:rPr>
          <w:rFonts w:ascii="Arial" w:cs="Arial" w:eastAsia="Arial" w:hAnsi="Arial"/>
          <w:color w:val="404040"/>
          <w:sz w:val="22"/>
          <w:szCs w:val="22"/>
        </w:rPr>
        <w:t xml:space="preserve">Ensemble RAG strategy badge, MCTS action badge (purple)</w:t>
      </w:r>
    </w:p>
    <w:p>
      <w:pPr>
        <w:pStyle w:val="ListParagraph"/>
        <w:numPr>
          <w:ilvl w:val="0"/>
          <w:numId w:val="2"/>
        </w:numPr>
        <w:spacing w:after="40" w:before="40"/>
      </w:pPr>
      <w:r>
        <w:rPr>
          <w:rFonts w:ascii="Arial" w:cs="Arial" w:eastAsia="Arial" w:hAnsi="Arial"/>
          <w:color w:val="404040"/>
          <w:sz w:val="22"/>
          <w:szCs w:val="22"/>
        </w:rPr>
        <w:t xml:space="preserve">Confidence meter with animated fill using star icon</w:t>
      </w:r>
    </w:p>
    <w:p>
      <w:pPr>
        <w:pStyle w:val="ListParagraph"/>
        <w:numPr>
          <w:ilvl w:val="0"/>
          <w:numId w:val="2"/>
        </w:numPr>
        <w:spacing w:after="40" w:before="40"/>
      </w:pPr>
      <w:r>
        <w:rPr>
          <w:rFonts w:ascii="Arial" w:cs="Arial" w:eastAsia="Arial" w:hAnsi="Arial"/>
          <w:color w:val="404040"/>
          <w:sz w:val="22"/>
          <w:szCs w:val="22"/>
        </w:rPr>
        <w:t xml:space="preserve">Human review guardrail banner (amber) for HIGH/CRITICAL risk responses</w:t>
      </w:r>
    </w:p>
    <w:p>
      <w:pPr>
        <w:pStyle w:val="ListParagraph"/>
        <w:numPr>
          <w:ilvl w:val="0"/>
          <w:numId w:val="2"/>
        </w:numPr>
        <w:spacing w:after="40" w:before="40"/>
      </w:pPr>
      <w:r>
        <w:rPr>
          <w:rFonts w:ascii="Arial" w:cs="Arial" w:eastAsia="Arial" w:hAnsi="Arial"/>
          <w:color w:val="404040"/>
          <w:sz w:val="22"/>
          <w:szCs w:val="22"/>
        </w:rPr>
        <w:t xml:space="preserve">Lawyer suggestions shown only for scenario-based queries with risk score</w:t>
      </w:r>
    </w:p>
    <w:p>
      <w:pPr>
        <w:pStyle w:val="Heading2"/>
        <w:spacing w:after="100" w:before="280"/>
      </w:pPr>
      <w:r>
        <w:rPr>
          <w:rFonts w:ascii="Arial" w:cs="Arial" w:eastAsia="Arial" w:hAnsi="Arial"/>
          <w:b/>
          <w:bCs/>
          <w:color w:val="2E75B6"/>
          <w:sz w:val="28"/>
          <w:szCs w:val="28"/>
        </w:rPr>
        <w:t xml:space="preserve">9.3 Test Question Library (TestQuestions.tsx)</w:t>
      </w:r>
    </w:p>
    <w:p>
      <w:pPr>
        <w:spacing w:after="80" w:before="80"/>
      </w:pPr>
      <w:r>
        <w:rPr>
          <w:rFonts w:ascii="Arial" w:cs="Arial" w:eastAsia="Arial" w:hAnsi="Arial"/>
          <w:color w:val="404040"/>
          <w:sz w:val="22"/>
          <w:szCs w:val="22"/>
        </w:rPr>
        <w:t xml:space="preserve">9 categories of clickable questions covering all 12 legal documents. Categories: Rental &amp; Housing, Employment &amp; NDA, Consumer Rights, Cyber Fraud &amp; IT Act, DPDP Act 2023, Marital &amp; Family Law, Constitutional Rights, Arbitration, Draft Generation. Each category is collapsible. Clicking a question pre-fills the chat input.</w:t>
      </w:r>
    </w:p>
    <w:p>
      <w:pPr>
        <w:pBdr>
          <w:bottom w:val="single" w:color="2E75B6" w:sz="4" w:space="1"/>
        </w:pBdr>
        <w:spacing w:after="120" w:before="120"/>
      </w:pPr>
    </w:p>
    <w:p>
      <w:r>
        <w:br w:type="page"/>
      </w:r>
    </w:p>
    <w:p>
      <w:pPr>
        <w:pStyle w:val="Heading1"/>
        <w:spacing w:after="120" w:before="360"/>
      </w:pPr>
      <w:r>
        <w:rPr>
          <w:rFonts w:ascii="Arial" w:cs="Arial" w:eastAsia="Arial" w:hAnsi="Arial"/>
          <w:b/>
          <w:bCs/>
          <w:color w:val="1F3A7A"/>
          <w:sz w:val="36"/>
          <w:szCs w:val="36"/>
        </w:rPr>
        <w:t xml:space="preserve">10. Setup and Installation Guide</w:t>
      </w:r>
    </w:p>
    <w:p>
      <w:pPr>
        <w:pStyle w:val="Heading2"/>
        <w:spacing w:after="100" w:before="280"/>
      </w:pPr>
      <w:r>
        <w:rPr>
          <w:rFonts w:ascii="Arial" w:cs="Arial" w:eastAsia="Arial" w:hAnsi="Arial"/>
          <w:b/>
          <w:bCs/>
          <w:color w:val="2E75B6"/>
          <w:sz w:val="28"/>
          <w:szCs w:val="28"/>
        </w:rPr>
        <w:t xml:space="preserve">10.1 Prerequisites</w:t>
      </w:r>
    </w:p>
    <w:p>
      <w:pPr>
        <w:pStyle w:val="ListParagraph"/>
        <w:numPr>
          <w:ilvl w:val="0"/>
          <w:numId w:val="2"/>
        </w:numPr>
        <w:spacing w:after="40" w:before="40"/>
      </w:pPr>
      <w:r>
        <w:rPr>
          <w:rFonts w:ascii="Arial" w:cs="Arial" w:eastAsia="Arial" w:hAnsi="Arial"/>
          <w:color w:val="404040"/>
          <w:sz w:val="22"/>
          <w:szCs w:val="22"/>
        </w:rPr>
        <w:t xml:space="preserve">Python 3.11+ with pip</w:t>
      </w:r>
    </w:p>
    <w:p>
      <w:pPr>
        <w:pStyle w:val="ListParagraph"/>
        <w:numPr>
          <w:ilvl w:val="0"/>
          <w:numId w:val="2"/>
        </w:numPr>
        <w:spacing w:after="40" w:before="40"/>
      </w:pPr>
      <w:r>
        <w:rPr>
          <w:rFonts w:ascii="Arial" w:cs="Arial" w:eastAsia="Arial" w:hAnsi="Arial"/>
          <w:color w:val="404040"/>
          <w:sz w:val="22"/>
          <w:szCs w:val="22"/>
        </w:rPr>
        <w:t xml:space="preserve">Node.js 18+ with npm</w:t>
      </w:r>
    </w:p>
    <w:p>
      <w:pPr>
        <w:pStyle w:val="ListParagraph"/>
        <w:numPr>
          <w:ilvl w:val="0"/>
          <w:numId w:val="2"/>
        </w:numPr>
        <w:spacing w:after="40" w:before="40"/>
      </w:pPr>
      <w:r>
        <w:rPr>
          <w:rFonts w:ascii="Arial" w:cs="Arial" w:eastAsia="Arial" w:hAnsi="Arial"/>
          <w:color w:val="404040"/>
          <w:sz w:val="22"/>
          <w:szCs w:val="22"/>
        </w:rPr>
        <w:t xml:space="preserve">Git</w:t>
      </w:r>
    </w:p>
    <w:p>
      <w:pPr>
        <w:pStyle w:val="ListParagraph"/>
        <w:numPr>
          <w:ilvl w:val="0"/>
          <w:numId w:val="2"/>
        </w:numPr>
        <w:spacing w:after="40" w:before="40"/>
      </w:pPr>
      <w:r>
        <w:rPr>
          <w:rFonts w:ascii="Arial" w:cs="Arial" w:eastAsia="Arial" w:hAnsi="Arial"/>
          <w:color w:val="404040"/>
          <w:sz w:val="22"/>
          <w:szCs w:val="22"/>
        </w:rPr>
        <w:t xml:space="preserve">Accounts on: Groq (free), Pinecone (free), Supabase (free), Neo4j AuraDB (free), Tavily (free)</w:t>
      </w:r>
    </w:p>
    <w:p>
      <w:pPr>
        <w:pStyle w:val="Heading2"/>
        <w:spacing w:after="100" w:before="280"/>
      </w:pPr>
      <w:r>
        <w:rPr>
          <w:rFonts w:ascii="Arial" w:cs="Arial" w:eastAsia="Arial" w:hAnsi="Arial"/>
          <w:b/>
          <w:bCs/>
          <w:color w:val="2E75B6"/>
          <w:sz w:val="28"/>
          <w:szCs w:val="28"/>
        </w:rPr>
        <w:t xml:space="preserve">10.2 Environment Variables (.env file)</w:t>
      </w:r>
    </w:p>
    <w:p>
      <w:pPr>
        <w:spacing w:after="80" w:before="80"/>
      </w:pPr>
      <w:r>
        <w:rPr>
          <w:rFonts w:ascii="Arial" w:cs="Arial" w:eastAsia="Arial" w:hAnsi="Arial"/>
          <w:color w:val="404040"/>
          <w:sz w:val="22"/>
          <w:szCs w:val="22"/>
        </w:rPr>
        <w:t xml:space="preserve">Create the .env file at the project root (Legal-AI-advisor/.env):</w:t>
      </w:r>
    </w:p>
    <w:p>
      <w:pPr>
        <w:spacing w:after="40" w:before="40"/>
        <w:ind w:left="720"/>
      </w:pPr>
      <w:r>
        <w:rPr>
          <w:rFonts w:ascii="Courier New" w:cs="Courier New" w:eastAsia="Courier New" w:hAnsi="Courier New"/>
          <w:color w:val="005A9C"/>
          <w:sz w:val="20"/>
          <w:szCs w:val="20"/>
        </w:rPr>
        <w:t xml:space="preserve">LLM_PROVIDER=groq</w:t>
      </w:r>
    </w:p>
    <w:p>
      <w:pPr>
        <w:spacing w:after="40" w:before="40"/>
        <w:ind w:left="720"/>
      </w:pPr>
      <w:r>
        <w:rPr>
          <w:rFonts w:ascii="Courier New" w:cs="Courier New" w:eastAsia="Courier New" w:hAnsi="Courier New"/>
          <w:color w:val="005A9C"/>
          <w:sz w:val="20"/>
          <w:szCs w:val="20"/>
        </w:rPr>
        <w:t xml:space="preserve">GROQ_API_KEY=gsk_...</w:t>
      </w:r>
    </w:p>
    <w:p>
      <w:pPr>
        <w:spacing w:after="40" w:before="40"/>
        <w:ind w:left="720"/>
      </w:pPr>
      <w:r>
        <w:rPr>
          <w:rFonts w:ascii="Courier New" w:cs="Courier New" w:eastAsia="Courier New" w:hAnsi="Courier New"/>
          <w:color w:val="005A9C"/>
          <w:sz w:val="20"/>
          <w:szCs w:val="20"/>
        </w:rPr>
        <w:t xml:space="preserve">GROQ_MODEL=llama-3.3-70b-versatile</w:t>
      </w:r>
    </w:p>
    <w:p>
      <w:pPr>
        <w:spacing w:after="40" w:before="40"/>
        <w:ind w:left="720"/>
      </w:pPr>
      <w:r>
        <w:rPr>
          <w:rFonts w:ascii="Courier New" w:cs="Courier New" w:eastAsia="Courier New" w:hAnsi="Courier New"/>
          <w:color w:val="005A9C"/>
          <w:sz w:val="20"/>
          <w:szCs w:val="20"/>
        </w:rPr>
        <w:t xml:space="preserve">PINECONE_API_KEY=pcsk_...</w:t>
      </w:r>
    </w:p>
    <w:p>
      <w:pPr>
        <w:spacing w:after="40" w:before="40"/>
        <w:ind w:left="720"/>
      </w:pPr>
      <w:r>
        <w:rPr>
          <w:rFonts w:ascii="Courier New" w:cs="Courier New" w:eastAsia="Courier New" w:hAnsi="Courier New"/>
          <w:color w:val="005A9C"/>
          <w:sz w:val="20"/>
          <w:szCs w:val="20"/>
        </w:rPr>
        <w:t xml:space="preserve">PINECONE_INDEX_NAME=legal-advisor</w:t>
      </w:r>
    </w:p>
    <w:p>
      <w:pPr>
        <w:spacing w:after="40" w:before="40"/>
        <w:ind w:left="720"/>
      </w:pPr>
      <w:r>
        <w:rPr>
          <w:rFonts w:ascii="Courier New" w:cs="Courier New" w:eastAsia="Courier New" w:hAnsi="Courier New"/>
          <w:color w:val="005A9C"/>
          <w:sz w:val="20"/>
          <w:szCs w:val="20"/>
        </w:rPr>
        <w:t xml:space="preserve">SUPABASE_URL=https://xxxxx.supabase.co</w:t>
      </w:r>
    </w:p>
    <w:p>
      <w:pPr>
        <w:spacing w:after="40" w:before="40"/>
        <w:ind w:left="720"/>
      </w:pPr>
      <w:r>
        <w:rPr>
          <w:rFonts w:ascii="Courier New" w:cs="Courier New" w:eastAsia="Courier New" w:hAnsi="Courier New"/>
          <w:color w:val="005A9C"/>
          <w:sz w:val="20"/>
          <w:szCs w:val="20"/>
        </w:rPr>
        <w:t xml:space="preserve">SUPABASE_SERVICE_KEY=eyJ...</w:t>
      </w:r>
    </w:p>
    <w:p>
      <w:pPr>
        <w:spacing w:after="40" w:before="40"/>
        <w:ind w:left="720"/>
      </w:pPr>
      <w:r>
        <w:rPr>
          <w:rFonts w:ascii="Courier New" w:cs="Courier New" w:eastAsia="Courier New" w:hAnsi="Courier New"/>
          <w:color w:val="005A9C"/>
          <w:sz w:val="20"/>
          <w:szCs w:val="20"/>
        </w:rPr>
        <w:t xml:space="preserve">NEO4J_URI=neo4j+s://xxxxx.databases.neo4j.io</w:t>
      </w:r>
    </w:p>
    <w:p>
      <w:pPr>
        <w:spacing w:after="40" w:before="40"/>
        <w:ind w:left="720"/>
      </w:pPr>
      <w:r>
        <w:rPr>
          <w:rFonts w:ascii="Courier New" w:cs="Courier New" w:eastAsia="Courier New" w:hAnsi="Courier New"/>
          <w:color w:val="005A9C"/>
          <w:sz w:val="20"/>
          <w:szCs w:val="20"/>
        </w:rPr>
        <w:t xml:space="preserve">NEO4J_USER=neo4j</w:t>
      </w:r>
    </w:p>
    <w:p>
      <w:pPr>
        <w:spacing w:after="40" w:before="40"/>
        <w:ind w:left="720"/>
      </w:pPr>
      <w:r>
        <w:rPr>
          <w:rFonts w:ascii="Courier New" w:cs="Courier New" w:eastAsia="Courier New" w:hAnsi="Courier New"/>
          <w:color w:val="005A9C"/>
          <w:sz w:val="20"/>
          <w:szCs w:val="20"/>
        </w:rPr>
        <w:t xml:space="preserve">NEO4J_PASSWORD=...</w:t>
      </w:r>
    </w:p>
    <w:p>
      <w:pPr>
        <w:spacing w:after="40" w:before="40"/>
        <w:ind w:left="720"/>
      </w:pPr>
      <w:r>
        <w:rPr>
          <w:rFonts w:ascii="Courier New" w:cs="Courier New" w:eastAsia="Courier New" w:hAnsi="Courier New"/>
          <w:color w:val="005A9C"/>
          <w:sz w:val="20"/>
          <w:szCs w:val="20"/>
        </w:rPr>
        <w:t xml:space="preserve">TAVILY_API_KEY=tvly-...</w:t>
      </w:r>
    </w:p>
    <w:p>
      <w:pPr>
        <w:spacing w:after="40" w:before="40"/>
        <w:ind w:left="720"/>
      </w:pPr>
      <w:r>
        <w:rPr>
          <w:rFonts w:ascii="Courier New" w:cs="Courier New" w:eastAsia="Courier New" w:hAnsi="Courier New"/>
          <w:color w:val="005A9C"/>
          <w:sz w:val="20"/>
          <w:szCs w:val="20"/>
        </w:rPr>
        <w:t xml:space="preserve">ANTHROPIC_API_KEY=sk-ant-... (optional — set LLM_PROVIDER=claude to use)</w:t>
      </w:r>
    </w:p>
    <w:p>
      <w:pPr>
        <w:spacing w:after="40" w:before="40"/>
        <w:ind w:left="720"/>
      </w:pPr>
      <w:r>
        <w:rPr>
          <w:rFonts w:ascii="Courier New" w:cs="Courier New" w:eastAsia="Courier New" w:hAnsi="Courier New"/>
          <w:color w:val="005A9C"/>
          <w:sz w:val="20"/>
          <w:szCs w:val="20"/>
        </w:rPr>
        <w:t xml:space="preserve">CLAUDE_MODEL=claude-sonnet-4-6 (optional)</w:t>
      </w:r>
    </w:p>
    <w:p>
      <w:pPr>
        <w:pStyle w:val="Heading2"/>
        <w:spacing w:after="100" w:before="280"/>
      </w:pPr>
      <w:r>
        <w:rPr>
          <w:rFonts w:ascii="Arial" w:cs="Arial" w:eastAsia="Arial" w:hAnsi="Arial"/>
          <w:b/>
          <w:bCs/>
          <w:color w:val="2E75B6"/>
          <w:sz w:val="28"/>
          <w:szCs w:val="28"/>
        </w:rPr>
        <w:t xml:space="preserve">10.3 Backend Installation</w:t>
      </w:r>
    </w:p>
    <w:p>
      <w:pPr>
        <w:spacing w:after="40" w:before="40"/>
        <w:ind w:left="720"/>
      </w:pPr>
      <w:r>
        <w:rPr>
          <w:rFonts w:ascii="Courier New" w:cs="Courier New" w:eastAsia="Courier New" w:hAnsi="Courier New"/>
          <w:color w:val="005A9C"/>
          <w:sz w:val="20"/>
          <w:szCs w:val="20"/>
        </w:rPr>
        <w:t xml:space="preserve">cd Legal-AI-advisor/backend</w:t>
      </w:r>
    </w:p>
    <w:p>
      <w:pPr>
        <w:spacing w:after="40" w:before="40"/>
        <w:ind w:left="720"/>
      </w:pPr>
      <w:r>
        <w:rPr>
          <w:rFonts w:ascii="Courier New" w:cs="Courier New" w:eastAsia="Courier New" w:hAnsi="Courier New"/>
          <w:color w:val="005A9C"/>
          <w:sz w:val="20"/>
          <w:szCs w:val="20"/>
        </w:rPr>
        <w:t xml:space="preserve">python -m venv venv</w:t>
      </w:r>
    </w:p>
    <w:p>
      <w:pPr>
        <w:spacing w:after="40" w:before="40"/>
        <w:ind w:left="720"/>
      </w:pPr>
      <w:r>
        <w:rPr>
          <w:rFonts w:ascii="Courier New" w:cs="Courier New" w:eastAsia="Courier New" w:hAnsi="Courier New"/>
          <w:color w:val="005A9C"/>
          <w:sz w:val="20"/>
          <w:szCs w:val="20"/>
        </w:rPr>
        <w:t xml:space="preserve">venv\Scripts\activate     # Windows</w:t>
      </w:r>
    </w:p>
    <w:p>
      <w:pPr>
        <w:spacing w:after="40" w:before="40"/>
        <w:ind w:left="720"/>
      </w:pPr>
      <w:r>
        <w:rPr>
          <w:rFonts w:ascii="Courier New" w:cs="Courier New" w:eastAsia="Courier New" w:hAnsi="Courier New"/>
          <w:color w:val="005A9C"/>
          <w:sz w:val="20"/>
          <w:szCs w:val="20"/>
        </w:rPr>
        <w:t xml:space="preserve">pip install -r requirements.txt</w:t>
      </w:r>
    </w:p>
    <w:p>
      <w:pPr>
        <w:spacing w:after="40" w:before="40"/>
        <w:ind w:left="720"/>
      </w:pPr>
      <w:r>
        <w:rPr>
          <w:rFonts w:ascii="Courier New" w:cs="Courier New" w:eastAsia="Courier New" w:hAnsi="Courier New"/>
          <w:color w:val="005A9C"/>
          <w:sz w:val="20"/>
          <w:szCs w:val="20"/>
        </w:rPr>
        <w:t xml:space="preserve">pip install anthropic      # Optional: for Claude support</w:t>
      </w:r>
    </w:p>
    <w:p>
      <w:pPr>
        <w:pStyle w:val="Heading2"/>
        <w:spacing w:after="100" w:before="280"/>
      </w:pPr>
      <w:r>
        <w:rPr>
          <w:rFonts w:ascii="Arial" w:cs="Arial" w:eastAsia="Arial" w:hAnsi="Arial"/>
          <w:b/>
          <w:bCs/>
          <w:color w:val="2E75B6"/>
          <w:sz w:val="28"/>
          <w:szCs w:val="28"/>
        </w:rPr>
        <w:t xml:space="preserve">10.4 Supabase Table Setup</w:t>
      </w:r>
    </w:p>
    <w:p>
      <w:pPr>
        <w:spacing w:after="80" w:before="80"/>
      </w:pPr>
      <w:r>
        <w:rPr>
          <w:rFonts w:ascii="Arial" w:cs="Arial" w:eastAsia="Arial" w:hAnsi="Arial"/>
          <w:color w:val="404040"/>
          <w:sz w:val="22"/>
          <w:szCs w:val="22"/>
        </w:rPr>
        <w:t xml:space="preserve">Run this SQL in your Supabase SQL Editor once:</w:t>
      </w:r>
    </w:p>
    <w:p>
      <w:pPr>
        <w:spacing w:after="40" w:before="40"/>
        <w:ind w:left="720"/>
      </w:pPr>
      <w:r>
        <w:rPr>
          <w:rFonts w:ascii="Courier New" w:cs="Courier New" w:eastAsia="Courier New" w:hAnsi="Courier New"/>
          <w:color w:val="005A9C"/>
          <w:sz w:val="20"/>
          <w:szCs w:val="20"/>
        </w:rPr>
        <w:t xml:space="preserve">CREATE TABLE documents (id UUID DEFAULT gen_random_uuid() PRIMARY KEY,</w:t>
      </w:r>
    </w:p>
    <w:p>
      <w:pPr>
        <w:spacing w:after="40" w:before="40"/>
        <w:ind w:left="720"/>
      </w:pPr>
      <w:r>
        <w:rPr>
          <w:rFonts w:ascii="Courier New" w:cs="Courier New" w:eastAsia="Courier New" w:hAnsi="Courier New"/>
          <w:color w:val="005A9C"/>
          <w:sz w:val="20"/>
          <w:szCs w:val="20"/>
        </w:rPr>
        <w:t xml:space="preserve">  name TEXT NOT NULL, file_type TEXT, content TEXT,</w:t>
      </w:r>
    </w:p>
    <w:p>
      <w:pPr>
        <w:spacing w:after="40" w:before="40"/>
        <w:ind w:left="720"/>
      </w:pPr>
      <w:r>
        <w:rPr>
          <w:rFonts w:ascii="Courier New" w:cs="Courier New" w:eastAsia="Courier New" w:hAnsi="Courier New"/>
          <w:color w:val="005A9C"/>
          <w:sz w:val="20"/>
          <w:szCs w:val="20"/>
        </w:rPr>
        <w:t xml:space="preserve">  chunk_count INT DEFAULT 0, uploaded_at TIMESTAMPTZ DEFAULT NOW());</w:t>
      </w:r>
    </w:p>
    <w:p>
      <w:pPr>
        <w:spacing w:after="40" w:before="40"/>
        <w:ind w:left="720"/>
      </w:pPr>
      <w:r>
        <w:rPr>
          <w:rFonts w:ascii="Courier New" w:cs="Courier New" w:eastAsia="Courier New" w:hAnsi="Courier New"/>
          <w:color w:val="005A9C"/>
          <w:sz w:val="20"/>
          <w:szCs w:val="20"/>
        </w:rPr>
        <w:t xml:space="preserve">CREATE TABLE analyses (id UUID DEFAULT gen_random_uuid() PRIMARY KEY,</w:t>
      </w:r>
    </w:p>
    <w:p>
      <w:pPr>
        <w:spacing w:after="40" w:before="40"/>
        <w:ind w:left="720"/>
      </w:pPr>
      <w:r>
        <w:rPr>
          <w:rFonts w:ascii="Courier New" w:cs="Courier New" w:eastAsia="Courier New" w:hAnsi="Courier New"/>
          <w:color w:val="005A9C"/>
          <w:sz w:val="20"/>
          <w:szCs w:val="20"/>
        </w:rPr>
        <w:t xml:space="preserve">  document_id UUID REFERENCES documents(id), query TEXT,</w:t>
      </w:r>
    </w:p>
    <w:p>
      <w:pPr>
        <w:spacing w:after="40" w:before="40"/>
        <w:ind w:left="720"/>
      </w:pPr>
      <w:r>
        <w:rPr>
          <w:rFonts w:ascii="Courier New" w:cs="Courier New" w:eastAsia="Courier New" w:hAnsi="Courier New"/>
          <w:color w:val="005A9C"/>
          <w:sz w:val="20"/>
          <w:szCs w:val="20"/>
        </w:rPr>
        <w:t xml:space="preserve">  answer TEXT, risk_level TEXT, risk_score INT, rag_strategy TEXT,</w:t>
      </w:r>
    </w:p>
    <w:p>
      <w:pPr>
        <w:spacing w:after="40" w:before="40"/>
        <w:ind w:left="720"/>
      </w:pPr>
      <w:r>
        <w:rPr>
          <w:rFonts w:ascii="Courier New" w:cs="Courier New" w:eastAsia="Courier New" w:hAnsi="Courier New"/>
          <w:color w:val="005A9C"/>
          <w:sz w:val="20"/>
          <w:szCs w:val="20"/>
        </w:rPr>
        <w:t xml:space="preserve">  created_at TIMESTAMPTZ DEFAULT NOW());</w:t>
      </w:r>
    </w:p>
    <w:p>
      <w:pPr>
        <w:spacing w:after="40" w:before="40"/>
        <w:ind w:left="720"/>
      </w:pPr>
      <w:r>
        <w:rPr>
          <w:rFonts w:ascii="Courier New" w:cs="Courier New" w:eastAsia="Courier New" w:hAnsi="Courier New"/>
          <w:color w:val="005A9C"/>
          <w:sz w:val="20"/>
          <w:szCs w:val="20"/>
        </w:rPr>
        <w:t xml:space="preserve">ALTER TABLE documents DISABLE ROW LEVEL SECURITY;</w:t>
      </w:r>
    </w:p>
    <w:p>
      <w:pPr>
        <w:spacing w:after="40" w:before="40"/>
        <w:ind w:left="720"/>
      </w:pPr>
      <w:r>
        <w:rPr>
          <w:rFonts w:ascii="Courier New" w:cs="Courier New" w:eastAsia="Courier New" w:hAnsi="Courier New"/>
          <w:color w:val="005A9C"/>
          <w:sz w:val="20"/>
          <w:szCs w:val="20"/>
        </w:rPr>
        <w:t xml:space="preserve">ALTER TABLE analyses DISABLE ROW LEVEL SECURITY;</w:t>
      </w:r>
    </w:p>
    <w:p>
      <w:pPr>
        <w:pStyle w:val="Heading2"/>
        <w:spacing w:after="100" w:before="280"/>
      </w:pPr>
      <w:r>
        <w:rPr>
          <w:rFonts w:ascii="Arial" w:cs="Arial" w:eastAsia="Arial" w:hAnsi="Arial"/>
          <w:b/>
          <w:bCs/>
          <w:color w:val="2E75B6"/>
          <w:sz w:val="28"/>
          <w:szCs w:val="28"/>
        </w:rPr>
        <w:t xml:space="preserve">10.5 Document Ingestion</w:t>
      </w:r>
    </w:p>
    <w:p>
      <w:pPr>
        <w:spacing w:after="40" w:before="40"/>
        <w:ind w:left="720"/>
      </w:pPr>
      <w:r>
        <w:rPr>
          <w:rFonts w:ascii="Courier New" w:cs="Courier New" w:eastAsia="Courier New" w:hAnsi="Courier New"/>
          <w:color w:val="005A9C"/>
          <w:sz w:val="20"/>
          <w:szCs w:val="20"/>
        </w:rPr>
        <w:t xml:space="preserve">cd backend</w:t>
      </w:r>
    </w:p>
    <w:p>
      <w:pPr>
        <w:spacing w:after="40" w:before="40"/>
        <w:ind w:left="720"/>
      </w:pPr>
      <w:r>
        <w:rPr>
          <w:rFonts w:ascii="Courier New" w:cs="Courier New" w:eastAsia="Courier New" w:hAnsi="Courier New"/>
          <w:color w:val="005A9C"/>
          <w:sz w:val="20"/>
          <w:szCs w:val="20"/>
        </w:rPr>
        <w:t xml:space="preserve"># Clear Pinecone first (if re-ingesting)</w:t>
      </w:r>
    </w:p>
    <w:p>
      <w:pPr>
        <w:spacing w:after="40" w:before="40"/>
        <w:ind w:left="720"/>
      </w:pPr>
      <w:r>
        <w:rPr>
          <w:rFonts w:ascii="Courier New" w:cs="Courier New" w:eastAsia="Courier New" w:hAnsi="Courier New"/>
          <w:color w:val="005A9C"/>
          <w:sz w:val="20"/>
          <w:szCs w:val="20"/>
        </w:rPr>
        <w:t xml:space="preserve">python -c "from pinecone import Pinecone; import os; from dotenv import load_dotenv; load_dotenv('../.env'); Pinecone(api_key=os.getenv('PINECONE_API_KEY')).Index('legal-advisor').delete(delete_all=True)"</w:t>
      </w:r>
    </w:p>
    <w:p>
      <w:pPr>
        <w:spacing w:after="40" w:before="40"/>
        <w:ind w:left="720"/>
      </w:pPr>
      <w:r>
        <w:rPr>
          <w:rFonts w:ascii="Courier New" w:cs="Courier New" w:eastAsia="Courier New" w:hAnsi="Courier New"/>
          <w:color w:val="005A9C"/>
          <w:sz w:val="20"/>
          <w:szCs w:val="20"/>
        </w:rPr>
        <w:t xml:space="preserve">python ingestion\ingest.py</w:t>
      </w:r>
    </w:p>
    <w:p>
      <w:pPr>
        <w:spacing w:after="80" w:before="80"/>
      </w:pPr>
      <w:r>
        <w:rPr>
          <w:rFonts w:ascii="Arial" w:cs="Arial" w:eastAsia="Arial" w:hAnsi="Arial"/>
          <w:color w:val="404040"/>
          <w:sz w:val="22"/>
          <w:szCs w:val="22"/>
        </w:rPr>
        <w:t xml:space="preserve">Expected output: 12 documents ingested, 0 failed. Approximately 100-130 total chunks in Pinecone.</w:t>
      </w:r>
    </w:p>
    <w:p>
      <w:pPr>
        <w:pStyle w:val="Heading2"/>
        <w:spacing w:after="100" w:before="280"/>
      </w:pPr>
      <w:r>
        <w:rPr>
          <w:rFonts w:ascii="Arial" w:cs="Arial" w:eastAsia="Arial" w:hAnsi="Arial"/>
          <w:b/>
          <w:bCs/>
          <w:color w:val="2E75B6"/>
          <w:sz w:val="28"/>
          <w:szCs w:val="28"/>
        </w:rPr>
        <w:t xml:space="preserve">10.6 Starting the Application</w:t>
      </w:r>
    </w:p>
    <w:p>
      <w:pPr>
        <w:spacing w:after="40" w:before="40"/>
        <w:ind w:left="720"/>
      </w:pPr>
      <w:r>
        <w:rPr>
          <w:rFonts w:ascii="Courier New" w:cs="Courier New" w:eastAsia="Courier New" w:hAnsi="Courier New"/>
          <w:color w:val="005A9C"/>
          <w:sz w:val="20"/>
          <w:szCs w:val="20"/>
        </w:rPr>
        <w:t xml:space="preserve"># Terminal 1 — Backend</w:t>
      </w:r>
    </w:p>
    <w:p>
      <w:pPr>
        <w:spacing w:after="40" w:before="40"/>
        <w:ind w:left="720"/>
      </w:pPr>
      <w:r>
        <w:rPr>
          <w:rFonts w:ascii="Courier New" w:cs="Courier New" w:eastAsia="Courier New" w:hAnsi="Courier New"/>
          <w:color w:val="005A9C"/>
          <w:sz w:val="20"/>
          <w:szCs w:val="20"/>
        </w:rPr>
        <w:t xml:space="preserve">cd backend &amp;&amp; venv\Scripts\activate</w:t>
      </w:r>
    </w:p>
    <w:p>
      <w:pPr>
        <w:spacing w:after="40" w:before="40"/>
        <w:ind w:left="720"/>
      </w:pPr>
      <w:r>
        <w:rPr>
          <w:rFonts w:ascii="Courier New" w:cs="Courier New" w:eastAsia="Courier New" w:hAnsi="Courier New"/>
          <w:color w:val="005A9C"/>
          <w:sz w:val="20"/>
          <w:szCs w:val="20"/>
        </w:rPr>
        <w:t xml:space="preserve">uvicorn main:app --reload --port 8000</w:t>
      </w:r>
    </w:p>
    <w:p>
      <w:pPr>
        <w:spacing w:after="40" w:before="40"/>
        <w:ind w:left="720"/>
      </w:pPr>
      <w:r>
        <w:rPr>
          <w:rFonts w:ascii="Courier New" w:cs="Courier New" w:eastAsia="Courier New" w:hAnsi="Courier New"/>
          <w:color w:val="005A9C"/>
          <w:sz w:val="20"/>
          <w:szCs w:val="20"/>
        </w:rPr>
        <w:t xml:space="preserve"/>
      </w:r>
    </w:p>
    <w:p>
      <w:pPr>
        <w:spacing w:after="40" w:before="40"/>
        <w:ind w:left="720"/>
      </w:pPr>
      <w:r>
        <w:rPr>
          <w:rFonts w:ascii="Courier New" w:cs="Courier New" w:eastAsia="Courier New" w:hAnsi="Courier New"/>
          <w:color w:val="005A9C"/>
          <w:sz w:val="20"/>
          <w:szCs w:val="20"/>
        </w:rPr>
        <w:t xml:space="preserve"># Terminal 2 — Frontend</w:t>
      </w:r>
    </w:p>
    <w:p>
      <w:pPr>
        <w:spacing w:after="40" w:before="40"/>
        <w:ind w:left="720"/>
      </w:pPr>
      <w:r>
        <w:rPr>
          <w:rFonts w:ascii="Courier New" w:cs="Courier New" w:eastAsia="Courier New" w:hAnsi="Courier New"/>
          <w:color w:val="005A9C"/>
          <w:sz w:val="20"/>
          <w:szCs w:val="20"/>
        </w:rPr>
        <w:t xml:space="preserve">cd frontend &amp;&amp; npm install &amp;&amp; npm run dev</w:t>
      </w:r>
    </w:p>
    <w:p>
      <w:pPr>
        <w:spacing w:after="80" w:before="80"/>
      </w:pPr>
      <w:r>
        <w:rPr>
          <w:rFonts w:ascii="Arial" w:cs="Arial" w:eastAsia="Arial" w:hAnsi="Arial"/>
          <w:color w:val="404040"/>
          <w:sz w:val="22"/>
          <w:szCs w:val="22"/>
        </w:rPr>
        <w:t xml:space="preserve">Access the application at http://localhost:3000. API documentation available at http://localhost:8000/docs.</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11. Complete Project File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File Path</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backend/main.py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FastAPI app, CORS, startup event, .env loading</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backend/config.py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Pydantic settings, all env vars with defaults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backend/requirements.txt</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All Python dependencies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backend/api/routes.py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All REST endpoints with lazy singleton initialization</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backend/llm/groq_client.py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Unified LLM client (Groq + Claude), local embeddings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backend/rag/base.py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RetrievalResult dataclass, BaseRAG abstract class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backend/rag/ensemble_rag.py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Parallel Vector + BM25 + KG + Web retrieval</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backend/rag/vector_rag.py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Pinecone cosine similarity search</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backend/rag/hyde_rag.py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Hypothetical Document Embedding retrieval</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backend/rag/self_rag.py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Per-chunk LLM relevance scoring</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backend/rag/corrective_rag.py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Confidence-based web search fallback</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backend/rag/parent_child_rag.py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Child chunk retrieval, parent context return</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backend/rag/router.py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Strategy router — delegates to EnsembleRAG</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backend/agents/orchestrator.py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LangGraph 9-step pipeline, state management</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backend/agents/autogen_agents.py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MCTS-guided Groq analysis (deep/normal mode)</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backend/agents/crew_agents.py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MCTS-focused specialist analysis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backend/agents/mcts_planner.py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UCB1 MCTS with 9 actions, 100 iterations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backend/tools/vector_store.py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Pinecone client, embed, upsert, search, stats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backend/tools/knowledge_graph.py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Neo4j driver, Cypher queries, graceful fallback</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backend/tools/supabase_client.py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PostgreSQL CRUD for documents and analyses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backend/tools/web_search.py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Tavily search client</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backend/tools/human_loop.py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High-risk query flagging, pending review store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backend/tools/guardrails.py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Input blocking, output disclaimer injection</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backend/tools/lawyer_finder.py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Lawyer database by city and practice area</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backend/tools/draft_generator.py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Legal document draft generation with LLM</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backend/ingestion/ingest.py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PDF/TXT/MD extraction, chunking, Pinecone upsert, Neo4j indexing</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backend/prompts/templates.py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QA, HyDE, self-reflection, risk, draft prompts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backend/mcp/server.py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MCP tool server exposing legal tools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frontend/src/components/ChatInterface.tsx</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Animated chat, source cards, pipeline badge, guardrail banner</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frontend/src/components/TestQuestions.tsx</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9-category collapsible question library</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frontend/src/components/Layout.tsx</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Sidebar navigation, responsive layout</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frontend/src/pages/Chat.tsx</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Chat page with TestQuestions sidebar</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frontend/src/pages/Analysis.tsx</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Deep analysis with tabs: Answer, Risk, MCTS, Lawyers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frontend/src/pages/Draft.tsx</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Draft generator + lawyer finder</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frontend/src/services/api.ts</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Axios API client with all endpoint wrappers</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data/raw/*.md</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12 comprehensive legal documents (12 files)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.env</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All API keys and configuration</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backend/fix_encoding.py</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UTF-16 to UTF-8 conversion utility</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backend/ingest_docs.py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Standalone ingestion runner script</w:t>
            </w:r>
          </w:p>
        </w:tc>
      </w:tr>
    </w:tbl>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12. Answer Format and Quality Standards</w:t>
      </w:r>
    </w:p>
    <w:p>
      <w:pPr>
        <w:pStyle w:val="Heading2"/>
        <w:spacing w:after="100" w:before="280"/>
      </w:pPr>
      <w:r>
        <w:rPr>
          <w:rFonts w:ascii="Arial" w:cs="Arial" w:eastAsia="Arial" w:hAnsi="Arial"/>
          <w:b/>
          <w:bCs/>
          <w:color w:val="2E75B6"/>
          <w:sz w:val="28"/>
          <w:szCs w:val="28"/>
        </w:rPr>
        <w:t xml:space="preserve">12.1 Structured Response Format</w:t>
      </w:r>
    </w:p>
    <w:p>
      <w:pPr>
        <w:spacing w:after="80" w:before="80"/>
      </w:pPr>
      <w:r>
        <w:rPr>
          <w:rFonts w:ascii="Arial" w:cs="Arial" w:eastAsia="Arial" w:hAnsi="Arial"/>
          <w:color w:val="404040"/>
          <w:sz w:val="22"/>
          <w:szCs w:val="22"/>
        </w:rPr>
        <w:t xml:space="preserve">Every AI response follows a 5-part structure (6 parts for scenario queries):</w:t>
      </w:r>
    </w:p>
    <w:p>
      <w:pPr>
        <w:pStyle w:val="ListParagraph"/>
        <w:numPr>
          <w:ilvl w:val="0"/>
          <w:numId w:val="2"/>
        </w:numPr>
        <w:spacing w:after="40" w:before="40"/>
      </w:pPr>
      <w:r>
        <w:rPr>
          <w:rFonts w:ascii="Arial" w:cs="Arial" w:eastAsia="Arial" w:hAnsi="Arial"/>
          <w:color w:val="404040"/>
          <w:sz w:val="22"/>
          <w:szCs w:val="22"/>
        </w:rPr>
        <w:t xml:space="preserve">DIRECT ANSWER: Answers immediately with the specific section, clause, or article name cited</w:t>
      </w:r>
    </w:p>
    <w:p>
      <w:pPr>
        <w:pStyle w:val="ListParagraph"/>
        <w:numPr>
          <w:ilvl w:val="0"/>
          <w:numId w:val="2"/>
        </w:numPr>
        <w:spacing w:after="40" w:before="40"/>
      </w:pPr>
      <w:r>
        <w:rPr>
          <w:rFonts w:ascii="Arial" w:cs="Arial" w:eastAsia="Arial" w:hAnsi="Arial"/>
          <w:color w:val="404040"/>
          <w:sz w:val="22"/>
          <w:szCs w:val="22"/>
        </w:rPr>
        <w:t xml:space="preserve">LEGAL BASIS: Quotes the exact law and section number. Example: 'Section 27, Indian Contract Act 1872 states that every agreement restraining a lawful profession is void.'</w:t>
      </w:r>
    </w:p>
    <w:p>
      <w:pPr>
        <w:pStyle w:val="ListParagraph"/>
        <w:numPr>
          <w:ilvl w:val="0"/>
          <w:numId w:val="2"/>
        </w:numPr>
        <w:spacing w:after="40" w:before="40"/>
      </w:pPr>
      <w:r>
        <w:rPr>
          <w:rFonts w:ascii="Arial" w:cs="Arial" w:eastAsia="Arial" w:hAnsi="Arial"/>
          <w:color w:val="404040"/>
          <w:sz w:val="22"/>
          <w:szCs w:val="22"/>
        </w:rPr>
        <w:t xml:space="preserve">CASE LAW: Names one relevant Supreme Court or High Court judgment with year and holding</w:t>
      </w:r>
    </w:p>
    <w:p>
      <w:pPr>
        <w:pStyle w:val="ListParagraph"/>
        <w:numPr>
          <w:ilvl w:val="0"/>
          <w:numId w:val="2"/>
        </w:numPr>
        <w:spacing w:after="40" w:before="40"/>
      </w:pPr>
      <w:r>
        <w:rPr>
          <w:rFonts w:ascii="Arial" w:cs="Arial" w:eastAsia="Arial" w:hAnsi="Arial"/>
          <w:color w:val="404040"/>
          <w:sz w:val="22"/>
          <w:szCs w:val="22"/>
        </w:rPr>
        <w:t xml:space="preserve">ACTIONABLE STEP: Tells the person exactly what to do with specific contact — 'Call 1930', 'File at cybercrime.gov.in', 'File complaint with the Labour Commissioner'</w:t>
      </w:r>
    </w:p>
    <w:p>
      <w:pPr>
        <w:pStyle w:val="ListParagraph"/>
        <w:numPr>
          <w:ilvl w:val="0"/>
          <w:numId w:val="2"/>
        </w:numPr>
        <w:spacing w:after="40" w:before="40"/>
      </w:pPr>
      <w:r>
        <w:rPr>
          <w:rFonts w:ascii="Arial" w:cs="Arial" w:eastAsia="Arial" w:hAnsi="Arial"/>
          <w:color w:val="404040"/>
          <w:sz w:val="22"/>
          <w:szCs w:val="22"/>
        </w:rPr>
        <w:t xml:space="preserve">WHERE TO VERIFY: Provides one relevant link — indiankanoon.org, consumerhelpline.gov.in, cybercrime.gov.in, nalsa.gov.in</w:t>
      </w:r>
    </w:p>
    <w:p>
      <w:pPr>
        <w:pStyle w:val="ListParagraph"/>
        <w:numPr>
          <w:ilvl w:val="0"/>
          <w:numId w:val="2"/>
        </w:numPr>
        <w:spacing w:after="40" w:before="40"/>
      </w:pPr>
      <w:r>
        <w:rPr>
          <w:rFonts w:ascii="Arial" w:cs="Arial" w:eastAsia="Arial" w:hAnsi="Arial"/>
          <w:color w:val="404040"/>
          <w:sz w:val="22"/>
          <w:szCs w:val="22"/>
        </w:rPr>
        <w:t xml:space="preserve">RISK LEVEL (scenario queries only): LOW / MEDIUM / HIGH / CRITICAL with brief explanation</w:t>
      </w:r>
    </w:p>
    <w:p>
      <w:pPr>
        <w:pStyle w:val="Heading2"/>
        <w:spacing w:after="100" w:before="280"/>
      </w:pPr>
      <w:r>
        <w:rPr>
          <w:rFonts w:ascii="Arial" w:cs="Arial" w:eastAsia="Arial" w:hAnsi="Arial"/>
          <w:b/>
          <w:bCs/>
          <w:color w:val="2E75B6"/>
          <w:sz w:val="28"/>
          <w:szCs w:val="28"/>
        </w:rPr>
        <w:t xml:space="preserve">12.2 Scenario Detection</w:t>
      </w:r>
    </w:p>
    <w:p>
      <w:pPr>
        <w:spacing w:after="80" w:before="80"/>
      </w:pPr>
      <w:r>
        <w:rPr>
          <w:rFonts w:ascii="Arial" w:cs="Arial" w:eastAsia="Arial" w:hAnsi="Arial"/>
          <w:color w:val="404040"/>
          <w:sz w:val="22"/>
          <w:szCs w:val="22"/>
        </w:rPr>
        <w:t xml:space="preserve">Queries are automatically classified as scenario-based if they contain any of the following keywords: 'my ', 'i ', 'we ', 'our ', 'employer', 'employee', 'company did', 'they refused', 'was fired', 'terminated', 'not paid', 'breach', 'dispute', 'violated', 'what should i', 'what can i', 'can i sue', 'am i entitled', 'did not', 'didn’t', 'refused to', 'failed to'.</w:t>
      </w:r>
    </w:p>
    <w:p>
      <w:pPr>
        <w:spacing w:after="80" w:before="80"/>
      </w:pPr>
      <w:r>
        <w:rPr>
          <w:rFonts w:ascii="Arial" w:cs="Arial" w:eastAsia="Arial" w:hAnsi="Arial"/>
          <w:color w:val="404040"/>
          <w:sz w:val="22"/>
          <w:szCs w:val="22"/>
        </w:rPr>
        <w:t xml:space="preserve">For scenario queries: Risk level and MCTS-selected specialized sections are included. For general queries: Only the 5-part answer structure without risk scoring.</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13. Using Claude API (Optional Upgrade)</w:t>
      </w:r>
    </w:p>
    <w:p>
      <w:pPr>
        <w:spacing w:after="80" w:before="80"/>
      </w:pPr>
      <w:r>
        <w:rPr>
          <w:rFonts w:ascii="Arial" w:cs="Arial" w:eastAsia="Arial" w:hAnsi="Arial"/>
          <w:color w:val="404040"/>
          <w:sz w:val="22"/>
          <w:szCs w:val="22"/>
        </w:rPr>
        <w:t xml:space="preserve">The system supports both Groq Llama 3.3 and Anthropic Claude. Claude provides significantly better legal reasoning, more precise citations, and more reliable formatting compliance.</w:t>
      </w:r>
    </w:p>
    <w:p>
      <w:pPr>
        <w:pStyle w:val="Heading2"/>
        <w:spacing w:after="100" w:before="280"/>
      </w:pPr>
      <w:r>
        <w:rPr>
          <w:rFonts w:ascii="Arial" w:cs="Arial" w:eastAsia="Arial" w:hAnsi="Arial"/>
          <w:b/>
          <w:bCs/>
          <w:color w:val="2E75B6"/>
          <w:sz w:val="28"/>
          <w:szCs w:val="28"/>
        </w:rPr>
        <w:t xml:space="preserve">13.1 Setup</w:t>
      </w:r>
    </w:p>
    <w:p>
      <w:pPr>
        <w:pStyle w:val="ListParagraph"/>
        <w:numPr>
          <w:ilvl w:val="0"/>
          <w:numId w:val="2"/>
        </w:numPr>
        <w:spacing w:after="40" w:before="40"/>
      </w:pPr>
      <w:r>
        <w:rPr>
          <w:rFonts w:ascii="Arial" w:cs="Arial" w:eastAsia="Arial" w:hAnsi="Arial"/>
          <w:color w:val="404040"/>
          <w:sz w:val="22"/>
          <w:szCs w:val="22"/>
        </w:rPr>
        <w:t xml:space="preserve">Get API key at console.anthropic.com/settings/keys</w:t>
      </w:r>
    </w:p>
    <w:p>
      <w:pPr>
        <w:pStyle w:val="ListParagraph"/>
        <w:numPr>
          <w:ilvl w:val="0"/>
          <w:numId w:val="2"/>
        </w:numPr>
        <w:spacing w:after="40" w:before="40"/>
      </w:pPr>
      <w:r>
        <w:rPr>
          <w:rFonts w:ascii="Arial" w:cs="Arial" w:eastAsia="Arial" w:hAnsi="Arial"/>
          <w:color w:val="404040"/>
          <w:sz w:val="22"/>
          <w:szCs w:val="22"/>
        </w:rPr>
        <w:t xml:space="preserve">Add to .env: ANTHROPIC_API_KEY=sk-ant-your-key and LLM_PROVIDER=claude</w:t>
      </w:r>
    </w:p>
    <w:p>
      <w:pPr>
        <w:pStyle w:val="ListParagraph"/>
        <w:numPr>
          <w:ilvl w:val="0"/>
          <w:numId w:val="2"/>
        </w:numPr>
        <w:spacing w:after="40" w:before="40"/>
      </w:pPr>
      <w:r>
        <w:rPr>
          <w:rFonts w:ascii="Arial" w:cs="Arial" w:eastAsia="Arial" w:hAnsi="Arial"/>
          <w:color w:val="404040"/>
          <w:sz w:val="22"/>
          <w:szCs w:val="22"/>
        </w:rPr>
        <w:t xml:space="preserve">Install: pip install anthropic</w:t>
      </w:r>
    </w:p>
    <w:p>
      <w:pPr>
        <w:pStyle w:val="ListParagraph"/>
        <w:numPr>
          <w:ilvl w:val="0"/>
          <w:numId w:val="2"/>
        </w:numPr>
        <w:spacing w:after="40" w:before="40"/>
      </w:pPr>
      <w:r>
        <w:rPr>
          <w:rFonts w:ascii="Arial" w:cs="Arial" w:eastAsia="Arial" w:hAnsi="Arial"/>
          <w:color w:val="404040"/>
          <w:sz w:val="22"/>
          <w:szCs w:val="22"/>
        </w:rPr>
        <w:t xml:space="preserve">Restart uvicorn</w:t>
      </w:r>
    </w:p>
    <w:p>
      <w:pPr>
        <w:pStyle w:val="Heading2"/>
        <w:spacing w:after="100" w:before="280"/>
      </w:pPr>
      <w:r>
        <w:rPr>
          <w:rFonts w:ascii="Arial" w:cs="Arial" w:eastAsia="Arial" w:hAnsi="Arial"/>
          <w:b/>
          <w:bCs/>
          <w:color w:val="2E75B6"/>
          <w:sz w:val="28"/>
          <w:szCs w:val="28"/>
        </w:rPr>
        <w:t xml:space="preserve">13.2 Differences</w:t>
      </w:r>
    </w:p>
    <w:p>
      <w:pPr>
        <w:pStyle w:val="ListParagraph"/>
        <w:numPr>
          <w:ilvl w:val="0"/>
          <w:numId w:val="2"/>
        </w:numPr>
        <w:spacing w:after="40" w:before="40"/>
      </w:pPr>
      <w:r>
        <w:rPr>
          <w:rFonts w:ascii="Arial" w:cs="Arial" w:eastAsia="Arial" w:hAnsi="Arial"/>
          <w:color w:val="404040"/>
          <w:sz w:val="22"/>
          <w:szCs w:val="22"/>
        </w:rPr>
        <w:t xml:space="preserve">Groq: Free, faster (&lt; 1 second), 8192 token context, Llama 3.3 70B</w:t>
      </w:r>
    </w:p>
    <w:p>
      <w:pPr>
        <w:pStyle w:val="ListParagraph"/>
        <w:numPr>
          <w:ilvl w:val="0"/>
          <w:numId w:val="2"/>
        </w:numPr>
        <w:spacing w:after="40" w:before="40"/>
      </w:pPr>
      <w:r>
        <w:rPr>
          <w:rFonts w:ascii="Arial" w:cs="Arial" w:eastAsia="Arial" w:hAnsi="Arial"/>
          <w:color w:val="404040"/>
          <w:sz w:val="22"/>
          <w:szCs w:val="22"/>
        </w:rPr>
        <w:t xml:space="preserve">Claude: Paid (requires billing), slightly slower, 200K token context, claude-sonnet-4-6, significantly better at following formatting instructions and legal precision</w:t>
      </w:r>
    </w:p>
    <w:p>
      <w:pPr>
        <w:spacing w:after="80" w:before="80"/>
      </w:pPr>
      <w:r>
        <w:rPr>
          <w:rFonts w:ascii="Arial" w:cs="Arial" w:eastAsia="Arial" w:hAnsi="Arial"/>
          <w:color w:val="404040"/>
          <w:sz w:val="22"/>
          <w:szCs w:val="22"/>
        </w:rPr>
        <w:t xml:space="preserve">The LLM client (llm/groq_client.py) seamlessly handles both providers. The Claude path uses asyncio.to_thread() to run the synchronous Anthropic SDK inside the async FastAPI event loop.</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14. Deployment Guide (Render)</w:t>
      </w:r>
    </w:p>
    <w:p>
      <w:pPr>
        <w:pStyle w:val="Heading2"/>
        <w:spacing w:after="100" w:before="280"/>
      </w:pPr>
      <w:r>
        <w:rPr>
          <w:rFonts w:ascii="Arial" w:cs="Arial" w:eastAsia="Arial" w:hAnsi="Arial"/>
          <w:b/>
          <w:bCs/>
          <w:color w:val="2E75B6"/>
          <w:sz w:val="28"/>
          <w:szCs w:val="28"/>
        </w:rPr>
        <w:t xml:space="preserve">14.1 Backend Deployment</w:t>
      </w:r>
    </w:p>
    <w:p>
      <w:pPr>
        <w:spacing w:after="80" w:before="80"/>
      </w:pPr>
      <w:r>
        <w:rPr>
          <w:rFonts w:ascii="Arial" w:cs="Arial" w:eastAsia="Arial" w:hAnsi="Arial"/>
          <w:color w:val="404040"/>
          <w:sz w:val="22"/>
          <w:szCs w:val="22"/>
        </w:rPr>
        <w:t xml:space="preserve">The backend includes render.yaml for zero-config deployment. Push to GitHub and create a new Web Service pointing to the backend/ directory.</w:t>
      </w:r>
    </w:p>
    <w:p>
      <w:pPr>
        <w:pStyle w:val="ListParagraph"/>
        <w:numPr>
          <w:ilvl w:val="0"/>
          <w:numId w:val="2"/>
        </w:numPr>
        <w:spacing w:after="40" w:before="40"/>
      </w:pPr>
      <w:r>
        <w:rPr>
          <w:rFonts w:ascii="Arial" w:cs="Arial" w:eastAsia="Arial" w:hAnsi="Arial"/>
          <w:color w:val="404040"/>
          <w:sz w:val="22"/>
          <w:szCs w:val="22"/>
        </w:rPr>
        <w:t xml:space="preserve">Build command: pip install -r requirements.txt</w:t>
      </w:r>
    </w:p>
    <w:p>
      <w:pPr>
        <w:pStyle w:val="ListParagraph"/>
        <w:numPr>
          <w:ilvl w:val="0"/>
          <w:numId w:val="2"/>
        </w:numPr>
        <w:spacing w:after="40" w:before="40"/>
      </w:pPr>
      <w:r>
        <w:rPr>
          <w:rFonts w:ascii="Arial" w:cs="Arial" w:eastAsia="Arial" w:hAnsi="Arial"/>
          <w:color w:val="404040"/>
          <w:sz w:val="22"/>
          <w:szCs w:val="22"/>
        </w:rPr>
        <w:t xml:space="preserve">Start command: uvicorn main:app --host 0.0.0.0 --port $PORT --workers 2</w:t>
      </w:r>
    </w:p>
    <w:p>
      <w:pPr>
        <w:pStyle w:val="ListParagraph"/>
        <w:numPr>
          <w:ilvl w:val="0"/>
          <w:numId w:val="2"/>
        </w:numPr>
        <w:spacing w:after="40" w:before="40"/>
      </w:pPr>
      <w:r>
        <w:rPr>
          <w:rFonts w:ascii="Arial" w:cs="Arial" w:eastAsia="Arial" w:hAnsi="Arial"/>
          <w:color w:val="404040"/>
          <w:sz w:val="22"/>
          <w:szCs w:val="22"/>
        </w:rPr>
        <w:t xml:space="preserve">Add all environment variables in the Render dashboard Environment tab</w:t>
      </w:r>
    </w:p>
    <w:p>
      <w:pPr>
        <w:pStyle w:val="ListParagraph"/>
        <w:numPr>
          <w:ilvl w:val="0"/>
          <w:numId w:val="2"/>
        </w:numPr>
        <w:spacing w:after="40" w:before="40"/>
      </w:pPr>
      <w:r>
        <w:rPr>
          <w:rFonts w:ascii="Arial" w:cs="Arial" w:eastAsia="Arial" w:hAnsi="Arial"/>
          <w:color w:val="404040"/>
          <w:sz w:val="22"/>
          <w:szCs w:val="22"/>
        </w:rPr>
        <w:t xml:space="preserve">Health check path: /</w:t>
      </w:r>
    </w:p>
    <w:p>
      <w:pPr>
        <w:pStyle w:val="Heading2"/>
        <w:spacing w:after="100" w:before="280"/>
      </w:pPr>
      <w:r>
        <w:rPr>
          <w:rFonts w:ascii="Arial" w:cs="Arial" w:eastAsia="Arial" w:hAnsi="Arial"/>
          <w:b/>
          <w:bCs/>
          <w:color w:val="2E75B6"/>
          <w:sz w:val="28"/>
          <w:szCs w:val="28"/>
        </w:rPr>
        <w:t xml:space="preserve">14.2 Frontend Deployment</w:t>
      </w:r>
    </w:p>
    <w:p>
      <w:pPr>
        <w:spacing w:after="80" w:before="80"/>
      </w:pPr>
      <w:r>
        <w:rPr>
          <w:rFonts w:ascii="Arial" w:cs="Arial" w:eastAsia="Arial" w:hAnsi="Arial"/>
          <w:color w:val="404040"/>
          <w:sz w:val="22"/>
          <w:szCs w:val="22"/>
        </w:rPr>
        <w:t xml:space="preserve">Create a Static Site on Render pointing to the frontend/ directory.</w:t>
      </w:r>
    </w:p>
    <w:p>
      <w:pPr>
        <w:pStyle w:val="ListParagraph"/>
        <w:numPr>
          <w:ilvl w:val="0"/>
          <w:numId w:val="2"/>
        </w:numPr>
        <w:spacing w:after="40" w:before="40"/>
      </w:pPr>
      <w:r>
        <w:rPr>
          <w:rFonts w:ascii="Arial" w:cs="Arial" w:eastAsia="Arial" w:hAnsi="Arial"/>
          <w:color w:val="404040"/>
          <w:sz w:val="22"/>
          <w:szCs w:val="22"/>
        </w:rPr>
        <w:t xml:space="preserve">Build command: npm install &amp;&amp; npm run build</w:t>
      </w:r>
    </w:p>
    <w:p>
      <w:pPr>
        <w:pStyle w:val="ListParagraph"/>
        <w:numPr>
          <w:ilvl w:val="0"/>
          <w:numId w:val="2"/>
        </w:numPr>
        <w:spacing w:after="40" w:before="40"/>
      </w:pPr>
      <w:r>
        <w:rPr>
          <w:rFonts w:ascii="Arial" w:cs="Arial" w:eastAsia="Arial" w:hAnsi="Arial"/>
          <w:color w:val="404040"/>
          <w:sz w:val="22"/>
          <w:szCs w:val="22"/>
        </w:rPr>
        <w:t xml:space="preserve">Publish directory: dist</w:t>
      </w:r>
    </w:p>
    <w:p>
      <w:pPr>
        <w:pStyle w:val="ListParagraph"/>
        <w:numPr>
          <w:ilvl w:val="0"/>
          <w:numId w:val="2"/>
        </w:numPr>
        <w:spacing w:after="40" w:before="40"/>
      </w:pPr>
      <w:r>
        <w:rPr>
          <w:rFonts w:ascii="Arial" w:cs="Arial" w:eastAsia="Arial" w:hAnsi="Arial"/>
          <w:color w:val="404040"/>
          <w:sz w:val="22"/>
          <w:szCs w:val="22"/>
        </w:rPr>
        <w:t xml:space="preserve">Add environment variable: VITE_API_URL=https://your-backend.onrender.com/api</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15. Future Enhancements</w:t>
      </w:r>
    </w:p>
    <w:p>
      <w:pPr>
        <w:pStyle w:val="Heading2"/>
        <w:spacing w:after="100" w:before="280"/>
      </w:pPr>
      <w:r>
        <w:rPr>
          <w:rFonts w:ascii="Arial" w:cs="Arial" w:eastAsia="Arial" w:hAnsi="Arial"/>
          <w:b/>
          <w:bCs/>
          <w:color w:val="2E75B6"/>
          <w:sz w:val="28"/>
          <w:szCs w:val="28"/>
        </w:rPr>
        <w:t xml:space="preserve">15.1 Planned Features</w:t>
      </w:r>
    </w:p>
    <w:p>
      <w:pPr>
        <w:pStyle w:val="ListParagraph"/>
        <w:numPr>
          <w:ilvl w:val="0"/>
          <w:numId w:val="2"/>
        </w:numPr>
        <w:spacing w:after="40" w:before="40"/>
      </w:pPr>
      <w:r>
        <w:rPr>
          <w:rFonts w:ascii="Arial" w:cs="Arial" w:eastAsia="Arial" w:hAnsi="Arial"/>
          <w:color w:val="404040"/>
          <w:sz w:val="22"/>
          <w:szCs w:val="22"/>
        </w:rPr>
        <w:t xml:space="preserve">Add state-specific Rent Control Acts (Maharashtra, Delhi, Karnataka, Tamil Nadu) as separate documents</w:t>
      </w:r>
    </w:p>
    <w:p>
      <w:pPr>
        <w:pStyle w:val="ListParagraph"/>
        <w:numPr>
          <w:ilvl w:val="0"/>
          <w:numId w:val="2"/>
        </w:numPr>
        <w:spacing w:after="40" w:before="40"/>
      </w:pPr>
      <w:r>
        <w:rPr>
          <w:rFonts w:ascii="Arial" w:cs="Arial" w:eastAsia="Arial" w:hAnsi="Arial"/>
          <w:color w:val="404040"/>
          <w:sz w:val="22"/>
          <w:szCs w:val="22"/>
        </w:rPr>
        <w:t xml:space="preserve">Integrate IPC/BNS (Bharatiya Nyaya Sanhita 2023) sections for criminal law queries</w:t>
      </w:r>
    </w:p>
    <w:p>
      <w:pPr>
        <w:pStyle w:val="ListParagraph"/>
        <w:numPr>
          <w:ilvl w:val="0"/>
          <w:numId w:val="2"/>
        </w:numPr>
        <w:spacing w:after="40" w:before="40"/>
      </w:pPr>
      <w:r>
        <w:rPr>
          <w:rFonts w:ascii="Arial" w:cs="Arial" w:eastAsia="Arial" w:hAnsi="Arial"/>
          <w:color w:val="404040"/>
          <w:sz w:val="22"/>
          <w:szCs w:val="22"/>
        </w:rPr>
        <w:t xml:space="preserve">Add Aadhar Act, Waqf Amendment Act, and CAA-related constitutional queries</w:t>
      </w:r>
    </w:p>
    <w:p>
      <w:pPr>
        <w:pStyle w:val="ListParagraph"/>
        <w:numPr>
          <w:ilvl w:val="0"/>
          <w:numId w:val="2"/>
        </w:numPr>
        <w:spacing w:after="40" w:before="40"/>
      </w:pPr>
      <w:r>
        <w:rPr>
          <w:rFonts w:ascii="Arial" w:cs="Arial" w:eastAsia="Arial" w:hAnsi="Arial"/>
          <w:color w:val="404040"/>
          <w:sz w:val="22"/>
          <w:szCs w:val="22"/>
        </w:rPr>
        <w:t xml:space="preserve">Real-time case law streaming from indiankanoon.org via official API</w:t>
      </w:r>
    </w:p>
    <w:p>
      <w:pPr>
        <w:pStyle w:val="ListParagraph"/>
        <w:numPr>
          <w:ilvl w:val="0"/>
          <w:numId w:val="2"/>
        </w:numPr>
        <w:spacing w:after="40" w:before="40"/>
      </w:pPr>
      <w:r>
        <w:rPr>
          <w:rFonts w:ascii="Arial" w:cs="Arial" w:eastAsia="Arial" w:hAnsi="Arial"/>
          <w:color w:val="404040"/>
          <w:sz w:val="22"/>
          <w:szCs w:val="22"/>
        </w:rPr>
        <w:t xml:space="preserve">Voice input and audio response for accessibility</w:t>
      </w:r>
    </w:p>
    <w:p>
      <w:pPr>
        <w:pStyle w:val="ListParagraph"/>
        <w:numPr>
          <w:ilvl w:val="0"/>
          <w:numId w:val="2"/>
        </w:numPr>
        <w:spacing w:after="40" w:before="40"/>
      </w:pPr>
      <w:r>
        <w:rPr>
          <w:rFonts w:ascii="Arial" w:cs="Arial" w:eastAsia="Arial" w:hAnsi="Arial"/>
          <w:color w:val="404040"/>
          <w:sz w:val="22"/>
          <w:szCs w:val="22"/>
        </w:rPr>
        <w:t xml:space="preserve">Multi-language support — Tamil, Telugu, Hindi, Kannada, Marathi</w:t>
      </w:r>
    </w:p>
    <w:p>
      <w:pPr>
        <w:pStyle w:val="ListParagraph"/>
        <w:numPr>
          <w:ilvl w:val="0"/>
          <w:numId w:val="2"/>
        </w:numPr>
        <w:spacing w:after="40" w:before="40"/>
      </w:pPr>
      <w:r>
        <w:rPr>
          <w:rFonts w:ascii="Arial" w:cs="Arial" w:eastAsia="Arial" w:hAnsi="Arial"/>
          <w:color w:val="404040"/>
          <w:sz w:val="22"/>
          <w:szCs w:val="22"/>
        </w:rPr>
        <w:t xml:space="preserve">Document comparison: Upload two contracts and find discrepancies</w:t>
      </w:r>
    </w:p>
    <w:p>
      <w:pPr>
        <w:pStyle w:val="ListParagraph"/>
        <w:numPr>
          <w:ilvl w:val="0"/>
          <w:numId w:val="2"/>
        </w:numPr>
        <w:spacing w:after="40" w:before="40"/>
      </w:pPr>
      <w:r>
        <w:rPr>
          <w:rFonts w:ascii="Arial" w:cs="Arial" w:eastAsia="Arial" w:hAnsi="Arial"/>
          <w:color w:val="404040"/>
          <w:sz w:val="22"/>
          <w:szCs w:val="22"/>
        </w:rPr>
        <w:t xml:space="preserve">Scheduled legal reminders (court dates, notice period deadlines)</w:t>
      </w:r>
    </w:p>
    <w:p>
      <w:pPr>
        <w:pStyle w:val="Heading2"/>
        <w:spacing w:after="100" w:before="280"/>
      </w:pPr>
      <w:r>
        <w:rPr>
          <w:rFonts w:ascii="Arial" w:cs="Arial" w:eastAsia="Arial" w:hAnsi="Arial"/>
          <w:b/>
          <w:bCs/>
          <w:color w:val="2E75B6"/>
          <w:sz w:val="28"/>
          <w:szCs w:val="28"/>
        </w:rPr>
        <w:t xml:space="preserve">15.2 Technical Improvements</w:t>
      </w:r>
    </w:p>
    <w:p>
      <w:pPr>
        <w:pStyle w:val="ListParagraph"/>
        <w:numPr>
          <w:ilvl w:val="0"/>
          <w:numId w:val="2"/>
        </w:numPr>
        <w:spacing w:after="40" w:before="40"/>
      </w:pPr>
      <w:r>
        <w:rPr>
          <w:rFonts w:ascii="Arial" w:cs="Arial" w:eastAsia="Arial" w:hAnsi="Arial"/>
          <w:color w:val="404040"/>
          <w:sz w:val="22"/>
          <w:szCs w:val="22"/>
        </w:rPr>
        <w:t xml:space="preserve">Re-enable CrewAI with Groq-compatible configuration using crewai&gt;=0.80 with LiteLLM bridge</w:t>
      </w:r>
    </w:p>
    <w:p>
      <w:pPr>
        <w:pStyle w:val="ListParagraph"/>
        <w:numPr>
          <w:ilvl w:val="0"/>
          <w:numId w:val="2"/>
        </w:numPr>
        <w:spacing w:after="40" w:before="40"/>
      </w:pPr>
      <w:r>
        <w:rPr>
          <w:rFonts w:ascii="Arial" w:cs="Arial" w:eastAsia="Arial" w:hAnsi="Arial"/>
          <w:color w:val="404040"/>
          <w:sz w:val="22"/>
          <w:szCs w:val="22"/>
        </w:rPr>
        <w:t xml:space="preserve">Re-enable AutoGen multi-turn conversation with context management to stay under token limits</w:t>
      </w:r>
    </w:p>
    <w:p>
      <w:pPr>
        <w:pStyle w:val="ListParagraph"/>
        <w:numPr>
          <w:ilvl w:val="0"/>
          <w:numId w:val="2"/>
        </w:numPr>
        <w:spacing w:after="40" w:before="40"/>
      </w:pPr>
      <w:r>
        <w:rPr>
          <w:rFonts w:ascii="Arial" w:cs="Arial" w:eastAsia="Arial" w:hAnsi="Arial"/>
          <w:color w:val="404040"/>
          <w:sz w:val="22"/>
          <w:szCs w:val="22"/>
        </w:rPr>
        <w:t xml:space="preserve">Add BM25 index using rank-bm25 library for true offline keyword search without LLM</w:t>
      </w:r>
    </w:p>
    <w:p>
      <w:pPr>
        <w:pStyle w:val="ListParagraph"/>
        <w:numPr>
          <w:ilvl w:val="0"/>
          <w:numId w:val="2"/>
        </w:numPr>
        <w:spacing w:after="40" w:before="40"/>
      </w:pPr>
      <w:r>
        <w:rPr>
          <w:rFonts w:ascii="Arial" w:cs="Arial" w:eastAsia="Arial" w:hAnsi="Arial"/>
          <w:color w:val="404040"/>
          <w:sz w:val="22"/>
          <w:szCs w:val="22"/>
        </w:rPr>
        <w:t xml:space="preserve">Implement Redis caching for common queries (notice period, consumer rights, etc.)</w:t>
      </w:r>
    </w:p>
    <w:p>
      <w:pPr>
        <w:pStyle w:val="ListParagraph"/>
        <w:numPr>
          <w:ilvl w:val="0"/>
          <w:numId w:val="2"/>
        </w:numPr>
        <w:spacing w:after="40" w:before="40"/>
      </w:pPr>
      <w:r>
        <w:rPr>
          <w:rFonts w:ascii="Arial" w:cs="Arial" w:eastAsia="Arial" w:hAnsi="Arial"/>
          <w:color w:val="404040"/>
          <w:sz w:val="22"/>
          <w:szCs w:val="22"/>
        </w:rPr>
        <w:t xml:space="preserve">WebSocket streaming so answers appear word-by-word instead of waiting for full response</w:t>
      </w:r>
    </w:p>
    <w:p>
      <w:pPr>
        <w:pStyle w:val="ListParagraph"/>
        <w:numPr>
          <w:ilvl w:val="0"/>
          <w:numId w:val="2"/>
        </w:numPr>
        <w:spacing w:after="40" w:before="40"/>
      </w:pPr>
      <w:r>
        <w:rPr>
          <w:rFonts w:ascii="Arial" w:cs="Arial" w:eastAsia="Arial" w:hAnsi="Arial"/>
          <w:color w:val="404040"/>
          <w:sz w:val="22"/>
          <w:szCs w:val="22"/>
        </w:rPr>
        <w:t xml:space="preserve">Fine-tune all-MiniLM-L6-v2 on Indian legal terminology for better embedding relevance</w:t>
      </w:r>
    </w:p>
    <w:p>
      <w:pPr>
        <w:pBdr>
          <w:bottom w:val="single" w:color="2E75B6" w:sz="4" w:space="1"/>
        </w:pBdr>
        <w:spacing w:after="120" w:before="120"/>
      </w:pPr>
    </w:p>
    <w:p>
      <w:pPr>
        <w:pStyle w:val="Heading1"/>
        <w:spacing w:after="120" w:before="360"/>
      </w:pPr>
      <w:r>
        <w:rPr>
          <w:rFonts w:ascii="Arial" w:cs="Arial" w:eastAsia="Arial" w:hAnsi="Arial"/>
          <w:b/>
          <w:bCs/>
          <w:color w:val="1F3A7A"/>
          <w:sz w:val="36"/>
          <w:szCs w:val="36"/>
        </w:rPr>
        <w:t xml:space="preserve">16. API Keys and Service Contacts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Service</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Console URL</w:t>
            </w:r>
          </w:p>
        </w:tc>
        <w:tc>
          <w:tcPr>
            <w:tcBorders>
              <w:top w:val="single" w:color="D0D7E3" w:sz="1"/>
              <w:left w:val="single" w:color="D0D7E3" w:sz="1"/>
              <w:bottom w:val="single" w:color="D0D7E3" w:sz="1"/>
              <w:right w:val="single" w:color="D0D7E3" w:sz="1"/>
            </w:tcBorders>
            <w:shd w:fill="1F3A7A"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Groq</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console.groq.com</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LLM inference — Llama 3.3 70B</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Pinecone</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app.pinecone.io</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Vector database for document embeddings</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Supabase</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app.supabase.com</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PostgreSQL for metadata</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Neo4j AuraDB</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console.neo4j.io</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Knowledge graph</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Tavily</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app.tavily.com</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Legal web search</w:t>
            </w:r>
          </w:p>
        </w:tc>
      </w:tr>
      <w:tr>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Anthropic</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console.anthropic.com</w:t>
            </w:r>
          </w:p>
        </w:tc>
        <w:tc>
          <w:tcPr>
            <w:tcBorders>
              <w:top w:val="single" w:color="D0D7E3" w:sz="1"/>
              <w:left w:val="single" w:color="D0D7E3" w:sz="1"/>
              <w:bottom w:val="single" w:color="D0D7E3" w:sz="1"/>
              <w:right w:val="single" w:color="D0D7E3" w:sz="1"/>
            </w:tcBorders>
            <w:shd w:fill="F2F6FC" w:val="clear"/>
            <w:tcMar>
              <w:top w:type="dxa" w:w="70"/>
              <w:left w:type="dxa" w:w="120"/>
              <w:bottom w:type="dxa" w:w="70"/>
              <w:right w:type="dxa" w:w="80"/>
            </w:tcMar>
          </w:tcPr>
          <w:p>
            <w:r>
              <w:rPr>
                <w:rFonts w:ascii="Arial" w:cs="Arial" w:eastAsia="Arial" w:hAnsi="Arial"/>
                <w:color w:val="404040"/>
                <w:sz w:val="19"/>
                <w:szCs w:val="19"/>
              </w:rPr>
              <w:t xml:space="preserve">Claude API (optional)</w:t>
            </w:r>
          </w:p>
        </w:tc>
      </w:tr>
      <w:tr>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Render</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dashboard.render.com</w:t>
            </w:r>
          </w:p>
        </w:tc>
        <w:tc>
          <w:tcPr>
            <w:tcBorders>
              <w:top w:val="single" w:color="D0D7E3" w:sz="1"/>
              <w:left w:val="single" w:color="D0D7E3" w:sz="1"/>
              <w:bottom w:val="single" w:color="D0D7E3" w:sz="1"/>
              <w:right w:val="single" w:color="D0D7E3" w:sz="1"/>
            </w:tcBorders>
            <w:shd w:fill="FFFFFF" w:val="clear"/>
            <w:tcMar>
              <w:top w:type="dxa" w:w="70"/>
              <w:left w:type="dxa" w:w="120"/>
              <w:bottom w:type="dxa" w:w="70"/>
              <w:right w:type="dxa" w:w="80"/>
            </w:tcMar>
          </w:tcPr>
          <w:p>
            <w:r>
              <w:rPr>
                <w:rFonts w:ascii="Arial" w:cs="Arial" w:eastAsia="Arial" w:hAnsi="Arial"/>
                <w:color w:val="404040"/>
                <w:sz w:val="19"/>
                <w:szCs w:val="19"/>
              </w:rPr>
              <w:t xml:space="preserve">Cloud deployment</w:t>
            </w:r>
          </w:p>
        </w:tc>
      </w:tr>
    </w:tbl>
    <w:p>
      <w:pPr>
        <w:spacing w:before="480"/>
      </w:pPr>
    </w:p>
    <w:p>
      <w:pPr>
        <w:pBdr>
          <w:top w:val="single" w:color="2E75B6" w:sz="4" w:space="1"/>
          <w:bottom w:val="single" w:color="2E75B6" w:sz="4" w:space="1"/>
        </w:pBdr>
        <w:spacing w:after="120" w:before="120"/>
        <w:jc w:val="center"/>
      </w:pPr>
      <w:r>
        <w:rPr>
          <w:rFonts w:ascii="Arial" w:cs="Arial" w:eastAsia="Arial" w:hAnsi="Arial"/>
          <w:i/>
          <w:iCs/>
          <w:color w:val="2E75B6"/>
          <w:sz w:val="20"/>
          <w:szCs w:val="20"/>
        </w:rPr>
        <w:t xml:space="preserve">AI Legal Document Advisor — Built with Groq, Pinecone, Neo4j, Supabase, LangGraph, React</w:t>
      </w:r>
    </w:p>
    <w:p>
      <w:pPr>
        <w:spacing w:before="80"/>
        <w:jc w:val="center"/>
      </w:pPr>
      <w:r>
        <w:rPr>
          <w:rFonts w:ascii="Arial" w:cs="Arial" w:eastAsia="Arial" w:hAnsi="Arial"/>
          <w:color w:val="888888"/>
          <w:sz w:val="18"/>
          <w:szCs w:val="18"/>
        </w:rPr>
        <w:t xml:space="preserve">ProITBridge | Version 1.0.0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ProITBridge | Confidential  |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A7A"/>
        <w:sz w:val="18"/>
        <w:szCs w:val="18"/>
      </w:rPr>
      <w:t xml:space="preserve">AI Legal Document Advisor</w:t>
    </w:r>
    <w:r>
      <w:rPr>
        <w:rFonts w:ascii="Arial" w:cs="Arial" w:eastAsia="Arial" w:hAnsi="Arial"/>
        <w:color w:val="888888"/>
        <w:sz w:val="18"/>
        <w:szCs w:val="18"/>
      </w:rPr>
      <w:t xml:space="preserve">  |  Technical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7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2026-05-15T06:19:08.787Z</dcterms:created>
  <dcterms:modified xsi:type="dcterms:W3CDTF">2026-05-15T06:19:08.787Z</dcterms:modified>
</cp:coreProperties>
</file>

<file path=docProps/custom.xml><?xml version="1.0" encoding="utf-8"?>
<Properties xmlns="http://schemas.openxmlformats.org/officeDocument/2006/custom-properties" xmlns:vt="http://schemas.openxmlformats.org/officeDocument/2006/docPropsVTypes"/>
</file>