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32"/>
          <w:szCs w:val="32"/>
        </w:rPr>
        <w:t xml:space="preserve">Capstone Project Pre-Submission Document</w:t>
      </w:r>
    </w:p>
    <w:p>
      <w:pPr>
        <w:spacing w:after="40"/>
        <w:jc w:val="center"/>
      </w:pPr>
      <w:r>
        <w:rPr>
          <w:b/>
          <w:bCs/>
          <w:color w:val="445566"/>
          <w:sz w:val="23"/>
          <w:szCs w:val="23"/>
        </w:rPr>
        <w:t xml:space="preserve">Proactive Learner Success &amp; Dropout Risk Intelligence for LearnSphere Education Technologies</w:t>
      </w:r>
    </w:p>
    <w:p>
      <w:pPr>
        <w:pBdr>
          <w:bottom w:val="single" w:color="2E8B8B" w:sz="6" w:space="4"/>
        </w:pBdr>
        <w:spacing w:after="200"/>
        <w:jc w:val="center"/>
      </w:pPr>
      <w:r>
        <w:rPr>
          <w:i/>
          <w:iCs/>
          <w:color w:val="445566"/>
          <w:sz w:val="19"/>
          <w:szCs w:val="19"/>
        </w:rPr>
        <w:t xml:space="preserve">IITM – JARO Batch 02  |  Capstone Project  |  Domain: EdTech Learner Analytics</w:t>
      </w:r>
    </w:p>
    <w:p>
      <w:pPr>
        <w:pStyle w:val="Heading1"/>
      </w:pPr>
      <w:r>
        <w:t xml:space="preserve">1. Business Problem Understanding &amp; Objective Formulation</w:t>
      </w:r>
    </w:p>
    <w:p>
      <w:pPr>
        <w:spacing w:after="100" w:line="264"/>
      </w:pPr>
      <w:r>
        <w:t xml:space="preserve">LearnSphere is an online learning platform offering certifications, university partnerships, and corporate training. Despite rising enrollments, leadership faces </w:t>
      </w:r>
      <w:r>
        <w:rPr>
          <w:b/>
          <w:bCs/>
        </w:rPr>
        <w:t xml:space="preserve">declining course completion and rising dropout rates</w:t>
      </w:r>
      <w:r>
        <w:t xml:space="preserve">, with interventions currently </w:t>
      </w:r>
      <w:r>
        <w:rPr>
          <w:b/>
          <w:bCs/>
        </w:rPr>
        <w:t xml:space="preserve">reactive</w:t>
      </w:r>
      <w:r>
        <w:t xml:space="preserve"> rather than predictive. The objective is to shift to a </w:t>
      </w:r>
      <w:r>
        <w:rPr>
          <w:b/>
          <w:bCs/>
        </w:rPr>
        <w:t xml:space="preserve">proactive student-success strategy</w:t>
      </w:r>
      <w:r>
        <w:t xml:space="preserve"> using behavioral and engagement data already collected across the LMS, assessments, forums, attendance, and support systems.</w:t>
      </w:r>
    </w:p>
    <w:p>
      <w:pPr>
        <w:spacing w:after="60"/>
      </w:pPr>
      <w:r>
        <w:rPr>
          <w:b/>
          <w:bCs/>
          <w:color w:val="1F3A5F"/>
          <w:sz w:val="21"/>
          <w:szCs w:val="21"/>
        </w:rPr>
        <w:t xml:space="preserve">Business Objectives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Reduce dropout</w:t>
      </w:r>
      <w:r>
        <w:t xml:space="preserve"> by identifying at-risk learners early enough for meaningful intervention.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Increase completion and certification rates</w:t>
      </w:r>
      <w:r>
        <w:t xml:space="preserve"> across self-paced, instructor-led, and bootcamp formats.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Strengthen enterprise trust</w:t>
      </w:r>
      <w:r>
        <w:t xml:space="preserve"> by improving completion metrics reported to corporate training clients.</w:t>
      </w:r>
    </w:p>
    <w:p>
      <w:pPr>
        <w:spacing w:after="60" w:before="80"/>
      </w:pPr>
      <w:r>
        <w:rPr>
          <w:b/>
          <w:bCs/>
          <w:color w:val="1F3A5F"/>
          <w:sz w:val="21"/>
          <w:szCs w:val="21"/>
        </w:rPr>
        <w:t xml:space="preserve">Analytical Objectives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Diagnose: </w:t>
      </w:r>
      <w:r>
        <w:t xml:space="preserve">Quantify how attendance, study time, video/assignment completion, and engagement relate to learner outcomes.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Predict: </w:t>
      </w:r>
      <w:r>
        <w:t xml:space="preserve">Build a classification model that estimates dropout / non-completion risk per learner, early in the course lifecycle.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Prescribe: </w:t>
      </w:r>
      <w:r>
        <w:t xml:space="preserve">Translate risk scores into a prioritized, actionable early-warning dashboard for student-success teams.</w:t>
      </w:r>
    </w:p>
    <w:p>
      <w:pPr>
        <w:spacing w:after="60" w:before="80"/>
      </w:pPr>
      <w:r>
        <w:rPr>
          <w:b/>
          <w:bCs/>
          <w:color w:val="1F3A5F"/>
          <w:sz w:val="21"/>
          <w:szCs w:val="21"/>
        </w:rPr>
        <w:t xml:space="preserve">Preliminary Evidence from the Dataset (n = 50,000 after de-duplication)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Behavioral gap between completers and non-completers: </w:t>
      </w:r>
      <w:r>
        <w:t xml:space="preserve">completers show 20–32% higher values across every core behavioral metric — quiz scores (+32.3%), video completion (+32.1%), assignment completion (+26.6%), study hours (+20.6%), attendance (+20.2%), and engagement score (+20.4%).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Non-linear, threshold-driven risk: </w:t>
      </w:r>
      <w:r>
        <w:t xml:space="preserve">success rate is flat at ~45–50% across the bottom 7 attendance/engagement deciles, then jumps to ~70–78% in the top 3 deciles — risk is not gradual, it concentrates at a clear behavioral cliff.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Compounding risk: </w:t>
      </w:r>
      <w:r>
        <w:t xml:space="preserve">learners in the bottom 3 deciles of both attendance AND engagement (9.1% of learners) succeed at only 37.8%, versus 88.8% for learners in the top 3 deciles of both — a &gt;50-point swing, suggesting combined low-engagement learners are the highest-value intervention target.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Independent, additive signals: </w:t>
      </w:r>
      <w:r>
        <w:t xml:space="preserve">pairwise correlations among the six core behavioral features are all ≈ 0.00 — each metric carries distinct information, supporting a multi-feature model over any single proxy metric.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No meaningful signal in demographics or course design: </w:t>
      </w:r>
      <w:r>
        <w:t xml:space="preserve">success rates are flat (54.5–55.6%) across course category, difficulty, and enrollment type, and show no pattern with support-ticket volume — ruling these out as primary drivers and re-confirming that behavior, not background, predicts outcome.</w:t>
      </w:r>
    </w:p>
    <w:p>
      <w:pPr>
        <w:pStyle w:val="Heading1"/>
      </w:pPr>
      <w:r>
        <w:t xml:space="preserve">2. Challenges and Constraints</w:t>
      </w:r>
    </w:p>
    <w:p>
      <w:pPr>
        <w:spacing w:after="60"/>
      </w:pPr>
      <w:r>
        <w:rPr>
          <w:b/>
          <w:bCs/>
          <w:color w:val="1F3A5F"/>
          <w:sz w:val="21"/>
          <w:szCs w:val="21"/>
        </w:rPr>
        <w:t xml:space="preserve">Data Quality Issues Identified in Initial Review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Target leakage: </w:t>
      </w:r>
      <w:r>
        <w:t xml:space="preserve">The field </w:t>
      </w:r>
      <w:r>
        <w:rPr>
          <w:i/>
          <w:iCs/>
          <w:sz w:val="19"/>
          <w:szCs w:val="19"/>
        </w:rPr>
        <w:t xml:space="preserve">certificate_issued_flag</w:t>
      </w:r>
      <w:r>
        <w:t xml:space="preserve"> is mathematically identical to the target </w:t>
      </w:r>
      <w:r>
        <w:rPr>
          <w:i/>
          <w:iCs/>
          <w:sz w:val="19"/>
          <w:szCs w:val="19"/>
        </w:rPr>
        <w:t xml:space="preserve">student_success_flag</w:t>
      </w:r>
      <w:r>
        <w:t xml:space="preserve"> (Pearson r = 1.00, 0 mismatches across 50,000 rows) and must be excluded from modeling — it is an outcome, not a predictor.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Inconsistent categorical encoding: </w:t>
      </w:r>
      <w:r>
        <w:t xml:space="preserve">the </w:t>
      </w:r>
      <w:r>
        <w:rPr>
          <w:i/>
          <w:iCs/>
          <w:sz w:val="19"/>
          <w:szCs w:val="19"/>
        </w:rPr>
        <w:t xml:space="preserve">employment_status</w:t>
      </w:r>
      <w:r>
        <w:t xml:space="preserve"> field encodes “Professional” as three case variants — “Professional” (12,506), “professional” (650), “PROFESSIONAL” (659) — fragmenting roughly 2.6% of records into duplicate categories that must be merged before use.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Duplicate records: </w:t>
      </w:r>
      <w:r>
        <w:t xml:space="preserve">500 of 50,500 rows (0.99%) are exact duplicates and were removed prior to all analysis above.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Legacy / low-signal identifiers: </w:t>
      </w:r>
      <w:r>
        <w:t xml:space="preserve">fields such as </w:t>
      </w:r>
      <w:r>
        <w:rPr>
          <w:i/>
          <w:iCs/>
          <w:sz w:val="19"/>
          <w:szCs w:val="19"/>
        </w:rPr>
        <w:t xml:space="preserve">legacy_student_reference</w:t>
      </w:r>
      <w:r>
        <w:t xml:space="preserve">, </w:t>
      </w:r>
      <w:r>
        <w:rPr>
          <w:i/>
          <w:iCs/>
          <w:sz w:val="19"/>
          <w:szCs w:val="19"/>
        </w:rPr>
        <w:t xml:space="preserve">administrative_code</w:t>
      </w:r>
      <w:r>
        <w:t xml:space="preserve">, </w:t>
      </w:r>
      <w:r>
        <w:rPr>
          <w:i/>
          <w:iCs/>
          <w:sz w:val="19"/>
          <w:szCs w:val="19"/>
        </w:rPr>
        <w:t xml:space="preserve">batch_reference</w:t>
      </w:r>
      <w:r>
        <w:t xml:space="preserve">, and </w:t>
      </w:r>
      <w:r>
        <w:rPr>
          <w:i/>
          <w:iCs/>
          <w:sz w:val="19"/>
          <w:szCs w:val="19"/>
        </w:rPr>
        <w:t xml:space="preserve">learning_cluster_id</w:t>
      </w:r>
      <w:r>
        <w:t xml:space="preserve"> show correlation with the target below |r| = 0.006 — statistically indistinguishable from noise — and appear to be inherited administrative artifacts.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Missing values: </w:t>
      </w:r>
      <w:r>
        <w:t xml:space="preserve">mentor_interaction_count</w:t>
      </w:r>
      <w:r>
        <w:t xml:space="preserve"> is missing in 9.93% of rows and </w:t>
      </w:r>
      <w:r>
        <w:rPr>
          <w:i/>
          <w:iCs/>
          <w:sz w:val="19"/>
          <w:szCs w:val="19"/>
        </w:rPr>
        <w:t xml:space="preserve">feedback_score</w:t>
      </w:r>
      <w:r>
        <w:t xml:space="preserve"> in 10.02%, both requiring an explicit imputation strategy (e.g., median or model-based) rather than row deletion, given the volume affected.</w:t>
      </w:r>
    </w:p>
    <w:p>
      <w:pPr>
        <w:spacing w:after="60" w:before="100"/>
      </w:pPr>
      <w:r>
        <w:rPr>
          <w:b/>
          <w:bCs/>
          <w:color w:val="1F3A5F"/>
          <w:sz w:val="21"/>
          <w:szCs w:val="21"/>
        </w:rPr>
        <w:t xml:space="preserve">Modeling Constraints &amp; Assumptions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t xml:space="preserve">Demographics carry no usable signal (flat correlation, |r| &lt; 0.01), so the model must rely entirely on behavioral/engagement features — raising the bar on feature engineering.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t xml:space="preserve">Engagement metrics are static snapshots, not week-by-week trajectories, making true early-course (vs. end-of-course hindsight) prediction harder to validate without timestamps.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t xml:space="preserve">Risk scores must remain interpretable for non-technical staff and free of bias against demographic or course-category cohorts.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i/>
          <w:iCs/>
          <w:sz w:val="19"/>
          <w:szCs w:val="19"/>
        </w:rPr>
        <w:t xml:space="preserve">student_success_flag</w:t>
      </w:r>
      <w:r>
        <w:t xml:space="preserve"> is assumed a reliable proxy for completion/certification; behavioral logs are assumed accurately captured by source systems.</w:t>
      </w:r>
    </w:p>
    <w:p>
      <w:pPr>
        <w:pStyle w:val="Heading1"/>
      </w:pPr>
      <w:r>
        <w:t xml:space="preserve">3. Background Study / Literature Review</w:t>
      </w:r>
    </w:p>
    <w:p>
      <w:pPr>
        <w:spacing w:after="90" w:line="264"/>
      </w:pPr>
      <w:r>
        <w:t xml:space="preserve">Student dropout prediction is a well-studied problem in Educational Data Mining (EDM) and Learning Analytics. Prior work consistently shows that </w:t>
      </w:r>
      <w:r>
        <w:rPr>
          <w:b/>
          <w:bCs/>
        </w:rPr>
        <w:t xml:space="preserve">behavioral engagement signals</w:t>
      </w:r>
      <w:r>
        <w:t xml:space="preserve"> — LMS login frequency, video/assignment completion, forum participation, and assessment performance — outperform static demographic attributes as predictors of dropout, which is consistent with the correlation patterns observed in this dataset.</w:t>
      </w:r>
    </w:p>
    <w:p>
      <w:pPr>
        <w:spacing w:after="60"/>
      </w:pPr>
      <w:r>
        <w:rPr>
          <w:b/>
          <w:bCs/>
          <w:color w:val="1F3A5F"/>
          <w:sz w:val="21"/>
          <w:szCs w:val="21"/>
        </w:rPr>
        <w:t xml:space="preserve">Key Techniques Commonly Used in Industry/Research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Classification models: </w:t>
      </w:r>
      <w:r>
        <w:t xml:space="preserve">logistic regression for interpretable baselines; ensemble methods (Random Forest, Gradient Boosting/XGBoost) for higher accuracy on tabular behavioral data.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Early-warning systems (EWS): </w:t>
      </w:r>
      <w:r>
        <w:t xml:space="preserve">MOOC platforms (Coursera, edX) and university tools (e.g., Purdue’s Course Signals) use weekly engagement deltas, not cumulative totals, to flag at-risk learners early.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Survival analysis &amp; clustering: </w:t>
      </w:r>
      <w:r>
        <w:t xml:space="preserve">survival/time-to-event models predict </w:t>
      </w:r>
      <w:r>
        <w:rPr>
          <w:i/>
          <w:iCs/>
          <w:sz w:val="19"/>
          <w:szCs w:val="19"/>
        </w:rPr>
        <w:t xml:space="preserve">when</w:t>
      </w:r>
      <w:r>
        <w:t xml:space="preserve"> a learner is likely to drop, while unsupervised clustering (k-means) separates personas such as “engaged-but-struggling” vs. “disengaged-early” for targeted outreach.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Explainable AI (SHAP/LIME): </w:t>
      </w:r>
      <w:r>
        <w:t xml:space="preserve">widely adopted in EdTech to make risk scores interpretable for advisors and instructors, supporting adoption and trust.</w:t>
      </w:r>
    </w:p>
    <w:p>
      <w:pPr>
        <w:spacing w:after="0" w:before="70" w:line="252"/>
      </w:pPr>
      <w:r>
        <w:t xml:space="preserve">Best practice converges on a </w:t>
      </w:r>
      <w:r>
        <w:rPr>
          <w:b/>
          <w:bCs/>
        </w:rPr>
        <w:t xml:space="preserve">proactive, interpretable, intervention-linked</w:t>
      </w:r>
      <w:r>
        <w:t xml:space="preserve"> pipeline — directly aligned with LearnSphere’s goal of moving from reactive to proactive student success management.</w:t>
      </w:r>
    </w:p>
    <w:p>
      <w:pPr>
        <w:pStyle w:val="Heading1"/>
      </w:pPr>
      <w:r>
        <w:t xml:space="preserve">4. Proposed Methodology / Solution Approach</w:t>
      </w:r>
    </w:p>
    <w:p>
      <w:pPr>
        <w:spacing w:after="90" w:line="264"/>
      </w:pPr>
      <w:r>
        <w:t xml:space="preserve">The proposed approach follows a standard </w:t>
      </w:r>
      <w:r>
        <w:rPr>
          <w:b/>
          <w:bCs/>
        </w:rPr>
        <w:t xml:space="preserve">CRISP-DM-aligned analytics pipeline</w:t>
      </w:r>
      <w:r>
        <w:t xml:space="preserve">, augmented with an explicit data-leakage audit (given the certificate-flag finding) and a closed intervention feedback loop:</w:t>
      </w:r>
    </w:p>
    <w:p>
      <w:pPr>
        <w:spacing w:after="20" w:before="50"/>
        <w:jc w:val="center"/>
      </w:pPr>
      <w:r>
        <w:drawing>
          <wp:inline distT="0" distB="0" distL="0" distR="0">
            <wp:extent cx="54864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5A6472"/>
          <w:sz w:val="17"/>
          <w:szCs w:val="17"/>
        </w:rPr>
        <w:t xml:space="preserve">Figure 1: End-to-end workflow — from raw multi-source data to dashboard-driven intervention, with a feedback loop for continuous retraining.</w:t>
      </w:r>
    </w:p>
    <w:p>
      <w:pPr>
        <w:spacing w:after="60" w:before="100"/>
      </w:pPr>
      <w:r>
        <w:rPr>
          <w:b/>
          <w:bCs/>
          <w:color w:val="1F3A5F"/>
          <w:sz w:val="21"/>
          <w:szCs w:val="21"/>
        </w:rPr>
        <w:t xml:space="preserve">Workflow Summary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Data Engineering: </w:t>
      </w:r>
      <w:r>
        <w:t xml:space="preserve">merge multi-source data, deduplicate, standardize categorical encodings, impute missing values, and remove leakage fields.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EDA: </w:t>
      </w:r>
      <w:r>
        <w:t xml:space="preserve">correlation analysis, cohort/segment profiling (by course category, difficulty, enrollment type) to surface behavioral drivers of success.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Modeling: </w:t>
      </w:r>
      <w:r>
        <w:t xml:space="preserve">train and compare logistic regression (interpretable baseline) against tree-ensemble models (Random Forest / Gradient Boosting), using engagement, attendance, study-hour, and assessment features as primary predictors.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Evaluation: </w:t>
      </w:r>
      <w:r>
        <w:t xml:space="preserve">assess with AUC-ROC, precision/recall (prioritizing recall on the at-risk class, since missed at-risk learners are costlier than false alarms), and basic fairness checks across demographic groups.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Deployment Layer: </w:t>
      </w:r>
      <w:r>
        <w:t xml:space="preserve">convert model output into a per-learner risk score feeding a dashboard for student-success and instructor teams, paired with a recommended intervention (outreach, mentoring, workload adjustment).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Feedback Loop: </w:t>
      </w:r>
      <w:r>
        <w:t xml:space="preserve">track post-intervention completion outcomes to validate impact and periodically retrain the model.</w:t>
      </w:r>
    </w:p>
    <w:p>
      <w:pPr>
        <w:pStyle w:val="Heading1"/>
      </w:pPr>
      <w:r>
        <w:t xml:space="preserve">5. Proposed Timeline</w:t>
      </w:r>
    </w:p>
    <w:p>
      <w:pPr>
        <w:spacing w:after="80" w:line="252" w:lineRule="auto"/>
      </w:pPr>
      <w:r>
        <w:t xml:space="preserve">A 7-week execution schedule is proposed, covering data understanding through final reporting: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2760"/>
      </w:tblGrid>
      <w:tr>
        <w:tc>
          <w:tcPr>
            <w:tcW w:type="dxa" w:w="11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5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76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11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understanding, cleaning, leakage audit, standardization</w:t>
            </w:r>
          </w:p>
        </w:tc>
        <w:tc>
          <w:tcPr>
            <w:tcW w:type="dxa" w:w="276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Clean, leakage-free dataset</w:t>
            </w:r>
          </w:p>
        </w:tc>
      </w:tr>
      <w:tr>
        <w:tc>
          <w:tcPr>
            <w:tcW w:type="dxa" w:w="11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shd w:fill="EE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shd w:fill="EE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Exploratory Data Analysis &amp; cohort/segment profiling</w:t>
            </w:r>
          </w:p>
        </w:tc>
        <w:tc>
          <w:tcPr>
            <w:tcW w:type="dxa" w:w="276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shd w:fill="EE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EDA report with key drivers</w:t>
            </w:r>
          </w:p>
        </w:tc>
      </w:tr>
      <w:tr>
        <w:tc>
          <w:tcPr>
            <w:tcW w:type="dxa" w:w="11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3–4</w:t>
            </w:r>
          </w:p>
        </w:tc>
        <w:tc>
          <w:tcPr>
            <w:tcW w:type="dxa" w:w="55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 engineering &amp; predictive model development</w:t>
            </w:r>
          </w:p>
        </w:tc>
        <w:tc>
          <w:tcPr>
            <w:tcW w:type="dxa" w:w="276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Baseline + ensemble models trained</w:t>
            </w:r>
          </w:p>
        </w:tc>
      </w:tr>
      <w:tr>
        <w:tc>
          <w:tcPr>
            <w:tcW w:type="dxa" w:w="11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shd w:fill="EE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shd w:fill="EE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evaluation, tuning, and fairness checks</w:t>
            </w:r>
          </w:p>
        </w:tc>
        <w:tc>
          <w:tcPr>
            <w:tcW w:type="dxa" w:w="276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shd w:fill="EE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Validated final model</w:t>
            </w:r>
          </w:p>
        </w:tc>
      </w:tr>
      <w:tr>
        <w:tc>
          <w:tcPr>
            <w:tcW w:type="dxa" w:w="11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design &amp; risk-scoring integration</w:t>
            </w:r>
          </w:p>
        </w:tc>
        <w:tc>
          <w:tcPr>
            <w:tcW w:type="dxa" w:w="276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Working early-warning dashboard</w:t>
            </w:r>
          </w:p>
        </w:tc>
      </w:tr>
      <w:tr>
        <w:tc>
          <w:tcPr>
            <w:tcW w:type="dxa" w:w="11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shd w:fill="EE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shd w:fill="EE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recommendations, documentation &amp; reporting</w:t>
            </w:r>
          </w:p>
        </w:tc>
        <w:tc>
          <w:tcPr>
            <w:tcW w:type="dxa" w:w="2760"/>
            <w:tcBorders>
              <w:top w:val="single" w:color="C9D3DC" w:sz="2"/>
              <w:left w:val="single" w:color="C9D3DC" w:sz="2"/>
              <w:bottom w:val="single" w:color="C9D3DC" w:sz="2"/>
              <w:right w:val="single" w:color="C9D3DC" w:sz="2"/>
            </w:tcBorders>
            <w:shd w:fill="EE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report &amp; presentation</w:t>
            </w:r>
          </w:p>
        </w:tc>
      </w:tr>
    </w:tbl>
    <w:p>
      <w:pPr>
        <w:spacing w:after="40"/>
      </w:pPr>
    </w:p>
    <w:p>
      <w:pPr>
        <w:pStyle w:val="Heading1"/>
      </w:pPr>
      <w:r>
        <w:t xml:space="preserve">6. Expected Deliverables / Outputs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Data Analysis Report: </w:t>
      </w:r>
      <w:r>
        <w:t xml:space="preserve">EDA findings, key dropout drivers, and cohort-level insights.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Predictive Model: </w:t>
      </w:r>
      <w:r>
        <w:t xml:space="preserve">trained dropout/non-completion risk classifier with documented evaluation metrics.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Early-Warning Dashboard: </w:t>
      </w:r>
      <w:r>
        <w:t xml:space="preserve">visualization of learner risk scores and contributing factors for student-success teams.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Business Recommendations: </w:t>
      </w:r>
      <w:r>
        <w:t xml:space="preserve">prioritized, data-driven intervention strategies for at-risk learner segments.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Technical Documentation: </w:t>
      </w:r>
      <w:r>
        <w:t xml:space="preserve">data dictionary, cleaning steps, modeling methodology, and assumptions.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Final Presentation: </w:t>
      </w:r>
      <w:r>
        <w:t xml:space="preserve">summary of approach, findings, and business impact for stakeholders.</w:t>
      </w:r>
    </w:p>
    <w:p>
      <w:pPr>
        <w:pStyle w:val="ListParagraph"/>
        <w:numPr>
          <w:ilvl w:val="0"/>
          <w:numId w:val="2"/>
        </w:numPr>
        <w:spacing w:after="30" w:line="228" w:lineRule="auto"/>
      </w:pPr>
      <w:r>
        <w:rPr>
          <w:b/>
          <w:bCs/>
        </w:rPr>
        <w:t xml:space="preserve">Deployment Proposal: </w:t>
      </w:r>
      <w:r>
        <w:t xml:space="preserve">outline for integrating the risk-scoring engine into LearnSphere’s existing LMS workflow.</w:t>
      </w:r>
    </w:p>
    <w:sectPr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C" w:sz="4" w:space="4"/>
      </w:pBdr>
      <w:jc w:val="center"/>
    </w:pPr>
    <w:r>
      <w:rPr>
        <w:color w:val="5A6472"/>
        <w:sz w:val="16"/>
        <w:szCs w:val="16"/>
      </w:rPr>
      <w:t xml:space="preserve">LearnSphere Proactive Learner Success — Capstone Pre-Submission  |  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30"/>
      </w:pPr>
    </w:lvl>
    <w:lvl w:ilvl="1" w15:tentative="1">
      <w:start w:val="1"/>
      <w:numFmt w:val="bullet"/>
      <w:lvlText w:val="–"/>
      <w:lvlJc w:val="left"/>
      <w:pPr>
        <w:ind w:left="72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B8B" w:sz="4" w:space="2"/>
      </w:pBdr>
      <w:spacing w:after="80" w:before="140"/>
      <w:outlineLvl w:val="0"/>
    </w:pPr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Calibri" w:cs="Calibri" w:eastAsia="Calibri" w:hAnsi="Calibri"/>
      <w:b/>
      <w:bCs/>
      <w:color w:val="44556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a9f9b2b124d671647a88cf9430b3f4bafcf042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2026-06-28T16:19:50.001Z</dcterms:created>
  <dcterms:modified xsi:type="dcterms:W3CDTF">2026-06-28T16:19:50.010Z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