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A6B"/>
          <w:sz w:val="30"/>
          <w:szCs w:val="30"/>
        </w:rPr>
        <w:t xml:space="preserve">Predicting Learner Success and Dropout Risk at LearnSphere</w:t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A Data-Driven Early-Warning System for Proactive Student Success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400"/>
        <w:gridCol w:w="1620"/>
        <w:gridCol w:w="1080"/>
      </w:tblGrid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Course:</w:t>
            </w:r>
          </w:p>
        </w:tc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Advanced Certification Programme in Gen AI, ML &amp; LLM for Business Applications</w:t>
            </w:r>
          </w:p>
        </w:tc>
        <w:tc>
          <w:tcPr>
            <w:tcW w:type="dxa" w:w="1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Batch:</w:t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Mentor:</w:t>
            </w:r>
          </w:p>
        </w:tc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Prof. Babji Srinivasan (IITM)</w:t>
            </w:r>
          </w:p>
        </w:tc>
        <w:tc>
          <w:tcPr>
            <w:tcW w:type="dxa" w:w="1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Team Size:</w:t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Members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Domain:</w:t>
            </w:r>
          </w:p>
        </w:tc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EdTech Analytics – Student Retention &amp; Engagement Intelligence</w:t>
            </w:r>
          </w:p>
        </w:tc>
        <w:tc>
          <w:tcPr>
            <w:tcW w:type="dxa" w:w="1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8F0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Duration:</w:t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 Months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Business Problem Understanding and Objective Formulation</w:t>
      </w:r>
    </w:p>
    <w:p>
      <w:pPr>
        <w:pStyle w:val="Heading2"/>
      </w:pPr>
      <w:r>
        <w:t xml:space="preserve">1.1 Domain and Business Context</w:t>
      </w:r>
    </w:p>
    <w:p>
      <w:pPr>
        <w:spacing w:after="80"/>
      </w:pPr>
      <w:r>
        <w:rPr>
          <w:sz w:val="19"/>
          <w:szCs w:val="19"/>
        </w:rPr>
        <w:t xml:space="preserve">LearnSphere Education Technologies is a fast-growing online learning platform offering professional certifications, university partnerships, corporate training, and skill-development courses. Despite strong enrollment growth, leadership is concerned about declining course completion rates and inconsistent learner engagement. Interventions today are largely reactive, applied only after a learner has already fallen behind. The dataset provided (50,500 learner records, 37 attributes spanning demographics, engagement, attendance, assessments, and platform usage) gives the analytics team an opportunity to move toward a proactive, early-warning approach to student success.</w:t>
      </w:r>
    </w:p>
    <w:p>
      <w:pPr>
        <w:pStyle w:val="Heading2"/>
      </w:pPr>
      <w:r>
        <w:t xml:space="preserve">1.2 Business Problems Identified in the Dataset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Reactive interventions: At-risk learners are identified only after underperformance is visible, missing the early window for support.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Disengagement signals go unused: Forum participation, login frequency, and attendance carry early-warning signals not currently tracked systematically.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Enterprise impact: Corporate clients have flagged low completion rates among employee learners, creating a B2B retention risk.</w:t>
      </w:r>
    </w:p>
    <w:p>
      <w:pPr>
        <w:pStyle w:val="Heading2"/>
      </w:pPr>
      <w:r>
        <w:t xml:space="preserve">1.3 Business and Analytical Objectives</w:t>
      </w:r>
    </w:p>
    <w:p>
      <w:pPr>
        <w:spacing w:after="80"/>
      </w:pPr>
      <w:r>
        <w:rPr>
          <w:sz w:val="19"/>
          <w:szCs w:val="19"/>
        </w:rPr>
        <w:t xml:space="preserve">Business Objectives: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Reduce dropout by identifying at-risk learners early enough for meaningful intervention.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Increase completion and certification rates across self-paced, instructor-led, and bootcamp formats.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Strengthen enterprise trust by improving completion metrics reported to corporate training clients.</w:t>
      </w:r>
    </w:p>
    <w:p>
      <w:pPr>
        <w:spacing w:after="80"/>
      </w:pPr>
      <w:r>
        <w:rPr>
          <w:sz w:val="19"/>
          <w:szCs w:val="19"/>
        </w:rPr>
        <w:t xml:space="preserve">Analytical Objectives: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Diagnose: Quantify how attendance, study time, video/assignment completion, and engagement relate to learner outcomes.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Predict: Build a classification model that estimates dropout/non-completion risk per learner, early in the course lifecycle (student_success_flag).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Prescribe: Translate risk scores into a prioritised, actionable early-warning dashboard with risk tiers for student-success teams.</w:t>
      </w:r>
    </w:p>
    <w:p>
      <w:pPr>
        <w:pStyle w:val="Heading2"/>
      </w:pPr>
      <w:r>
        <w:t xml:space="preserve">1.4 Preliminary Evidence from the Dataset (n = 50,000 after de-duplication)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Behavioural gap between completers and non-completers: completers show 20–32% higher values across every core behavioural metric — quiz scores (+32.3%), video completion (+32.1%), assignment completion (+26.6%), study hours (+20.6%), attendance (+20.2%), and engagement score (+20.4%).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Non-linear, threshold-driven risk: success rate is flat at ~45–50% across the bottom 7 attendance/engagement deciles, then jumps to ~70–78% in the top 3 deciles — risk concentrates at a clear behavioural cliff rather than rising gradually.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Compounding risk: learners in the bottom 3 deciles of both attendance and engagement (9.1% of learners) succeed at only 37.8%, versus 88.8% for learners in the top 3 deciles of both — a &gt;50-point swing, making this the highest-value intervention segment.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No meaningful signal in demographics or course design: success rates are flat (54.5–55.6%) across course category, difficulty, and enrollment type — confirming behaviour, not background, drives outcome.</w:t>
      </w:r>
    </w:p>
    <w:p>
      <w:pPr>
        <w:pStyle w:val="Heading1"/>
      </w:pPr>
      <w:r>
        <w:t xml:space="preserve">2. Challenges and Constraints</w:t>
      </w:r>
    </w:p>
    <w:p>
      <w:pPr>
        <w:pStyle w:val="Heading2"/>
      </w:pPr>
      <w:r>
        <w:t xml:space="preserve">2.1 Data Quality Challenges (identified during initial inspection)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Target leakage: certificate_issued_flag is mathematically identical to the target student_success_flag (Pearson r = 1.00, 0 mismatches across 50,000 rows) and must be excluded from modelling — it is an outcome, not a predictor.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Duplicate records: 500 of 50,500 rows (0.99%) are exact duplicates and were removed prior to all analysis above.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Inconsistent categorical labels: employment_status encodes “Professional” as three case variants — “Professional”, “professional”, “PROFESSIONAL” — fragmenting roughly 2.6% of records into duplicate categories that must be merged before use.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Missing values: mentor_interaction_count is missing in 9.93% of rows and feedback_score in 10.02%, both requiring an explicit imputation strategy (e.g., median or model-based) rather than row deletion, given the volume affected.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Logical inconsistencies: ~11% of records show a learning streak (in days) longer than the entire course duration, indicating possible data entry or generation errors that need rule-based correction.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Legacy administrative fields (legacy_student_reference, administrative_code, batch_reference, learning_cluster_id) show correlation with the target below |r| = 0.006 — statistically indistinguishable from noise — and appear to be inherited administrative artifacts.</w:t>
      </w:r>
    </w:p>
    <w:p>
      <w:pPr>
        <w:pStyle w:val="Heading2"/>
      </w:pPr>
      <w:r>
        <w:t xml:space="preserve">2.2 Implementation and Adoption Constraints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Class balance is moderate (55% successful vs. 45% at-risk), which is manageable but still requires care in model evaluation (precision/recall, not accuracy alone).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As a 4-member team new to applied ML, the timeline must balance learning curve with delivery; modelling choices will favour interpretable algorithms over complex 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Model adoption depends on trust: student success teams will need transparent, explainable risk indicators (e.g., via SHAP or feature importance) rather than a black-box score.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Risk scores must avoid encoding bias against specific demographic or course-category cohorts, given fairness expectations and adoption concerns for corporate clients — basic fairness checks across groups are planned at the evaluation stage.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Engagement metrics are static snapshots rather than week-by-week trajectories; without timestamps, true early-course prediction (vs. end-of-course hindsight) is harder to validate.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Assumption: the dataset is representative of LearnSphere's actual learner base across course categories and time periods, since no timestamp/cohort field is available to verify recency.</w:t>
      </w:r>
    </w:p>
    <w:p>
      <w:pPr>
        <w:pStyle w:val="Heading1"/>
      </w:pPr>
      <w:r>
        <w:t xml:space="preserve">3. Background Study / Literature Review</w:t>
      </w:r>
    </w:p>
    <w:p>
      <w:pPr>
        <w:spacing w:after="80"/>
      </w:pPr>
      <w:r>
        <w:rPr>
          <w:sz w:val="19"/>
          <w:szCs w:val="19"/>
        </w:rPr>
        <w:t xml:space="preserve">Student dropout prediction is a well-studied problem in educational data mining (EDM) and learning analytics. Prior work consistently shows that behavioural and engagement signals captured early in a course are more predictive of completion than static demographic attributes.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Engagement-based early warning systems: Research on MOOCs (e.g., Coursera- and edX-scale studies) shows that login frequency, video-watching behaviour, and forum activity in the first few weeks are strong predictors of eventual dropout, often outperforming demographic features.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Classical ML for dropout prediction: Industry and academic studies commonly apply Logistic Regression, Random Forest, Gradient Boosting (XGBoost/LightGBM) for tabular learner data, balancing interpretability with predictive performance.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Risk-tiering over binary flags: Several university and corporate-LMS case studies (e.g., Purdue's Course Signals, Georgia State's predictive analytics initiative) favour multi-tier risk scores over binary pass/fail predictions, since they map more naturally to intervention intensity.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Survival/time-to-event analysis: Some academic studies model when a learner is likely to drop rather than just whether, enabling timed interventions — noted here as a possible future extension beyond this project's initial scope.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Explainability for adoption: Literature on learning analytics adoption consistently notes that academic and student-success staff are more likely to act on model output when paired with interpretable feature explanations rather than opaque scores.</w:t>
      </w:r>
    </w:p>
    <w:p>
      <w:pPr>
        <w:spacing w:after="80"/>
      </w:pPr>
      <w:r>
        <w:rPr>
          <w:sz w:val="19"/>
          <w:szCs w:val="19"/>
        </w:rPr>
        <w:t xml:space="preserve">These findings directly inform our approach: prioritising engagement and behavioural features over static administrative fields, favouring interpretable models, and designing for risk-tier outputs rather than a single binary prediction.</w:t>
      </w:r>
    </w:p>
    <w:p>
      <w:pPr>
        <w:pStyle w:val="Heading1"/>
      </w:pPr>
      <w:r>
        <w:t xml:space="preserve">4. Proposed Methodology / Solution Approach</w:t>
      </w:r>
    </w:p>
    <w:p>
      <w:pPr>
        <w:spacing w:after="80"/>
      </w:pPr>
      <w:r>
        <w:rPr>
          <w:sz w:val="19"/>
          <w:szCs w:val="19"/>
        </w:rPr>
        <w:t xml:space="preserve">The proposed solution follows a standard applied ML lifecycle, adapted to the specific data quality issues identified above:</w:t>
      </w:r>
    </w:p>
    <w:p>
      <w:pPr>
        <w:spacing w:after="60" w:before="60"/>
        <w:jc w:val="center"/>
      </w:pPr>
      <w:r>
        <w:drawing>
          <wp:inline distT="0" distB="0" distL="0" distR="0">
            <wp:extent cx="4457700" cy="2171700"/>
            <wp:effectExtent t="0" r="0" b="0" l="0"/>
            <wp:docPr id="1" name="Workflow" descr="Eight-stage closed-loop analytical workflow" title="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 Workflow Summary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Data Understanding: Profile all 37 attributes; quantify missingness, duplication, and leakage (already initiated).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Data Cleaning: Remove duplicates, standardise categorical text, drop certificate_issued_flag and non-predictive legacy ID fields, treat missing values and inconsistent streak values.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Exploratory Analysis: Compare engagement, attendance, and assessment patterns between successful and at-risk learners; decile and cohort profiling to surface behavioural drivers.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Feature Engineering: Derive composite indicators such as an overall engagement index, consistency-of-effort measures, and risk-relevant interaction ratios.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Predictive Modelling: Train and compare Logistic Regression (baseline/interpretable), Random Forest, and Gradient Boosting classifiers to predict student_success_flag.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Evaluation: Assess using precision, recall, F1-score, and ROC-AUC (prioritising recall on the at-risk class, since missed at-risk learners are costlier than false alarms), plus basic fairness checks across demographic groups.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Dashboard &amp; Recommendations: Present risk-tiered learner segments and behavioural drivers through a visual dashboard, paired with concrete intervention recommendations for academic and student-success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Outcome Tracking &amp; Feedback Loop: Measure post-intervention completion lift and periodically retrain the model — closing the loop from reactive to genuinely proactive management.</w:t>
      </w:r>
    </w:p>
    <w:p>
      <w:pPr>
        <w:pStyle w:val="Heading2"/>
      </w:pPr>
      <w:r>
        <w:t xml:space="preserve">4.2 Why This Approach Fits the Problem</w:t>
      </w:r>
    </w:p>
    <w:p>
      <w:pPr>
        <w:spacing w:after="80"/>
      </w:pPr>
      <w:r>
        <w:rPr>
          <w:sz w:val="19"/>
          <w:szCs w:val="19"/>
        </w:rPr>
        <w:t xml:space="preserve">The preliminary evidence above confirms the approach: behavioural signals show a 20–32% gap between completers and non-completers and a sharp non-linear risk cliff in the bottom attendance/engagement deciles, while course category and enrollment type show almost no variation (54.5–55.6%) — confirming that behavioural signals, not course attributes or demographics, are the right modelling focus. The interpretable-model-first approach ensures LearnSphere's teams can trust and act on the output, while the risk-tier framing and feedback loop support proportionate, genuinely proactive interventions rather than reactive ones.</w:t>
      </w:r>
    </w:p>
    <w:p>
      <w:pPr>
        <w:pStyle w:val="Heading1"/>
      </w:pPr>
      <w:r>
        <w:t xml:space="preserve">5. Proposed Timeline (Approx. 3 Months)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6900"/>
      </w:tblGrid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Understanding
&amp; Cleaning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dataset, fix data quality issues, finalise problem scope with mentor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Exploratory Analysis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Univariate/bivariate analysis, engagement vs. outcome patterns, visualisation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derived engagement/risk features; prepare train-test splits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 Development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 &amp; tune Logistic Regression, Random Forest, Gradient Boosting models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Evaluation &amp; Insight
Generation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9–10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Compare models, interpret feature importance, validate business relevance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&amp; Reporting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Weeks 11–12</w:t>
            </w:r>
          </w:p>
        </w:tc>
        <w:tc>
          <w:tcPr>
            <w:tcW w:type="dxa" w:w="6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dashboard, finalise recommendations, prepare report and final presentation</w:t>
            </w:r>
          </w:p>
        </w:tc>
      </w:tr>
    </w:tbl>
    <w:p>
      <w:pPr>
        <w:spacing w:after="0" w:before="60"/>
      </w:pPr>
      <w:r>
        <w:rPr>
          <w:b/>
          <w:bCs/>
          <w:color w:val="595959"/>
          <w:sz w:val="16"/>
          <w:szCs w:val="16"/>
        </w:rPr>
        <w:t xml:space="preserve">Note: </w:t>
      </w:r>
      <w:r>
        <w:rPr>
          <w:i/>
          <w:iCs/>
          <w:color w:val="595959"/>
          <w:sz w:val="16"/>
          <w:szCs w:val="16"/>
        </w:rPr>
        <w:t xml:space="preserve">Timeline is indicative and may shift with team bandwidth and findings during cleaning.</w:t>
      </w:r>
    </w:p>
    <w:p>
      <w:pPr>
        <w:pStyle w:val="Heading1"/>
      </w:pPr>
      <w:r>
        <w:t xml:space="preserve">6. Expected Deliverables / Outputs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A6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Analysis Report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Documented findings from data cleaning and exploratory analysis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Predictive ML Model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Trained classification model predicting learner success/at-risk status with evaluation metrics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Dashboard /
Visualization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 summary of at-risk learner segments and key behavioural drivers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Recommendations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Actionable intervention strategies for academic, learning experience, and student success teams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Presentation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Summary presentation of approach, findings, and recommendations for evaluation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 Documentation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Methodology, assumptions, and model documentation for reproducibility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 Proposal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Outline for integrating the risk-scoring engine into LearnSphere's existing LMS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Capstone Pre-Submission Document</w:t>
    </w:r>
    <w:r>
      <w:rPr>
        <w:color w:val="595959"/>
        <w:sz w:val="16"/>
        <w:szCs w:val="16"/>
      </w:rPr>
      <w:t xml:space="preserve">	IITM Pravartak – JARO Education | Batch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F8A" w:sz="6" w:space="2"/>
      </w:pBdr>
      <w:spacing w:after="80" w:before="160"/>
      <w:outlineLvl w:val="0"/>
    </w:pPr>
    <w:rPr>
      <w:rFonts w:ascii="Calibri" w:cs="Calibri" w:eastAsia="Calibri" w:hAnsi="Calibri"/>
      <w:b/>
      <w:bCs/>
      <w:color w:val="1F4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10"/>
      <w:outlineLvl w:val="1"/>
    </w:pPr>
    <w:rPr>
      <w:rFonts w:ascii="Calibri" w:cs="Calibri" w:eastAsia="Calibri" w:hAnsi="Calibri"/>
      <w:b/>
      <w:bCs/>
      <w:color w:val="2C5F8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f832cb67a0ebed648872619116abb125b43b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2026-06-28T17:33:42.086Z</dcterms:created>
  <dcterms:modified xsi:type="dcterms:W3CDTF">2026-06-28T17:33:42.086Z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