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ectPr>
          <w:type w:val="continuous"/>
          <w:pgSz w:w="11906" w:h="16838"/>
          <w:pgMar w:top="960" w:right="810" w:bottom="1800" w:left="810" w:header="0" w:footer="0" w:gutter="0"/>
          <w:cols w:num="1"/>
        </w:sectPr>
      </w:pPr>
      <w:r>
        <w:t xml:space="preserve">Classification and Order Prediction of Financial Support Tickets Across Sinhala, Tamil, and Romanized Scripts</w:t>
      </w:r>
    </w:p>
    <w:p>
      <w:pPr>
        <w:pStyle w:val="FirstParagraph"/>
        <w:ind w:firstLine="0"/>
        <w:spacing w:line="205" w:lineRule="exact"/>
      </w:pPr>
      <w:r>
        <w:rPr>
          <w:b/>
          <w:sz w:val="18"/>
          <w:b/>
          <w:bCs/>
        </w:rPr>
        <w:t xml:space="preserve">Abstract—</w:t>
      </w:r>
      <w:r>
        <w:rPr>
          <w:b/>
          <w:sz w:val="18"/>
        </w:rPr>
        <w:t xml:space="preserve"> </w:t>
      </w:r>
      <w:r>
        <w:rPr>
          <w:b/>
          <w:sz w:val="18"/>
        </w:rPr>
        <w:t xml:space="preserve">Bank support desks must choose which ticket to handle next, as urgent cases such as fraud have a limited response window. Treating ticket prioritization as a classification task, we train multilingual models on an offline labelled dataset to predict each ticket’s intent, sentiment, and priority. Fine-tuned LaBSE achieves the best pooled intent (0.8835 macro-F1); sentiment (0.7138 Negative-F1) and priority (0.8901 macro-F1) it ties with other encoders, small decoders, and the SVM within their confidence intervals. Intent accounts for 76.9% of the uncertainty in priority, treating classification heads as independent evidence counts shared signal twice; an equal-weight log pool merges direct priority predictions with an intent-conditioned chain, reducing log loss by 27.4% and resolving collinearity. We then specify a dynamic urgency scoring function that couples this combined posterior with elapsed waiting time, so that queue position reflects both predicted severity and accrued delay and no ticket can be starved indefinitely by construction. To train and evaluate the system, we expanded BANKING77 into a corpus of 65,385 tickets across five language variants, pairing LLM-generated priority and sentiment labels, with sentiment-label quality assessed against a manually annotated gold subset.</w:t>
      </w:r>
    </w:p>
    <w:p>
      <w:pPr>
        <w:pStyle w:val="BodyText"/>
        <w:ind w:firstLine="0"/>
        <w:spacing w:line="205" w:lineRule="exact"/>
      </w:pPr>
      <w:r>
        <w:rPr>
          <w:b/>
          <w:sz w:val="18"/>
          <w:b/>
          <w:bCs/>
        </w:rPr>
        <w:t xml:space="preserve">Index Terms—multi-label classification, Sinhala, Tamil, romanized text, transliteration, queue scheduling, multilingual NLP</w:t>
      </w:r>
    </w:p>
    <w:bookmarkStart w:id="9" w:name="i.-introduction"/>
    <w:p>
      <w:pPr>
        <w:pStyle w:val="Heading1"/>
      </w:pPr>
      <w:r>
        <w:t xml:space="preserve">I. Introduction</w:t>
      </w:r>
    </w:p>
    <w:p>
      <w:pPr>
        <w:pStyle w:val="FirstParagraph"/>
      </w:pPr>
      <w:r>
        <w:t xml:space="preserve">A customer support desk must decide which next ticket should be attended to. High severity issues such as payment fraud require immediate intervention under strict response windows, whereas routine balance inquiries tolerate delays of several hours. When customer requests arrive faster than staff can process them, a backlog forms. In this operating environment, the dispatch order in which tickets are assigned to agents directly determines whether service level agreements (SLAs) are upheld or violated.</w:t>
      </w:r>
    </w:p>
    <w:p>
      <w:pPr>
        <w:pStyle w:val="BodyText"/>
      </w:pPr>
      <w:r>
        <w:t xml:space="preserve">Published work on bank complaint handling has focused on predicting static categories and evaluating held-out classification performance [1]. A predicted label alone, however, does not specify a dispatch order. One possible policy serves tickets First Come First Served (FCFS); another groups them by predicted priority and uses arrival order within each group. Deshmukh and Shiravale [2], for example, prioritize complaints by sentiment intensity, break equal-intensity ties by arrival order, and introduce a waiting-time threshold for lower-intensity complaints.</w:t>
      </w:r>
    </w:p>
    <w:p>
      <w:pPr>
        <w:pStyle w:val="BodyText"/>
      </w:pPr>
      <w:r>
        <w:t xml:space="preserve">Converting classifier outputs into an operational queue raises three challenges: prolonged waits under static priority, loss of predictive uncertainty, and variation across languages and scripts. First, static priority allows newly arriving urgent inquiries to overtake older routine requests. This can leave low-priority customers with inadequate service levels; delay-dependent and accumulating-priority disciplines address this by incorporating elapsed waiting time [3], [4]. Second, discrete argmax binning places a confident High-priority prediction (0.99 posterior probability) and an uncertain 0.51 versus 0.49 near tie into the same tier. In a two-type queue with imperfect class information and linear waiting costs, Argon and Ziya [5] show that ranking customers by their posterior signal outperforms any finite-class priority policy.</w:t>
      </w:r>
    </w:p>
    <w:p>
      <w:pPr>
        <w:pStyle w:val="BodyText"/>
      </w:pPr>
      <w:r>
        <w:t xml:space="preserve">Third, multilingual banking messages span English, Sinhala, and Tamil, alongside informal Romanized scripts (Singlish and Tanglish). Sinhala-English code-mixed language identification and Sinhala script-sensitivity studies document challenges associated with these script variants [6], [7]. BANKING77 provides English queries labeled for 77 banking intents [8]; it does not provide parallel Sinhala, Tamil, or Romanized versions with joint sentiment and priority annotations. We therefore extend this corpus to support multilingual classification and dispatch research.</w:t>
      </w:r>
    </w:p>
    <w:p>
      <w:pPr>
        <w:pStyle w:val="BodyText"/>
      </w:pPr>
      <w:r>
        <w:t xml:space="preserve">Under this operational setting, we examine two research questions:</w:t>
      </w:r>
    </w:p>
    <w:p>
      <w:pPr>
        <w:pStyle w:val="BodyText"/>
      </w:pPr>
      <w:r>
        <w:rPr>
          <w:b/>
          <w:bCs/>
        </w:rPr>
        <w:t xml:space="preserve">RQ1</w:t>
      </w:r>
      <w:r>
        <w:t xml:space="preserve"> </w:t>
      </w:r>
      <w:r>
        <w:t xml:space="preserve">How accurately do fine-tuned multilingual pre-trained models (sentence encoders, masked encoders and small decoders) classify the intent, sentiment and priority of banking tickets in Sinhala, Tamil and their romanized forms, compared to a TF–IDF baseline?</w:t>
      </w:r>
    </w:p>
    <w:p>
      <w:pPr>
        <w:pStyle w:val="BodyText"/>
      </w:pPr>
      <w:r>
        <w:rPr>
          <w:b/>
          <w:bCs/>
        </w:rPr>
        <w:t xml:space="preserve">RQ2</w:t>
      </w:r>
      <w:r>
        <w:t xml:space="preserve"> </w:t>
      </w:r>
      <w:r>
        <w:t xml:space="preserve">How can continuous classifier posteriors for ticket severity, sentiment, and intent criticality be combined into a single urgency score?</w:t>
      </w:r>
    </w:p>
    <w:p>
      <w:pPr>
        <w:pStyle w:val="BodyText"/>
      </w:pPr>
      <w:r>
        <w:t xml:space="preserve">Our contributions are twofold. First, a</w:t>
      </w:r>
      <w:r>
        <w:t xml:space="preserve"> </w:t>
      </w:r>
      <w:r>
        <w:rPr>
          <w:b/>
          <w:bCs/>
        </w:rPr>
        <w:t xml:space="preserve">multilingual model benchmark study</w:t>
      </w:r>
      <w:r>
        <w:t xml:space="preserve"> </w:t>
      </w:r>
      <w:r>
        <w:t xml:space="preserve">spanning classical TF–IDF models, sentence encoders, masked encoders, and instruction-tuned decoders over five language variants. Second, a</w:t>
      </w:r>
      <w:r>
        <w:t xml:space="preserve"> </w:t>
      </w:r>
      <w:r>
        <w:rPr>
          <w:b/>
          <w:bCs/>
        </w:rPr>
        <w:t xml:space="preserve">urgency scoring method</w:t>
      </w:r>
      <w:r>
        <w:t xml:space="preserve"> </w:t>
      </w:r>
      <w:r>
        <w:t xml:space="preserve">that combines the output distributions of the separate intent and priority classifiers to a single priority distribution via logarithmic opinion pooling.</w:t>
      </w:r>
    </w:p>
    <w:bookmarkEnd w:id="9"/>
    <w:bookmarkStart w:id="10" w:name="ii.-related-work"/>
    <w:p>
      <w:pPr>
        <w:pStyle w:val="Heading1"/>
      </w:pPr>
      <w:r>
        <w:t xml:space="preserve">II. Related Work</w:t>
      </w:r>
    </w:p>
    <w:p>
      <w:pPr>
        <w:pStyle w:val="FirstParagraph"/>
      </w:pPr>
      <w:r>
        <w:rPr>
          <w:b/>
          <w:bCs/>
        </w:rPr>
        <w:t xml:space="preserve">Support ticket classification and prioritization.</w:t>
      </w:r>
      <w:r>
        <w:t xml:space="preserve"> </w:t>
      </w:r>
      <w:r>
        <w:t xml:space="preserve">Prior work frames ticket handling as single-target text classification,</w:t>
      </w:r>
      <w:r>
        <w:t xml:space="preserve"> </w:t>
      </w:r>
      <w:r>
        <w:t xml:space="preserve">including bank complaint categorization [1]. Closest to this</w:t>
      </w:r>
      <w:r>
        <w:t xml:space="preserve"> </w:t>
      </w:r>
      <w:r>
        <w:t xml:space="preserve">work, Deshmukh and Shiravale [2] derive priority from</w:t>
      </w:r>
      <w:r>
        <w:t xml:space="preserve"> </w:t>
      </w:r>
      <w:r>
        <w:t xml:space="preserve">sentiment intensity and promote a complaint once it has waited past a fixed</w:t>
      </w:r>
      <w:r>
        <w:t xml:space="preserve"> </w:t>
      </w:r>
      <w:r>
        <w:t xml:space="preserve">threshold, which Section VI generalizes to a continuous accrual.</w:t>
      </w:r>
      <w:r>
        <w:t xml:space="preserve"> </w:t>
      </w:r>
      <w:r>
        <w:t xml:space="preserve">Static labels do not specify an order of service: desks default to First Come</w:t>
      </w:r>
      <w:r>
        <w:t xml:space="preserve"> </w:t>
      </w:r>
      <w:r>
        <w:t xml:space="preserve">First Served (FCFS) or to discrete priority classes, and discrete binning</w:t>
      </w:r>
      <w:r>
        <w:t xml:space="preserve"> </w:t>
      </w:r>
      <w:r>
        <w:t xml:space="preserve">discards the uncertainty continuous dispatch needs.</w:t>
      </w:r>
    </w:p>
    <w:p>
      <w:pPr>
        <w:pStyle w:val="BodyText"/>
      </w:pPr>
      <w:r>
        <w:rPr>
          <w:b/>
          <w:bCs/>
        </w:rPr>
        <w:t xml:space="preserve">Multilingual representations and transliterated scripts.</w:t>
      </w:r>
      <w:r>
        <w:t xml:space="preserve"> </w:t>
      </w:r>
      <w:r>
        <w:t xml:space="preserve">Expanding BANKING77 [8] into low-resource settings</w:t>
      </w:r>
      <w:r>
        <w:t xml:space="preserve"> </w:t>
      </w:r>
      <w:r>
        <w:t xml:space="preserve">requires representations robust to script variation: cross-lingual masked</w:t>
      </w:r>
      <w:r>
        <w:t xml:space="preserve"> </w:t>
      </w:r>
      <w:r>
        <w:t xml:space="preserve">encoders [9], [10], Indic-vocabulary encoders</w:t>
      </w:r>
      <w:r>
        <w:t xml:space="preserve"> </w:t>
      </w:r>
      <w:r>
        <w:t xml:space="preserve">[11], sentence encoders [12], and</w:t>
      </w:r>
      <w:r>
        <w:t xml:space="preserve"> </w:t>
      </w:r>
      <w:r>
        <w:t xml:space="preserve">instruction-tuned decoders [13]. The Sinhala literature,</w:t>
      </w:r>
      <w:r>
        <w:t xml:space="preserve"> </w:t>
      </w:r>
      <w:r>
        <w:t xml:space="preserve">surveyed in [14], reports two patterns our benchmark</w:t>
      </w:r>
      <w:r>
        <w:t xml:space="preserve"> </w:t>
      </w:r>
      <w:r>
        <w:t xml:space="preserve">tests jointly. Architecture matters little on minority targets: adapter variants</w:t>
      </w:r>
      <w:r>
        <w:t xml:space="preserve"> </w:t>
      </w:r>
      <w:r>
        <w:t xml:space="preserve">of XLM-R move code-mixed sentiment macro-F</w:t>
      </w:r>
      <w:r>
        <w:rPr>
          <w:vertAlign w:val="subscript"/>
        </w:rPr>
        <w:t xml:space="preserve">1</w:t>
      </w:r>
      <w:r>
        <w:t xml:space="preserve"> </w:t>
      </w:r>
      <w:r>
        <w:t xml:space="preserve">by only one to two</w:t>
      </w:r>
      <w:r>
        <w:t xml:space="preserve"> </w:t>
      </w:r>
      <w:r>
        <w:t xml:space="preserve">points [15]. Task-specific fine-tuning, by contrast,</w:t>
      </w:r>
      <w:r>
        <w:t xml:space="preserve"> </w:t>
      </w:r>
      <w:r>
        <w:t xml:space="preserve">dominates prompting — on banking reviews [16],</w:t>
      </w:r>
      <w:r>
        <w:t xml:space="preserve"> </w:t>
      </w:r>
      <w:r>
        <w:t xml:space="preserve">on native Sinhala [17], and on Sinhala news comments</w:t>
      </w:r>
      <w:r>
        <w:t xml:space="preserve"> </w:t>
      </w:r>
      <w:r>
        <w:t xml:space="preserve">[18].</w:t>
      </w:r>
    </w:p>
    <w:p>
      <w:pPr>
        <w:pStyle w:val="BodyText"/>
      </w:pPr>
      <w:r>
        <w:rPr>
          <w:b/>
          <w:bCs/>
        </w:rPr>
        <w:t xml:space="preserve">Romanized South Asian text.</w:t>
      </w:r>
      <w:r>
        <w:t xml:space="preserve"> </w:t>
      </w:r>
      <w:r>
        <w:t xml:space="preserve">Informal romanization introduces script sensitivity and non-standard orthography</w:t>
      </w:r>
      <w:r>
        <w:t xml:space="preserve"> </w:t>
      </w:r>
      <w:r>
        <w:t xml:space="preserve">[7], [19]</w:t>
      </w:r>
      <w:r>
        <w:t xml:space="preserve"> </w:t>
      </w:r>
      <w:r>
        <w:t xml:space="preserve">that subword tokenizers handle poorly, and word-level language identification in</w:t>
      </w:r>
      <w:r>
        <w:t xml:space="preserve"> </w:t>
      </w:r>
      <w:r>
        <w:t xml:space="preserve">Latin-script Sinhala-English is context-dependent, with a CRF over character</w:t>
      </w:r>
      <w:r>
        <w:t xml:space="preserve"> </w:t>
      </w:r>
      <m:oMath>
        <m:r>
          <m:t>n</m:t>
        </m:r>
      </m:oMath>
      <w:r>
        <w:t xml:space="preserve">-grams beating every neural model at small data scale</w:t>
      </w:r>
      <w:r>
        <w:t xml:space="preserve"> </w:t>
      </w:r>
      <w:r>
        <w:t xml:space="preserve">[6]. One alternative is to reverse-transliterate into</w:t>
      </w:r>
      <w:r>
        <w:t xml:space="preserve"> </w:t>
      </w:r>
      <w:r>
        <w:t xml:space="preserve">native script before inference [20], [21].</w:t>
      </w:r>
      <w:r>
        <w:t xml:space="preserve"> </w:t>
      </w:r>
      <w:r>
        <w:t xml:space="preserve">We model the romanized tracks directly, which makes our Tanglish figures a floor</w:t>
      </w:r>
      <w:r>
        <w:t xml:space="preserve"> </w:t>
      </w:r>
      <w:r>
        <w:t xml:space="preserve">rather than a ceiling.</w:t>
      </w:r>
    </w:p>
    <w:p>
      <w:pPr>
        <w:pStyle w:val="BodyText"/>
      </w:pPr>
      <w:r>
        <w:rPr>
          <w:b/>
          <w:bCs/>
        </w:rPr>
        <w:t xml:space="preserve">Annotation by prompting.</w:t>
      </w:r>
      <w:r>
        <w:t xml:space="preserve"> </w:t>
      </w:r>
      <w:r>
        <w:t xml:space="preserve">Prompted annotation addresses label scarcity, but its errors propagate into</w:t>
      </w:r>
      <w:r>
        <w:t xml:space="preserve"> </w:t>
      </w:r>
      <w:r>
        <w:t xml:space="preserve">every downstream comparison [22]. We therefore treat</w:t>
      </w:r>
      <w:r>
        <w:t xml:space="preserve"> </w:t>
      </w:r>
      <w:r>
        <w:t xml:space="preserve">our labels as silver and measure their ceiling against human gold.</w:t>
      </w:r>
    </w:p>
    <w:p>
      <w:pPr>
        <w:pStyle w:val="BodyText"/>
      </w:pPr>
      <w:r>
        <w:rPr>
          <w:b/>
          <w:bCs/>
        </w:rPr>
        <w:t xml:space="preserve">Dispatch under uncertainty.</w:t>
      </w:r>
      <w:r>
        <w:t xml:space="preserve"> </w:t>
      </w:r>
      <w:r>
        <w:t xml:space="preserve">The</w:t>
      </w:r>
      <w:r>
        <w:t xml:space="preserve"> </w:t>
      </w:r>
      <m:oMath>
        <m:r>
          <m:t>c</m:t>
        </m:r>
        <m:r>
          <m:t>μ</m:t>
        </m:r>
      </m:oMath>
      <w:r>
        <w:t xml:space="preserve"> </w:t>
      </w:r>
      <w:r>
        <w:t xml:space="preserve">rule [23] minimizes holding cost under linear delay</w:t>
      </w:r>
      <w:r>
        <w:t xml:space="preserve"> </w:t>
      </w:r>
      <w:r>
        <w:t xml:space="preserve">penalties, while delay-dependent disciplines [3] and the</w:t>
      </w:r>
      <w:r>
        <w:t xml:space="preserve"> </w:t>
      </w:r>
      <w:r>
        <w:t xml:space="preserve">accumulating priority queue [4] let priority accrue</w:t>
      </w:r>
      <w:r>
        <w:t xml:space="preserve"> </w:t>
      </w:r>
      <w:r>
        <w:t xml:space="preserve">with waiting time to prevent starvation. Argon and Ziya</w:t>
      </w:r>
      <w:r>
        <w:t xml:space="preserve"> </w:t>
      </w:r>
      <w:r>
        <w:t xml:space="preserve">[5] prove that under noisy classification, ordering by a</w:t>
      </w:r>
      <w:r>
        <w:t xml:space="preserve"> </w:t>
      </w:r>
      <w:r>
        <w:t xml:space="preserve">continuous posterior index rather than a discrete argmax class minimizes</w:t>
      </w:r>
      <w:r>
        <w:t xml:space="preserve"> </w:t>
      </w:r>
      <w:r>
        <w:t xml:space="preserve">expected long-run holding cost.</w:t>
      </w:r>
    </w:p>
    <w:bookmarkEnd w:id="10"/>
    <w:bookmarkStart w:id="21" w:name="iii.-multilingual-corpus-and-annotation"/>
    <w:p>
      <w:pPr>
        <w:pStyle w:val="Heading1"/>
      </w:pPr>
      <w:r>
        <w:t xml:space="preserve">III. Multilingual Corpus and Annotation</w:t>
      </w:r>
    </w:p>
    <w:bookmarkStart w:id="11" w:name="a.-multilingual-corpus-construction"/>
    <w:p>
      <w:pPr>
        <w:pStyle w:val="Heading2"/>
      </w:pPr>
      <w:r>
        <w:t xml:space="preserve">A. Multilingual Corpus Construction</w:t>
      </w:r>
    </w:p>
    <w:p>
      <w:pPr>
        <w:pStyle w:val="FirstParagraph"/>
      </w:pPr>
      <w:r>
        <w:t xml:space="preserve">Building the system required diverse banking queries with expanded annotations. Because no public corpus provides these annotations, we construct a five-track corpus across three languages by expanding the BANKING77 dataset [8], which provides 13</w:t>
      </w:r>
      <w:r>
        <w:t xml:space="preserve">,</w:t>
      </w:r>
      <w:r>
        <w:t xml:space="preserve">077 English customer queries across 77 intents.</w:t>
      </w:r>
    </w:p>
    <w:p>
      <w:pPr>
        <w:pStyle w:val="BodyText"/>
      </w:pPr>
      <w:r>
        <w:t xml:space="preserve">Each query was translated into four parallel tracks using Gemini 3.6 Flash [24]: native script Sinhala, native script Tamil, and informal Latin script romanizations of each (Singlish and Tanglish). Customer identifiers and class labels are aligned across all versions, producing a 5 track parallel corpus of 65</w:t>
      </w:r>
      <w:r>
        <w:t xml:space="preserve">,</w:t>
      </w:r>
      <w:r>
        <w:t xml:space="preserve">385 rows.</w:t>
      </w:r>
    </w:p>
    <w:bookmarkEnd w:id="11"/>
    <w:bookmarkStart w:id="12" w:name="b.-data-cleaning-and-preparation"/>
    <w:p>
      <w:pPr>
        <w:pStyle w:val="Heading2"/>
      </w:pPr>
      <w:r>
        <w:t xml:space="preserve">B. Data Cleaning and Preparation</w:t>
      </w:r>
    </w:p>
    <w:p>
      <w:pPr>
        <w:pStyle w:val="FirstParagraph"/>
      </w:pPr>
      <w:r>
        <w:t xml:space="preserve">We dropped 55 duplicate source query pairs across all five tracks and reworded translation collisions, where two English queries were rendered identically in a target language. The corpus is partitioned into a single frozen document-level split across all five tracks: 8</w:t>
      </w:r>
      <w:r>
        <w:t xml:space="preserve">,</w:t>
      </w:r>
      <w:r>
        <w:t xml:space="preserve">500 training tickets (42</w:t>
      </w:r>
      <w:r>
        <w:t xml:space="preserve">,</w:t>
      </w:r>
      <w:r>
        <w:t xml:space="preserve">500 rows), 1</w:t>
      </w:r>
      <w:r>
        <w:t xml:space="preserve">,</w:t>
      </w:r>
      <w:r>
        <w:t xml:space="preserve">498 validation tickets (7</w:t>
      </w:r>
      <w:r>
        <w:t xml:space="preserve">,</w:t>
      </w:r>
      <w:r>
        <w:t xml:space="preserve">490 rows), and 3</w:t>
      </w:r>
      <w:r>
        <w:t xml:space="preserve">,</w:t>
      </w:r>
      <w:r>
        <w:t xml:space="preserve">079 test tickets (15</w:t>
      </w:r>
      <w:r>
        <w:t xml:space="preserve">,</w:t>
      </w:r>
      <w:r>
        <w:t xml:space="preserve">395 rows), ensuring zero query or translation leakage across splits.</w:t>
      </w:r>
    </w:p>
    <w:bookmarkEnd w:id="12"/>
    <w:bookmarkStart w:id="13" w:name="X9f319dfc629de887b29966105c9077be7db13a9"/>
    <w:p>
      <w:pPr>
        <w:pStyle w:val="Heading2"/>
      </w:pPr>
      <w:r>
        <w:t xml:space="preserve">C. LLM Labeling and Annotation Validation</w:t>
      </w:r>
    </w:p>
    <w:p>
      <w:pPr>
        <w:pStyle w:val="FirstParagraph"/>
      </w:pPr>
      <w:r>
        <w:t xml:space="preserve">BANKING77 provides 77 intents but not the distress and severity labels queue</w:t>
      </w:r>
      <w:r>
        <w:t xml:space="preserve"> </w:t>
      </w:r>
      <w:r>
        <w:t xml:space="preserve">prioritization needs. We generated binary sentiment (Neutral, Negative) and</w:t>
      </w:r>
      <w:r>
        <w:t xml:space="preserve"> </w:t>
      </w:r>
      <w:r>
        <w:t xml:space="preserve">three priority tiers (Low, Medium, High) with structured LLM prompts over the</w:t>
      </w:r>
      <w:r>
        <w:t xml:space="preserve"> </w:t>
      </w:r>
      <w:r>
        <w:t xml:space="preserve">English source text, copying labels across tracks. Priority was elicited</w:t>
      </w:r>
      <w:r>
        <w:t xml:space="preserve"> </w:t>
      </w:r>
      <w:r>
        <w:t xml:space="preserve">separately from intent because urgency varies within an intent: inside</w:t>
      </w:r>
      <w:r>
        <w:t xml:space="preserve"> </w:t>
      </w:r>
      <w:r>
        <w:rPr>
          <w:i/>
          <w:iCs/>
        </w:rPr>
        <w:t xml:space="preserve">transfer not received by recipient</w:t>
      </w:r>
      <w:r>
        <w:t xml:space="preserve">, a general inquiry about transaction</w:t>
      </w:r>
      <w:r>
        <w:t xml:space="preserve"> </w:t>
      </w:r>
      <w:r>
        <w:t xml:space="preserve">times is Low priority whereas a time-critical request is High. Positive</w:t>
      </w:r>
      <w:r>
        <w:t xml:space="preserve"> </w:t>
      </w:r>
      <w:r>
        <w:t xml:space="preserve">sentiment was omitted because retail banking inquiries rarely express praise.</w:t>
      </w:r>
    </w:p>
    <w:p>
      <w:pPr>
        <w:pStyle w:val="BodyText"/>
      </w:pPr>
      <w:r>
        <w:t xml:space="preserve">To bound label quality without leakage, 500 tickets were annotated by human</w:t>
      </w:r>
      <w:r>
        <w:t xml:space="preserve"> </w:t>
      </w:r>
      <w:r>
        <w:t xml:space="preserve">reviewers before the prompts were authored. Raw prompt output reached 0.7812</w:t>
      </w:r>
      <w:r>
        <w:t xml:space="preserve"> </w:t>
      </w:r>
      <w:r>
        <w:t xml:space="preserve">Negative-F</w:t>
      </w:r>
      <w:r>
        <w:rPr>
          <w:vertAlign w:val="subscript"/>
        </w:rPr>
        <w:t xml:space="preserve">1</w:t>
      </w:r>
      <w:r>
        <w:t xml:space="preserve"> </w:t>
      </w:r>
      <w:r>
        <w:t xml:space="preserve">(Cohen’s</w:t>
      </w:r>
      <w:r>
        <w:t xml:space="preserve"> </w:t>
      </w:r>
      <m:oMath>
        <m:r>
          <m:t>κ</m:t>
        </m:r>
        <m:r>
          <m:rPr>
            <m:sty m:val="p"/>
          </m:rPr>
          <m:t>=</m:t>
        </m:r>
        <m:r>
          <m:t>0.766</m:t>
        </m:r>
      </m:oMath>
      <w:r>
        <w:t xml:space="preserve">); the shipped labels, after a final rule</w:t>
      </w:r>
      <w:r>
        <w:t xml:space="preserve"> </w:t>
      </w:r>
      <w:r>
        <w:t xml:space="preserve">check, reach 0.7931 Negative-F</w:t>
      </w:r>
      <w:r>
        <w:rPr>
          <w:vertAlign w:val="subscript"/>
        </w:rPr>
        <w:t xml:space="preserve">1</w:t>
      </w:r>
      <w:r>
        <w:t xml:space="preserve"> </w:t>
      </w:r>
      <w:r>
        <w:t xml:space="preserve">(95% confidence interval 0.667 to 0.896, agreement</w:t>
      </w:r>
      <w:r>
        <w:t xml:space="preserve"> </w:t>
      </w:r>
      <w:r>
        <w:t xml:space="preserve">0.976,</w:t>
      </w:r>
      <w:r>
        <w:t xml:space="preserve"> </w:t>
      </w:r>
      <m:oMath>
        <m:r>
          <m:t>κ</m:t>
        </m:r>
        <m:r>
          <m:rPr>
            <m:sty m:val="p"/>
          </m:rPr>
          <m:t>=</m:t>
        </m:r>
        <m:r>
          <m:t>0.780</m:t>
        </m:r>
      </m:oMath>
      <w:r>
        <w:t xml:space="preserve">) against the gold annotations.</w:t>
      </w:r>
    </w:p>
    <w:bookmarkEnd w:id="13"/>
    <w:bookmarkStart w:id="20" w:name="d.-intent-and-task-class-distributions"/>
    <w:p>
      <w:pPr>
        <w:pStyle w:val="Heading2"/>
      </w:pPr>
      <w:r>
        <w:t xml:space="preserve">D. Intent and Task Class Distributions</w:t>
      </w:r>
    </w:p>
    <w:p>
      <w:pPr>
        <w:pStyle w:val="CaptionedFigure"/>
        <w:spacing w:line="240" w:lineRule="auto"/>
      </w:pPr>
      <w:r>
        <w:drawing>
          <wp:inline>
            <wp:extent cx="3064310" cy="2042873"/>
            <wp:effectExtent b="0" l="0" r="0" t="0"/>
            <wp:docPr descr="" title="" id="15" name="Picture"/>
            <a:graphic>
              <a:graphicData uri="http://schemas.openxmlformats.org/drawingml/2006/picture">
                <pic:pic>
                  <pic:nvPicPr>
                    <pic:cNvPr descr="/tmp/icatc_word/intent_distribution.png" id="16" name="Picture"/>
                    <pic:cNvPicPr>
                      <a:picLocks noChangeArrowheads="1" noChangeAspect="1"/>
                    </pic:cNvPicPr>
                  </pic:nvPicPr>
                  <pic:blipFill>
                    <a:blip r:embed="rId14"/>
                    <a:stretch>
                      <a:fillRect/>
                    </a:stretch>
                  </pic:blipFill>
                  <pic:spPr bwMode="auto">
                    <a:xfrm>
                      <a:off x="0" y="0"/>
                      <a:ext cx="3064310" cy="2042873"/>
                    </a:xfrm>
                    <a:prstGeom prst="rect">
                      <a:avLst/>
                    </a:prstGeom>
                    <a:noFill/>
                    <a:ln w="9525">
                      <a:noFill/>
                      <a:headEnd/>
                      <a:tailEnd/>
                    </a:ln>
                  </pic:spPr>
                </pic:pic>
              </a:graphicData>
            </a:graphic>
          </wp:inline>
        </w:drawing>
      </w:r>
    </w:p>
    <w:p>
      <w:pPr>
        <w:pStyle w:val="ImageCaption"/>
      </w:pPr>
      <w:r>
        <w:t xml:space="preserve">Fig. 1. Intent distribution across all 77 categories in the BANKING77 dataset ranked by frequency (</w:t>
      </w:r>
      <m:oMath>
        <m:r>
          <m:t>μ</m:t>
        </m:r>
        <m:r>
          <m:rPr>
            <m:sty m:val="p"/>
          </m:rPr>
          <m:t>=</m:t>
        </m:r>
        <m:r>
          <m:t>170</m:t>
        </m:r>
      </m:oMath>
      <w:r>
        <w:t xml:space="preserve">, range</w:t>
      </w:r>
      <w:r>
        <w:t xml:space="preserve"> </w:t>
      </w:r>
      <m:oMath>
        <m:r>
          <m:t>75</m:t>
        </m:r>
      </m:oMath>
      <w:r>
        <w:t xml:space="preserve"> </w:t>
      </w:r>
      <w:r>
        <w:t xml:space="preserve">to</w:t>
      </w:r>
      <w:r>
        <w:t xml:space="preserve"> </w:t>
      </w:r>
      <m:oMath>
        <m:r>
          <m:t>227</m:t>
        </m:r>
      </m:oMath>
      <w:r>
        <w:t xml:space="preserve">).</w:t>
      </w:r>
    </w:p>
    <w:p>
      <w:pPr>
        <w:pStyle w:val="CaptionedFigure"/>
        <w:spacing w:line="240" w:lineRule="auto"/>
      </w:pPr>
      <w:r>
        <w:drawing>
          <wp:inline>
            <wp:extent cx="3150000" cy="1979412"/>
            <wp:effectExtent b="0" l="0" r="0" t="0"/>
            <wp:docPr descr="" title="" id="18" name="Picture"/>
            <a:graphic>
              <a:graphicData uri="http://schemas.openxmlformats.org/drawingml/2006/picture">
                <pic:pic>
                  <pic:nvPicPr>
                    <pic:cNvPr descr="/tmp/icatc_word/task_imbalance.png" id="19" name="Picture"/>
                    <pic:cNvPicPr>
                      <a:picLocks noChangeArrowheads="1" noChangeAspect="1"/>
                    </pic:cNvPicPr>
                  </pic:nvPicPr>
                  <pic:blipFill>
                    <a:blip r:embed="rId17"/>
                    <a:stretch>
                      <a:fillRect/>
                    </a:stretch>
                  </pic:blipFill>
                  <pic:spPr bwMode="auto">
                    <a:xfrm>
                      <a:off x="0" y="0"/>
                      <a:ext cx="3150000" cy="1979412"/>
                    </a:xfrm>
                    <a:prstGeom prst="rect">
                      <a:avLst/>
                    </a:prstGeom>
                    <a:noFill/>
                    <a:ln w="9525">
                      <a:noFill/>
                      <a:headEnd/>
                      <a:tailEnd/>
                    </a:ln>
                  </pic:spPr>
                </pic:pic>
              </a:graphicData>
            </a:graphic>
          </wp:inline>
        </w:drawing>
      </w:r>
    </w:p>
    <w:p>
      <w:pPr>
        <w:pStyle w:val="ImageCaption"/>
      </w:pPr>
      <w:r>
        <w:t xml:space="preserve">Fig. 2. Operational class imbalance across Priority tiers (left) and Sentiment targets (right) over the 13</w:t>
      </w:r>
      <w:r>
        <w:t xml:space="preserve">,</w:t>
      </w:r>
      <w:r>
        <w:t xml:space="preserve">077 ticket corpus.</w:t>
      </w:r>
    </w:p>
    <w:p>
      <w:pPr>
        <w:pStyle w:val="BodyText"/>
      </w:pPr>
      <w:r>
        <w:t xml:space="preserve">As shown in Fig. 1, BANKING77 intents display balanced coverage across all 77 categories (</w:t>
      </w:r>
      <m:oMath>
        <m:r>
          <m:t>μ</m:t>
        </m:r>
        <m:r>
          <m:rPr>
            <m:sty m:val="p"/>
          </m:rPr>
          <m:t>=</m:t>
        </m:r>
        <m:r>
          <m:t>169.8</m:t>
        </m:r>
      </m:oMath>
      <w:r>
        <w:t xml:space="preserve"> </w:t>
      </w:r>
      <w:r>
        <w:t xml:space="preserve">tickets, range</w:t>
      </w:r>
      <w:r>
        <w:t xml:space="preserve"> </w:t>
      </w:r>
      <m:oMath>
        <m:r>
          <m:t>75</m:t>
        </m:r>
      </m:oMath>
      <w:r>
        <w:t xml:space="preserve"> </w:t>
      </w:r>
      <w:r>
        <w:t xml:space="preserve">to</w:t>
      </w:r>
      <w:r>
        <w:t xml:space="preserve"> </w:t>
      </w:r>
      <m:oMath>
        <m:r>
          <m:t>227</m:t>
        </m:r>
      </m:oMath>
      <w:r>
        <w:t xml:space="preserve">, normalized entropy 0.982). In contrast, the resulting operational targets exhibit severe class imbalance (Fig. 2): Priority follows an inverse severity distribution with 53.5% Low, 36.6% Medium, and only 9.8% High urgent tickets. Sentiment is 93.7% Neutral and 6.3% Negative, capturing customer dissatisfaction and distress for queue escalation.</w:t>
      </w:r>
    </w:p>
    <w:bookmarkEnd w:id="20"/>
    <w:bookmarkEnd w:id="21"/>
    <w:bookmarkStart w:id="28" w:name="iv.-multilingual-ticket-classification"/>
    <w:p>
      <w:pPr>
        <w:pStyle w:val="Heading1"/>
      </w:pPr>
      <w:r>
        <w:t xml:space="preserve">IV. Multilingual Ticket Classification</w:t>
      </w:r>
    </w:p>
    <w:bookmarkStart w:id="22" w:name="a.-tokenizer-inductive-filtering"/>
    <w:p>
      <w:pPr>
        <w:pStyle w:val="Heading2"/>
      </w:pPr>
      <w:r>
        <w:t xml:space="preserve">A. Tokenizer Inductive Filtering</w:t>
      </w:r>
    </w:p>
    <w:p>
      <w:pPr>
        <w:pStyle w:val="TableCaption"/>
      </w:pPr>
      <w:r>
        <w:t xml:space="preserve">Table I. Tokenizer subword fertility (tokens per word) and vocabulary size.</w:t>
      </w:r>
    </w:p>
    <w:tbl>
      <w:tblPr>
        <w:tblCellMar>
          <w:top w:w="15" w:type="dxa"/>
          <w:bottom w:w="15" w:type="dxa"/>
          <w:left w:w="20" w:type="dxa"/>
          <w:right w:w="20" w:type="dxa"/>
        </w:tblCellMar>
        <w:tblStyle w:val="Table"/>
        <w:tblW w:w="4960" w:type="dxa"/>
        <w:tblLook w:firstRow="1" w:lastRow="0" w:firstColumn="0" w:lastColumn="0" w:noHBand="0" w:noVBand="0" w:val="0020"/>
        <w:tblCaption w:val="Table I. Tokenizer subword fertility (tokens per word) and vocabulary size."/>
        <w:tblLayout w:type="fixed"/>
      </w:tblPr>
      <w:tblGrid>
        <w:gridCol w:w="1000"/>
        <w:gridCol w:w="500"/>
        <w:gridCol w:w="692"/>
        <w:gridCol w:w="692"/>
        <w:gridCol w:w="692"/>
        <w:gridCol w:w="692"/>
        <w:gridCol w:w="692"/>
      </w:tblGrid>
      <w:tr>
        <w:trPr>
          <w:tblHeader w:val="on"/>
        </w:trPr>
        <w:tc>
          <w:tcPr>
            <w:tcW w:type="dxa" w:w="1000"/>
            <w:tcMar>
              <w:top w:w="0" w:type="dxa"/>
              <w:bottom w:w="0" w:type="dxa"/>
              <w:left w:w="0" w:type="dxa"/>
              <w:right w:w="0" w:type="dxa"/>
            </w:tcMar>
          </w:tcPr>
          <w:p>
            <w:pPr>
              <w:pStyle w:val="Compact"/>
              <w:jc w:val="left"/>
              <w:keepNext/>
            </w:pPr>
            <w:r>
              <w:t xml:space="preserve">Model</w:t>
            </w:r>
          </w:p>
        </w:tc>
        <w:tc>
          <w:tcPr>
            <w:tcW w:type="dxa" w:w="500"/>
            <w:tcMar>
              <w:top w:w="0" w:type="dxa"/>
              <w:bottom w:w="0" w:type="dxa"/>
              <w:left w:w="0" w:type="dxa"/>
              <w:right w:w="0" w:type="dxa"/>
            </w:tcMar>
          </w:tcPr>
          <w:p>
            <w:pPr>
              <w:pStyle w:val="Compact"/>
              <w:jc w:val="right"/>
              <w:keepNext/>
            </w:pPr>
            <w:r>
              <w:t xml:space="preserve">Vocab</w:t>
            </w:r>
          </w:p>
        </w:tc>
        <w:tc>
          <w:tcPr>
            <w:tcW w:type="dxa" w:w="692"/>
            <w:tcMar>
              <w:top w:w="0" w:type="dxa"/>
              <w:bottom w:w="0" w:type="dxa"/>
              <w:left w:w="0" w:type="dxa"/>
              <w:right w:w="0" w:type="dxa"/>
            </w:tcMar>
          </w:tcPr>
          <w:p>
            <w:pPr>
              <w:pStyle w:val="Compact"/>
              <w:jc w:val="right"/>
              <w:keepNext/>
            </w:pPr>
            <w:r>
              <w:t xml:space="preserve">English</w:t>
            </w:r>
          </w:p>
        </w:tc>
        <w:tc>
          <w:tcPr>
            <w:tcW w:type="dxa" w:w="692"/>
            <w:tcMar>
              <w:top w:w="0" w:type="dxa"/>
              <w:bottom w:w="0" w:type="dxa"/>
              <w:left w:w="0" w:type="dxa"/>
              <w:right w:w="0" w:type="dxa"/>
            </w:tcMar>
          </w:tcPr>
          <w:p>
            <w:pPr>
              <w:pStyle w:val="Compact"/>
              <w:jc w:val="right"/>
              <w:keepNext/>
            </w:pPr>
            <w:r>
              <w:t xml:space="preserve">Sinhala</w:t>
            </w:r>
          </w:p>
        </w:tc>
        <w:tc>
          <w:tcPr>
            <w:tcW w:type="dxa" w:w="692"/>
            <w:tcMar>
              <w:top w:w="0" w:type="dxa"/>
              <w:bottom w:w="0" w:type="dxa"/>
              <w:left w:w="0" w:type="dxa"/>
              <w:right w:w="0" w:type="dxa"/>
            </w:tcMar>
          </w:tcPr>
          <w:p>
            <w:pPr>
              <w:pStyle w:val="Compact"/>
              <w:jc w:val="right"/>
              <w:keepNext/>
            </w:pPr>
            <w:r>
              <w:t xml:space="preserve">Singlish</w:t>
            </w:r>
          </w:p>
        </w:tc>
        <w:tc>
          <w:tcPr>
            <w:tcW w:type="dxa" w:w="692"/>
            <w:tcMar>
              <w:top w:w="0" w:type="dxa"/>
              <w:bottom w:w="0" w:type="dxa"/>
              <w:left w:w="0" w:type="dxa"/>
              <w:right w:w="0" w:type="dxa"/>
            </w:tcMar>
          </w:tcPr>
          <w:p>
            <w:pPr>
              <w:pStyle w:val="Compact"/>
              <w:jc w:val="right"/>
              <w:keepNext/>
            </w:pPr>
            <w:r>
              <w:t xml:space="preserve">Tamil</w:t>
            </w:r>
          </w:p>
        </w:tc>
        <w:tc>
          <w:tcPr>
            <w:tcW w:type="dxa" w:w="692"/>
            <w:tcMar>
              <w:top w:w="0" w:type="dxa"/>
              <w:bottom w:w="0" w:type="dxa"/>
              <w:left w:w="0" w:type="dxa"/>
              <w:right w:w="0" w:type="dxa"/>
            </w:tcMar>
          </w:tcPr>
          <w:p>
            <w:pPr>
              <w:pStyle w:val="Compact"/>
              <w:jc w:val="right"/>
              <w:keepNext/>
            </w:pPr>
            <w:r>
              <w:t xml:space="preserve">Tanglish</w:t>
            </w:r>
          </w:p>
        </w:tc>
      </w:tr>
      <w:tr>
        <w:tc>
          <w:tcPr>
            <w:tcW w:type="dxa" w:w="1000"/>
            <w:tcMar>
              <w:top w:w="0" w:type="dxa"/>
              <w:bottom w:w="0" w:type="dxa"/>
              <w:left w:w="0" w:type="dxa"/>
              <w:right w:w="0" w:type="dxa"/>
            </w:tcMar>
          </w:tcPr>
          <w:p>
            <w:pPr>
              <w:pStyle w:val="Compact"/>
              <w:jc w:val="left"/>
            </w:pPr>
            <w:r>
              <w:t xml:space="preserve">LaBSE</w:t>
            </w:r>
          </w:p>
        </w:tc>
        <w:tc>
          <w:tcPr>
            <w:tcW w:type="dxa" w:w="500"/>
            <w:tcMar>
              <w:top w:w="0" w:type="dxa"/>
              <w:bottom w:w="0" w:type="dxa"/>
              <w:left w:w="0" w:type="dxa"/>
              <w:right w:w="0" w:type="dxa"/>
            </w:tcMar>
          </w:tcPr>
          <w:p>
            <w:pPr>
              <w:pStyle w:val="Compact"/>
              <w:jc w:val="right"/>
            </w:pPr>
            <w:r>
              <w:t xml:space="preserve">501k</w:t>
            </w:r>
          </w:p>
        </w:tc>
        <w:tc>
          <w:tcPr>
            <w:tcW w:type="dxa" w:w="692"/>
            <w:tcMar>
              <w:top w:w="0" w:type="dxa"/>
              <w:bottom w:w="0" w:type="dxa"/>
              <w:left w:w="0" w:type="dxa"/>
              <w:right w:w="0" w:type="dxa"/>
            </w:tcMar>
          </w:tcPr>
          <w:p>
            <w:pPr>
              <w:pStyle w:val="Compact"/>
              <w:jc w:val="right"/>
            </w:pPr>
            <w:r>
              <w:t xml:space="preserve">1.18</w:t>
            </w:r>
          </w:p>
        </w:tc>
        <w:tc>
          <w:tcPr>
            <w:tcW w:type="dxa" w:w="692"/>
            <w:tcMar>
              <w:top w:w="0" w:type="dxa"/>
              <w:bottom w:w="0" w:type="dxa"/>
              <w:left w:w="0" w:type="dxa"/>
              <w:right w:w="0" w:type="dxa"/>
            </w:tcMar>
          </w:tcPr>
          <w:p>
            <w:pPr>
              <w:pStyle w:val="Compact"/>
              <w:jc w:val="right"/>
            </w:pPr>
            <w:r>
              <w:t xml:space="preserve">1.37</w:t>
            </w:r>
          </w:p>
        </w:tc>
        <w:tc>
          <w:tcPr>
            <w:tcW w:type="dxa" w:w="692"/>
            <w:tcMar>
              <w:top w:w="0" w:type="dxa"/>
              <w:bottom w:w="0" w:type="dxa"/>
              <w:left w:w="0" w:type="dxa"/>
              <w:right w:w="0" w:type="dxa"/>
            </w:tcMar>
          </w:tcPr>
          <w:p>
            <w:pPr>
              <w:pStyle w:val="Compact"/>
              <w:jc w:val="right"/>
            </w:pPr>
            <w:r>
              <w:t xml:space="preserve">1.62</w:t>
            </w:r>
          </w:p>
        </w:tc>
        <w:tc>
          <w:tcPr>
            <w:tcW w:type="dxa" w:w="692"/>
            <w:tcMar>
              <w:top w:w="0" w:type="dxa"/>
              <w:bottom w:w="0" w:type="dxa"/>
              <w:left w:w="0" w:type="dxa"/>
              <w:right w:w="0" w:type="dxa"/>
            </w:tcMar>
          </w:tcPr>
          <w:p>
            <w:pPr>
              <w:pStyle w:val="Compact"/>
              <w:jc w:val="right"/>
            </w:pPr>
            <w:r>
              <w:t xml:space="preserve">1.86</w:t>
            </w:r>
          </w:p>
        </w:tc>
        <w:tc>
          <w:tcPr>
            <w:tcW w:type="dxa" w:w="692"/>
            <w:tcMar>
              <w:top w:w="0" w:type="dxa"/>
              <w:bottom w:w="0" w:type="dxa"/>
              <w:left w:w="0" w:type="dxa"/>
              <w:right w:w="0" w:type="dxa"/>
            </w:tcMar>
          </w:tcPr>
          <w:p>
            <w:pPr>
              <w:pStyle w:val="Compact"/>
              <w:jc w:val="right"/>
            </w:pPr>
            <w:r>
              <w:t xml:space="preserve">2.00</w:t>
            </w:r>
          </w:p>
        </w:tc>
      </w:tr>
      <w:tr>
        <w:tc>
          <w:tcPr>
            <w:tcW w:type="dxa" w:w="1000"/>
            <w:tcMar>
              <w:top w:w="0" w:type="dxa"/>
              <w:bottom w:w="0" w:type="dxa"/>
              <w:left w:w="0" w:type="dxa"/>
              <w:right w:w="0" w:type="dxa"/>
            </w:tcMar>
          </w:tcPr>
          <w:p>
            <w:pPr>
              <w:pStyle w:val="Compact"/>
              <w:jc w:val="left"/>
            </w:pPr>
            <w:r>
              <w:t xml:space="preserve">Gemma 3</w:t>
            </w:r>
          </w:p>
        </w:tc>
        <w:tc>
          <w:tcPr>
            <w:tcW w:type="dxa" w:w="500"/>
            <w:tcMar>
              <w:top w:w="0" w:type="dxa"/>
              <w:bottom w:w="0" w:type="dxa"/>
              <w:left w:w="0" w:type="dxa"/>
              <w:right w:w="0" w:type="dxa"/>
            </w:tcMar>
          </w:tcPr>
          <w:p>
            <w:pPr>
              <w:pStyle w:val="Compact"/>
              <w:jc w:val="right"/>
            </w:pPr>
            <w:r>
              <w:t xml:space="preserve">262k</w:t>
            </w:r>
          </w:p>
        </w:tc>
        <w:tc>
          <w:tcPr>
            <w:tcW w:type="dxa" w:w="692"/>
            <w:tcMar>
              <w:top w:w="0" w:type="dxa"/>
              <w:bottom w:w="0" w:type="dxa"/>
              <w:left w:w="0" w:type="dxa"/>
              <w:right w:w="0" w:type="dxa"/>
            </w:tcMar>
          </w:tcPr>
          <w:p>
            <w:pPr>
              <w:pStyle w:val="Compact"/>
              <w:jc w:val="right"/>
            </w:pPr>
            <w:r>
              <w:t xml:space="preserve">1.18</w:t>
            </w:r>
          </w:p>
        </w:tc>
        <w:tc>
          <w:tcPr>
            <w:tcW w:type="dxa" w:w="692"/>
            <w:tcMar>
              <w:top w:w="0" w:type="dxa"/>
              <w:bottom w:w="0" w:type="dxa"/>
              <w:left w:w="0" w:type="dxa"/>
              <w:right w:w="0" w:type="dxa"/>
            </w:tcMar>
          </w:tcPr>
          <w:p>
            <w:pPr>
              <w:pStyle w:val="Compact"/>
              <w:jc w:val="right"/>
            </w:pPr>
            <w:r>
              <w:t xml:space="preserve">2.24</w:t>
            </w:r>
          </w:p>
        </w:tc>
        <w:tc>
          <w:tcPr>
            <w:tcW w:type="dxa" w:w="692"/>
            <w:tcMar>
              <w:top w:w="0" w:type="dxa"/>
              <w:bottom w:w="0" w:type="dxa"/>
              <w:left w:w="0" w:type="dxa"/>
              <w:right w:w="0" w:type="dxa"/>
            </w:tcMar>
          </w:tcPr>
          <w:p>
            <w:pPr>
              <w:pStyle w:val="Compact"/>
              <w:jc w:val="right"/>
            </w:pPr>
            <w:r>
              <w:t xml:space="preserve">1.86</w:t>
            </w:r>
          </w:p>
        </w:tc>
        <w:tc>
          <w:tcPr>
            <w:tcW w:type="dxa" w:w="692"/>
            <w:tcMar>
              <w:top w:w="0" w:type="dxa"/>
              <w:bottom w:w="0" w:type="dxa"/>
              <w:left w:w="0" w:type="dxa"/>
              <w:right w:w="0" w:type="dxa"/>
            </w:tcMar>
          </w:tcPr>
          <w:p>
            <w:pPr>
              <w:pStyle w:val="Compact"/>
              <w:jc w:val="right"/>
            </w:pPr>
            <w:r>
              <w:t xml:space="preserve">2.20</w:t>
            </w:r>
          </w:p>
        </w:tc>
        <w:tc>
          <w:tcPr>
            <w:tcW w:type="dxa" w:w="692"/>
            <w:tcMar>
              <w:top w:w="0" w:type="dxa"/>
              <w:bottom w:w="0" w:type="dxa"/>
              <w:left w:w="0" w:type="dxa"/>
              <w:right w:w="0" w:type="dxa"/>
            </w:tcMar>
          </w:tcPr>
          <w:p>
            <w:pPr>
              <w:pStyle w:val="Compact"/>
              <w:jc w:val="right"/>
            </w:pPr>
            <w:r>
              <w:t xml:space="preserve">2.21</w:t>
            </w:r>
          </w:p>
        </w:tc>
      </w:tr>
      <w:tr>
        <w:tc>
          <w:tcPr>
            <w:tcW w:type="dxa" w:w="1000"/>
            <w:tcMar>
              <w:top w:w="0" w:type="dxa"/>
              <w:bottom w:w="0" w:type="dxa"/>
              <w:left w:w="0" w:type="dxa"/>
              <w:right w:w="0" w:type="dxa"/>
            </w:tcMar>
          </w:tcPr>
          <w:p>
            <w:pPr>
              <w:pStyle w:val="Compact"/>
              <w:jc w:val="left"/>
            </w:pPr>
            <w:r>
              <w:t xml:space="preserve">SinLlama</w:t>
            </w:r>
          </w:p>
        </w:tc>
        <w:tc>
          <w:tcPr>
            <w:tcW w:type="dxa" w:w="500"/>
            <w:tcMar>
              <w:top w:w="0" w:type="dxa"/>
              <w:bottom w:w="0" w:type="dxa"/>
              <w:left w:w="0" w:type="dxa"/>
              <w:right w:w="0" w:type="dxa"/>
            </w:tcMar>
          </w:tcPr>
          <w:p>
            <w:pPr>
              <w:pStyle w:val="Compact"/>
              <w:jc w:val="right"/>
            </w:pPr>
            <w:r>
              <w:t xml:space="preserve">139k</w:t>
            </w:r>
          </w:p>
        </w:tc>
        <w:tc>
          <w:tcPr>
            <w:tcW w:type="dxa" w:w="692"/>
            <w:tcMar>
              <w:top w:w="0" w:type="dxa"/>
              <w:bottom w:w="0" w:type="dxa"/>
              <w:left w:w="0" w:type="dxa"/>
              <w:right w:w="0" w:type="dxa"/>
            </w:tcMar>
          </w:tcPr>
          <w:p>
            <w:pPr>
              <w:pStyle w:val="Compact"/>
              <w:jc w:val="right"/>
            </w:pPr>
            <w:r>
              <w:t xml:space="preserve">1.16</w:t>
            </w:r>
          </w:p>
        </w:tc>
        <w:tc>
          <w:tcPr>
            <w:tcW w:type="dxa" w:w="692"/>
            <w:tcMar>
              <w:top w:w="0" w:type="dxa"/>
              <w:bottom w:w="0" w:type="dxa"/>
              <w:left w:w="0" w:type="dxa"/>
              <w:right w:w="0" w:type="dxa"/>
            </w:tcMar>
          </w:tcPr>
          <w:p>
            <w:pPr>
              <w:pStyle w:val="Compact"/>
              <w:jc w:val="right"/>
            </w:pPr>
            <w:r>
              <w:t xml:space="preserve">1.28</w:t>
            </w:r>
          </w:p>
        </w:tc>
        <w:tc>
          <w:tcPr>
            <w:tcW w:type="dxa" w:w="692"/>
            <w:tcMar>
              <w:top w:w="0" w:type="dxa"/>
              <w:bottom w:w="0" w:type="dxa"/>
              <w:left w:w="0" w:type="dxa"/>
              <w:right w:w="0" w:type="dxa"/>
            </w:tcMar>
          </w:tcPr>
          <w:p>
            <w:pPr>
              <w:pStyle w:val="Compact"/>
              <w:jc w:val="right"/>
            </w:pPr>
            <w:r>
              <w:t xml:space="preserve">2.00</w:t>
            </w:r>
          </w:p>
        </w:tc>
        <w:tc>
          <w:tcPr>
            <w:tcW w:type="dxa" w:w="692"/>
            <w:tcMar>
              <w:top w:w="0" w:type="dxa"/>
              <w:bottom w:w="0" w:type="dxa"/>
              <w:left w:w="0" w:type="dxa"/>
              <w:right w:w="0" w:type="dxa"/>
            </w:tcMar>
          </w:tcPr>
          <w:p>
            <w:pPr>
              <w:pStyle w:val="Compact"/>
              <w:jc w:val="right"/>
            </w:pPr>
            <w:r>
              <w:t xml:space="preserve">11.46</w:t>
            </w:r>
          </w:p>
        </w:tc>
        <w:tc>
          <w:tcPr>
            <w:tcW w:type="dxa" w:w="692"/>
            <w:tcMar>
              <w:top w:w="0" w:type="dxa"/>
              <w:bottom w:w="0" w:type="dxa"/>
              <w:left w:w="0" w:type="dxa"/>
              <w:right w:w="0" w:type="dxa"/>
            </w:tcMar>
          </w:tcPr>
          <w:p>
            <w:pPr>
              <w:pStyle w:val="Compact"/>
              <w:jc w:val="right"/>
            </w:pPr>
            <w:r>
              <w:t xml:space="preserve">2.34</w:t>
            </w:r>
          </w:p>
        </w:tc>
      </w:tr>
      <w:tr>
        <w:tc>
          <w:tcPr>
            <w:tcW w:type="dxa" w:w="1000"/>
            <w:tcMar>
              <w:top w:w="0" w:type="dxa"/>
              <w:bottom w:w="0" w:type="dxa"/>
              <w:left w:w="0" w:type="dxa"/>
              <w:right w:w="0" w:type="dxa"/>
            </w:tcMar>
          </w:tcPr>
          <w:p>
            <w:pPr>
              <w:pStyle w:val="Compact"/>
              <w:jc w:val="left"/>
            </w:pPr>
            <w:r>
              <w:t xml:space="preserve">Llama 3.2</w:t>
            </w:r>
          </w:p>
        </w:tc>
        <w:tc>
          <w:tcPr>
            <w:tcW w:type="dxa" w:w="500"/>
            <w:tcMar>
              <w:top w:w="0" w:type="dxa"/>
              <w:bottom w:w="0" w:type="dxa"/>
              <w:left w:w="0" w:type="dxa"/>
              <w:right w:w="0" w:type="dxa"/>
            </w:tcMar>
          </w:tcPr>
          <w:p>
            <w:pPr>
              <w:pStyle w:val="Compact"/>
              <w:jc w:val="right"/>
            </w:pPr>
            <w:r>
              <w:t xml:space="preserve">128k</w:t>
            </w:r>
          </w:p>
        </w:tc>
        <w:tc>
          <w:tcPr>
            <w:tcW w:type="dxa" w:w="692"/>
            <w:tcMar>
              <w:top w:w="0" w:type="dxa"/>
              <w:bottom w:w="0" w:type="dxa"/>
              <w:left w:w="0" w:type="dxa"/>
              <w:right w:w="0" w:type="dxa"/>
            </w:tcMar>
          </w:tcPr>
          <w:p>
            <w:pPr>
              <w:pStyle w:val="Compact"/>
              <w:jc w:val="right"/>
            </w:pPr>
            <w:r>
              <w:t xml:space="preserve">1.16</w:t>
            </w:r>
          </w:p>
        </w:tc>
        <w:tc>
          <w:tcPr>
            <w:tcW w:type="dxa" w:w="692"/>
            <w:tcMar>
              <w:top w:w="0" w:type="dxa"/>
              <w:bottom w:w="0" w:type="dxa"/>
              <w:left w:w="0" w:type="dxa"/>
              <w:right w:w="0" w:type="dxa"/>
            </w:tcMar>
          </w:tcPr>
          <w:p>
            <w:pPr>
              <w:pStyle w:val="Compact"/>
              <w:jc w:val="right"/>
            </w:pPr>
            <w:r>
              <w:t xml:space="preserve">7.39</w:t>
            </w:r>
          </w:p>
        </w:tc>
        <w:tc>
          <w:tcPr>
            <w:tcW w:type="dxa" w:w="692"/>
            <w:tcMar>
              <w:top w:w="0" w:type="dxa"/>
              <w:bottom w:w="0" w:type="dxa"/>
              <w:left w:w="0" w:type="dxa"/>
              <w:right w:w="0" w:type="dxa"/>
            </w:tcMar>
          </w:tcPr>
          <w:p>
            <w:pPr>
              <w:pStyle w:val="Compact"/>
              <w:jc w:val="right"/>
            </w:pPr>
            <w:r>
              <w:t xml:space="preserve">2.00</w:t>
            </w:r>
          </w:p>
        </w:tc>
        <w:tc>
          <w:tcPr>
            <w:tcW w:type="dxa" w:w="692"/>
            <w:tcMar>
              <w:top w:w="0" w:type="dxa"/>
              <w:bottom w:w="0" w:type="dxa"/>
              <w:left w:w="0" w:type="dxa"/>
              <w:right w:w="0" w:type="dxa"/>
            </w:tcMar>
          </w:tcPr>
          <w:p>
            <w:pPr>
              <w:pStyle w:val="Compact"/>
              <w:jc w:val="right"/>
            </w:pPr>
            <w:r>
              <w:t xml:space="preserve">11.46</w:t>
            </w:r>
          </w:p>
        </w:tc>
        <w:tc>
          <w:tcPr>
            <w:tcW w:type="dxa" w:w="692"/>
            <w:tcMar>
              <w:top w:w="0" w:type="dxa"/>
              <w:bottom w:w="0" w:type="dxa"/>
              <w:left w:w="0" w:type="dxa"/>
              <w:right w:w="0" w:type="dxa"/>
            </w:tcMar>
          </w:tcPr>
          <w:p>
            <w:pPr>
              <w:pStyle w:val="Compact"/>
              <w:jc w:val="right"/>
            </w:pPr>
            <w:r>
              <w:t xml:space="preserve">2.34</w:t>
            </w:r>
          </w:p>
        </w:tc>
      </w:tr>
      <w:tr>
        <w:tc>
          <w:tcPr>
            <w:tcW w:type="dxa" w:w="1000"/>
            <w:tcMar>
              <w:top w:w="0" w:type="dxa"/>
              <w:bottom w:w="0" w:type="dxa"/>
              <w:left w:w="0" w:type="dxa"/>
              <w:right w:w="0" w:type="dxa"/>
            </w:tcMar>
          </w:tcPr>
          <w:p>
            <w:pPr>
              <w:pStyle w:val="Compact"/>
              <w:jc w:val="left"/>
            </w:pPr>
            <w:r>
              <w:t xml:space="preserve">Qwen 3</w:t>
            </w:r>
          </w:p>
        </w:tc>
        <w:tc>
          <w:tcPr>
            <w:tcW w:type="dxa" w:w="500"/>
            <w:tcMar>
              <w:top w:w="0" w:type="dxa"/>
              <w:bottom w:w="0" w:type="dxa"/>
              <w:left w:w="0" w:type="dxa"/>
              <w:right w:w="0" w:type="dxa"/>
            </w:tcMar>
          </w:tcPr>
          <w:p>
            <w:pPr>
              <w:pStyle w:val="Compact"/>
              <w:jc w:val="right"/>
            </w:pPr>
            <w:r>
              <w:t xml:space="preserve">152k</w:t>
            </w:r>
          </w:p>
        </w:tc>
        <w:tc>
          <w:tcPr>
            <w:tcW w:type="dxa" w:w="692"/>
            <w:tcMar>
              <w:top w:w="0" w:type="dxa"/>
              <w:bottom w:w="0" w:type="dxa"/>
              <w:left w:w="0" w:type="dxa"/>
              <w:right w:w="0" w:type="dxa"/>
            </w:tcMar>
          </w:tcPr>
          <w:p>
            <w:pPr>
              <w:pStyle w:val="Compact"/>
              <w:jc w:val="right"/>
            </w:pPr>
            <w:r>
              <w:t xml:space="preserve">1.16</w:t>
            </w:r>
          </w:p>
        </w:tc>
        <w:tc>
          <w:tcPr>
            <w:tcW w:type="dxa" w:w="692"/>
            <w:tcMar>
              <w:top w:w="0" w:type="dxa"/>
              <w:bottom w:w="0" w:type="dxa"/>
              <w:left w:w="0" w:type="dxa"/>
              <w:right w:w="0" w:type="dxa"/>
            </w:tcMar>
          </w:tcPr>
          <w:p>
            <w:pPr>
              <w:pStyle w:val="Compact"/>
              <w:jc w:val="right"/>
            </w:pPr>
            <w:r>
              <w:t xml:space="preserve">5.97</w:t>
            </w:r>
          </w:p>
        </w:tc>
        <w:tc>
          <w:tcPr>
            <w:tcW w:type="dxa" w:w="692"/>
            <w:tcMar>
              <w:top w:w="0" w:type="dxa"/>
              <w:bottom w:w="0" w:type="dxa"/>
              <w:left w:w="0" w:type="dxa"/>
              <w:right w:w="0" w:type="dxa"/>
            </w:tcMar>
          </w:tcPr>
          <w:p>
            <w:pPr>
              <w:pStyle w:val="Compact"/>
              <w:jc w:val="right"/>
            </w:pPr>
            <w:r>
              <w:t xml:space="preserve">2.02</w:t>
            </w:r>
          </w:p>
        </w:tc>
        <w:tc>
          <w:tcPr>
            <w:tcW w:type="dxa" w:w="692"/>
            <w:tcMar>
              <w:top w:w="0" w:type="dxa"/>
              <w:bottom w:w="0" w:type="dxa"/>
              <w:left w:w="0" w:type="dxa"/>
              <w:right w:w="0" w:type="dxa"/>
            </w:tcMar>
          </w:tcPr>
          <w:p>
            <w:pPr>
              <w:pStyle w:val="Compact"/>
              <w:jc w:val="right"/>
            </w:pPr>
            <w:r>
              <w:t xml:space="preserve">9.22</w:t>
            </w:r>
          </w:p>
        </w:tc>
        <w:tc>
          <w:tcPr>
            <w:tcW w:type="dxa" w:w="692"/>
            <w:tcMar>
              <w:top w:w="0" w:type="dxa"/>
              <w:bottom w:w="0" w:type="dxa"/>
              <w:left w:w="0" w:type="dxa"/>
              <w:right w:w="0" w:type="dxa"/>
            </w:tcMar>
          </w:tcPr>
          <w:p>
            <w:pPr>
              <w:pStyle w:val="Compact"/>
              <w:jc w:val="right"/>
            </w:pPr>
            <w:r>
              <w:t xml:space="preserve">2.35</w:t>
            </w:r>
          </w:p>
        </w:tc>
      </w:tr>
    </w:tbl>
    <w:p>
      <w:pPr>
        <w:pStyle w:val="BodyText"/>
      </w:pPr>
      <w:r>
        <w:t xml:space="preserve">Prior to fine-tuning, we screen candidate tokenizers for subword fragmentation across 2</w:t>
      </w:r>
      <w:r>
        <w:t xml:space="preserve">,</w:t>
      </w:r>
      <w:r>
        <w:t xml:space="preserve">000 sampled tickets per language track (Table I). Parameter scale does not compensate for severe subword fragmentation: Western BPE tokenizers (Llama 3.2 and Qwen 3) shred native Indic text into 6 to 11 subwords per word, inflating sequence lengths and degrading attention efficiency. While specialized vocabulary extension in SinLlama [17] achieves high compression on native Sinhala (1.28 tokens per word), its lack of Dravidian vocabulary causes Tamil fertility to collapse to 11.46, preventing trilingual deployment. The magnitude of these penalties is consistent with survey figures of 8.83 to 12.86 subword tokens per word for Sinhala against roughly one for English [14]. In contrast, Gemma 3 provides balanced fertility across all five tracks (1.18 to 2.24) with zero control character loss.</w:t>
      </w:r>
    </w:p>
    <w:bookmarkEnd w:id="22"/>
    <w:bookmarkStart w:id="23" w:name="b.-operational-evaluation-metrics"/>
    <w:p>
      <w:pPr>
        <w:pStyle w:val="Heading2"/>
      </w:pPr>
      <w:r>
        <w:t xml:space="preserve">B. Operational Evaluation Metrics</w:t>
      </w:r>
    </w:p>
    <w:p>
      <w:pPr>
        <w:pStyle w:val="FirstParagraph"/>
      </w:pPr>
      <w:r>
        <w:t xml:space="preserve">Standard classification accuracy is deeply misleading under severe class imbalance. In our banking corpus, customer sentiment exhibits severe class skew with 93.7% Neutral and only 6.3% Negative tickets (6.33% on the test split, 195 of 3</w:t>
      </w:r>
      <w:r>
        <w:t xml:space="preserve">,</w:t>
      </w:r>
      <w:r>
        <w:t xml:space="preserve">079 tickets). A naive majority class baseline predicting always Neutral achieves 93.7% accuracy while scoring exactly 0.0000 Negative-F</w:t>
      </w:r>
      <w:r>
        <w:rPr>
          <w:vertAlign w:val="subscript"/>
        </w:rPr>
        <w:t xml:space="preserve">1</w:t>
      </w:r>
      <w:r>
        <w:t xml:space="preserve">, failing to detect every dissatisfied customer. In our empirical class-balancing experiments, the unweighted empirical risk baseline posted the highest raw accuracy (0.9281) but the lowest Negative-F</w:t>
      </w:r>
      <w:r>
        <w:rPr>
          <w:vertAlign w:val="subscript"/>
        </w:rPr>
        <w:t xml:space="preserve">1</w:t>
      </w:r>
      <w:r>
        <w:t xml:space="preserve"> </w:t>
      </w:r>
      <w:r>
        <w:t xml:space="preserve">(0.3171), demonstrating that accuracy actively penalizes models that attempt to learn minority escalation signals. Consequently, we discard accuracy and adopt Negative-F</w:t>
      </w:r>
      <w:r>
        <w:rPr>
          <w:vertAlign w:val="subscript"/>
        </w:rPr>
        <w:t xml:space="preserve">1</w:t>
      </w:r>
      <w:r>
        <w:t xml:space="preserve"> </w:t>
      </w:r>
      <w:r>
        <w:t xml:space="preserve">as the headline evaluation metric for sentiment.</w:t>
      </w:r>
    </w:p>
    <w:p>
      <w:pPr>
        <w:pStyle w:val="BodyText"/>
      </w:pPr>
      <w:r>
        <w:t xml:space="preserve">For operational priority, tickets follow an inverse severity distribution (53.5% Low, 36.6% Medium, and 9.8% High). We report macro-averaged</w:t>
      </w:r>
      <w:r>
        <w:t xml:space="preserve"> </w:t>
      </w:r>
      <m:oMath>
        <m:sSub>
          <m:e>
            <m:r>
              <m:t>F</m:t>
            </m:r>
          </m:e>
          <m:sub>
            <m:r>
              <m:t>1</m:t>
            </m:r>
          </m:sub>
        </m:sSub>
      </m:oMath>
      <w:r>
        <w:t xml:space="preserve"> </w:t>
      </w:r>
      <w:r>
        <w:t xml:space="preserve">across all three tiers so that performance on the critical High priority escalation tier is weighted equally with the dominant Low priority class (majority class baseline scores 0.2361 macro-F</w:t>
      </w:r>
      <w:r>
        <w:rPr>
          <w:vertAlign w:val="subscript"/>
        </w:rPr>
        <w:t xml:space="preserve">1</w:t>
      </w:r>
      <w:r>
        <w:t xml:space="preserve">). For intent, we evaluate 77 category macro-averaged</w:t>
      </w:r>
      <w:r>
        <w:t xml:space="preserve"> </w:t>
      </w:r>
      <m:oMath>
        <m:sSub>
          <m:e>
            <m:r>
              <m:t>F</m:t>
            </m:r>
          </m:e>
          <m:sub>
            <m:r>
              <m:t>1</m:t>
            </m:r>
          </m:sub>
        </m:sSub>
      </m:oMath>
      <w:r>
        <w:t xml:space="preserve"> </w:t>
      </w:r>
      <w:r>
        <w:t xml:space="preserve">across all transaction intents to ensure uniform assessment across both frequent and rare query types.</w:t>
      </w:r>
    </w:p>
    <w:bookmarkEnd w:id="23"/>
    <w:bookmarkStart w:id="24" w:name="c.-classical-baseline-benchmark"/>
    <w:p>
      <w:pPr>
        <w:pStyle w:val="Heading2"/>
      </w:pPr>
      <w:r>
        <w:t xml:space="preserve">C. Classical Baseline Benchmark</w:t>
      </w:r>
    </w:p>
    <w:p>
      <w:pPr>
        <w:pStyle w:val="TableCaption"/>
      </w:pPr>
      <w:r>
        <w:t xml:space="preserve">Table II. Classical TF–IDF baselines. Bal.: class-balancing arm selected on</w:t>
      </w:r>
      <w:r>
        <w:t xml:space="preserve"> </w:t>
      </w:r>
      <w:r>
        <w:t xml:space="preserve">dev (– none, CW class weight, ROS oversampling). Best per column in bold.</w:t>
      </w:r>
    </w:p>
    <w:tbl>
      <w:tblPr>
        <w:tblCellMar>
          <w:top w:w="15" w:type="dxa"/>
          <w:bottom w:w="15" w:type="dxa"/>
          <w:left w:w="20" w:type="dxa"/>
          <w:right w:w="20" w:type="dxa"/>
        </w:tblCellMar>
        <w:tblStyle w:val="Table"/>
        <w:tblW w:w="4960" w:type="dxa"/>
        <w:tblLook w:firstRow="1" w:lastRow="0" w:firstColumn="0" w:lastColumn="0" w:noHBand="0" w:noVBand="0" w:val="0020"/>
        <w:tblCaption w:val="Table II. Classical TF–IDF baselines. Bal.: class-balancing arm selected on dev (– none, CW class weight, ROS oversampling). Best per column in bold."/>
        <w:tblLayout w:type="fixed"/>
      </w:tblPr>
      <w:tblGrid>
        <w:gridCol w:w="1150"/>
        <w:gridCol w:w="350"/>
        <w:gridCol w:w="575"/>
        <w:gridCol w:w="575"/>
        <w:gridCol w:w="575"/>
        <w:gridCol w:w="575"/>
        <w:gridCol w:w="575"/>
        <w:gridCol w:w="575"/>
      </w:tblGrid>
      <w:tr>
        <w:trPr>
          <w:tblHeader w:val="on"/>
        </w:trPr>
        <w:tc>
          <w:tcPr>
            <w:tcW w:type="dxa" w:w="1150"/>
            <w:tcMar>
              <w:top w:w="0" w:type="dxa"/>
              <w:bottom w:w="0" w:type="dxa"/>
              <w:left w:w="0" w:type="dxa"/>
              <w:right w:w="0" w:type="dxa"/>
            </w:tcMar>
          </w:tcPr>
          <w:p>
            <w:pPr>
              <w:pStyle w:val="Compact"/>
              <w:jc w:val="left"/>
              <w:keepNext/>
            </w:pPr>
            <w:r>
              <w:t xml:space="preserve">Model</w:t>
            </w:r>
          </w:p>
        </w:tc>
        <w:tc>
          <w:tcPr>
            <w:tcW w:type="dxa" w:w="350"/>
            <w:tcMar>
              <w:top w:w="0" w:type="dxa"/>
              <w:bottom w:w="0" w:type="dxa"/>
              <w:left w:w="0" w:type="dxa"/>
              <w:right w:w="0" w:type="dxa"/>
            </w:tcMar>
          </w:tcPr>
          <w:p>
            <w:pPr>
              <w:pStyle w:val="Compact"/>
              <w:jc w:val="left"/>
              <w:keepNext/>
            </w:pPr>
            <w:r>
              <w:t xml:space="preserve">Bal.</w:t>
            </w:r>
          </w:p>
        </w:tc>
        <w:tc>
          <w:tcPr>
            <w:tcW w:type="dxa" w:w="575"/>
            <w:tcMar>
              <w:top w:w="0" w:type="dxa"/>
              <w:bottom w:w="0" w:type="dxa"/>
              <w:left w:w="0" w:type="dxa"/>
              <w:right w:w="0" w:type="dxa"/>
            </w:tcMar>
          </w:tcPr>
          <w:p>
            <w:pPr>
              <w:pStyle w:val="Compact"/>
              <w:jc w:val="right"/>
              <w:keepNext/>
            </w:pPr>
            <w:r>
              <w:t xml:space="preserve">English</w:t>
            </w:r>
          </w:p>
        </w:tc>
        <w:tc>
          <w:tcPr>
            <w:tcW w:type="dxa" w:w="575"/>
            <w:tcMar>
              <w:top w:w="0" w:type="dxa"/>
              <w:bottom w:w="0" w:type="dxa"/>
              <w:left w:w="0" w:type="dxa"/>
              <w:right w:w="0" w:type="dxa"/>
            </w:tcMar>
          </w:tcPr>
          <w:p>
            <w:pPr>
              <w:pStyle w:val="Compact"/>
              <w:jc w:val="right"/>
              <w:keepNext/>
            </w:pPr>
            <w:r>
              <w:t xml:space="preserve">Sinhala</w:t>
            </w:r>
          </w:p>
        </w:tc>
        <w:tc>
          <w:tcPr>
            <w:tcW w:type="dxa" w:w="575"/>
            <w:tcMar>
              <w:top w:w="0" w:type="dxa"/>
              <w:bottom w:w="0" w:type="dxa"/>
              <w:left w:w="0" w:type="dxa"/>
              <w:right w:w="0" w:type="dxa"/>
            </w:tcMar>
          </w:tcPr>
          <w:p>
            <w:pPr>
              <w:pStyle w:val="Compact"/>
              <w:jc w:val="right"/>
              <w:keepNext/>
            </w:pPr>
            <w:r>
              <w:t xml:space="preserve">Singlish</w:t>
            </w:r>
          </w:p>
        </w:tc>
        <w:tc>
          <w:tcPr>
            <w:tcW w:type="dxa" w:w="575"/>
            <w:tcMar>
              <w:top w:w="0" w:type="dxa"/>
              <w:bottom w:w="0" w:type="dxa"/>
              <w:left w:w="0" w:type="dxa"/>
              <w:right w:w="0" w:type="dxa"/>
            </w:tcMar>
          </w:tcPr>
          <w:p>
            <w:pPr>
              <w:pStyle w:val="Compact"/>
              <w:jc w:val="right"/>
              <w:keepNext/>
            </w:pPr>
            <w:r>
              <w:t xml:space="preserve">Tamil</w:t>
            </w:r>
          </w:p>
        </w:tc>
        <w:tc>
          <w:tcPr>
            <w:tcW w:type="dxa" w:w="575"/>
            <w:tcMar>
              <w:top w:w="0" w:type="dxa"/>
              <w:bottom w:w="0" w:type="dxa"/>
              <w:left w:w="0" w:type="dxa"/>
              <w:right w:w="0" w:type="dxa"/>
            </w:tcMar>
          </w:tcPr>
          <w:p>
            <w:pPr>
              <w:pStyle w:val="Compact"/>
              <w:jc w:val="right"/>
              <w:keepNext/>
            </w:pPr>
            <w:r>
              <w:t xml:space="preserve">Tanglish</w:t>
            </w:r>
          </w:p>
        </w:tc>
        <w:tc>
          <w:tcPr>
            <w:tcW w:type="dxa" w:w="575"/>
            <w:tcMar>
              <w:top w:w="0" w:type="dxa"/>
              <w:bottom w:w="0" w:type="dxa"/>
              <w:left w:w="0" w:type="dxa"/>
              <w:right w:w="0" w:type="dxa"/>
            </w:tcMar>
          </w:tcPr>
          <w:p>
            <w:pPr>
              <w:pStyle w:val="Compact"/>
              <w:jc w:val="right"/>
              <w:keepNext/>
            </w:pPr>
            <w:r>
              <w:t xml:space="preserve">Pooled</w:t>
            </w:r>
          </w:p>
        </w:tc>
      </w:tr>
      <w:tr>
        <w:tc>
          <w:tcPr>
            <w:gridSpan w:val="8"/>
            <w:tcW w:type="dxa" w:w="4950"/>
            <w:tcMar>
              <w:top w:w="0" w:type="dxa"/>
              <w:bottom w:w="0" w:type="dxa"/>
              <w:left w:w="0" w:type="dxa"/>
              <w:right w:w="0" w:type="dxa"/>
            </w:tcMar>
          </w:tcPr>
          <w:p>
            <w:pPr>
              <w:pStyle w:val="Compact"/>
              <w:jc w:val="left"/>
            </w:pPr>
            <w:r>
              <w:rPr>
                <w:i/>
                <w:iCs/>
              </w:rPr>
              <w:t xml:space="preserve">Intent (macro-F</w:t>
            </w:r>
            <w:r>
              <w:rPr>
                <w:i/>
                <w:iCs/>
                <w:vertAlign w:val="subscript"/>
              </w:rPr>
              <w:t xml:space="preserve">1</w:t>
            </w:r>
            <w:r>
              <w:rPr>
                <w:i/>
                <w:iCs/>
              </w:rPr>
              <w:t xml:space="preserve">, 77 classes)</w:t>
            </w:r>
          </w:p>
        </w:tc>
      </w:tr>
      <w:tr>
        <w:tc>
          <w:tcPr>
            <w:tcW w:type="dxa" w:w="1150"/>
            <w:tcMar>
              <w:top w:w="0" w:type="dxa"/>
              <w:bottom w:w="0" w:type="dxa"/>
              <w:left w:w="0" w:type="dxa"/>
              <w:right w:w="0" w:type="dxa"/>
            </w:tcMar>
          </w:tcPr>
          <w:p>
            <w:pPr>
              <w:pStyle w:val="Compact"/>
              <w:jc w:val="left"/>
            </w:pPr>
            <w:r>
              <w:t xml:space="preserve">Linear SVM</w:t>
            </w:r>
          </w:p>
        </w:tc>
        <w:tc>
          <w:tcPr>
            <w:tcW w:type="dxa" w:w="350"/>
            <w:tcMar>
              <w:top w:w="0" w:type="dxa"/>
              <w:bottom w:w="0" w:type="dxa"/>
              <w:left w:w="0" w:type="dxa"/>
              <w:right w:w="0" w:type="dxa"/>
            </w:tcMar>
          </w:tcPr>
          <w:p>
            <w:pPr>
              <w:pStyle w:val="Compact"/>
              <w:jc w:val="left"/>
            </w:pPr>
            <w:r>
              <w:t xml:space="preserve">–</w:t>
            </w:r>
          </w:p>
        </w:tc>
        <w:tc>
          <w:tcPr>
            <w:tcW w:type="dxa" w:w="575"/>
            <w:tcMar>
              <w:top w:w="0" w:type="dxa"/>
              <w:bottom w:w="0" w:type="dxa"/>
              <w:left w:w="0" w:type="dxa"/>
              <w:right w:w="0" w:type="dxa"/>
            </w:tcMar>
          </w:tcPr>
          <w:p>
            <w:pPr>
              <w:pStyle w:val="Compact"/>
              <w:jc w:val="right"/>
            </w:pPr>
            <w:r>
              <w:rPr>
                <w:b/>
                <w:bCs/>
              </w:rPr>
              <w:t xml:space="preserve">0.9180</w:t>
            </w:r>
          </w:p>
        </w:tc>
        <w:tc>
          <w:tcPr>
            <w:tcW w:type="dxa" w:w="575"/>
            <w:tcMar>
              <w:top w:w="0" w:type="dxa"/>
              <w:bottom w:w="0" w:type="dxa"/>
              <w:left w:w="0" w:type="dxa"/>
              <w:right w:w="0" w:type="dxa"/>
            </w:tcMar>
          </w:tcPr>
          <w:p>
            <w:pPr>
              <w:pStyle w:val="Compact"/>
              <w:jc w:val="right"/>
            </w:pPr>
            <w:r>
              <w:rPr>
                <w:b/>
                <w:bCs/>
              </w:rPr>
              <w:t xml:space="preserve">0.8666</w:t>
            </w:r>
          </w:p>
        </w:tc>
        <w:tc>
          <w:tcPr>
            <w:tcW w:type="dxa" w:w="575"/>
            <w:tcMar>
              <w:top w:w="0" w:type="dxa"/>
              <w:bottom w:w="0" w:type="dxa"/>
              <w:left w:w="0" w:type="dxa"/>
              <w:right w:w="0" w:type="dxa"/>
            </w:tcMar>
          </w:tcPr>
          <w:p>
            <w:pPr>
              <w:pStyle w:val="Compact"/>
              <w:jc w:val="right"/>
            </w:pPr>
            <w:r>
              <w:rPr>
                <w:b/>
                <w:bCs/>
              </w:rPr>
              <w:t xml:space="preserve">0.8793</w:t>
            </w:r>
          </w:p>
        </w:tc>
        <w:tc>
          <w:tcPr>
            <w:tcW w:type="dxa" w:w="575"/>
            <w:tcMar>
              <w:top w:w="0" w:type="dxa"/>
              <w:bottom w:w="0" w:type="dxa"/>
              <w:left w:w="0" w:type="dxa"/>
              <w:right w:w="0" w:type="dxa"/>
            </w:tcMar>
          </w:tcPr>
          <w:p>
            <w:pPr>
              <w:pStyle w:val="Compact"/>
              <w:jc w:val="right"/>
            </w:pPr>
            <w:r>
              <w:rPr>
                <w:b/>
                <w:bCs/>
              </w:rPr>
              <w:t xml:space="preserve">0.8528</w:t>
            </w:r>
          </w:p>
        </w:tc>
        <w:tc>
          <w:tcPr>
            <w:tcW w:type="dxa" w:w="575"/>
            <w:tcMar>
              <w:top w:w="0" w:type="dxa"/>
              <w:bottom w:w="0" w:type="dxa"/>
              <w:left w:w="0" w:type="dxa"/>
              <w:right w:w="0" w:type="dxa"/>
            </w:tcMar>
          </w:tcPr>
          <w:p>
            <w:pPr>
              <w:pStyle w:val="Compact"/>
              <w:jc w:val="right"/>
            </w:pPr>
            <w:r>
              <w:rPr>
                <w:b/>
                <w:bCs/>
              </w:rPr>
              <w:t xml:space="preserve">0.6127</w:t>
            </w:r>
          </w:p>
        </w:tc>
        <w:tc>
          <w:tcPr>
            <w:tcW w:type="dxa" w:w="575"/>
            <w:tcMar>
              <w:top w:w="0" w:type="dxa"/>
              <w:bottom w:w="0" w:type="dxa"/>
              <w:left w:w="0" w:type="dxa"/>
              <w:right w:w="0" w:type="dxa"/>
            </w:tcMar>
          </w:tcPr>
          <w:p>
            <w:pPr>
              <w:pStyle w:val="Compact"/>
              <w:jc w:val="right"/>
            </w:pPr>
            <w:r>
              <w:rPr>
                <w:b/>
                <w:bCs/>
              </w:rPr>
              <w:t xml:space="preserve">0.8308</w:t>
            </w:r>
          </w:p>
        </w:tc>
      </w:tr>
      <w:tr>
        <w:tc>
          <w:tcPr>
            <w:tcW w:type="dxa" w:w="1150"/>
            <w:tcMar>
              <w:top w:w="0" w:type="dxa"/>
              <w:bottom w:w="0" w:type="dxa"/>
              <w:left w:w="0" w:type="dxa"/>
              <w:right w:w="0" w:type="dxa"/>
            </w:tcMar>
          </w:tcPr>
          <w:p>
            <w:pPr>
              <w:pStyle w:val="Compact"/>
              <w:jc w:val="left"/>
            </w:pPr>
            <w:r>
              <w:t xml:space="preserve">Logistic Regression</w:t>
            </w:r>
          </w:p>
        </w:tc>
        <w:tc>
          <w:tcPr>
            <w:tcW w:type="dxa" w:w="350"/>
            <w:tcMar>
              <w:top w:w="0" w:type="dxa"/>
              <w:bottom w:w="0" w:type="dxa"/>
              <w:left w:w="0" w:type="dxa"/>
              <w:right w:w="0" w:type="dxa"/>
            </w:tcMar>
          </w:tcPr>
          <w:p>
            <w:pPr>
              <w:pStyle w:val="Compact"/>
              <w:jc w:val="left"/>
            </w:pPr>
            <w:r>
              <w:t xml:space="preserve">–</w:t>
            </w:r>
          </w:p>
        </w:tc>
        <w:tc>
          <w:tcPr>
            <w:tcW w:type="dxa" w:w="575"/>
            <w:tcMar>
              <w:top w:w="0" w:type="dxa"/>
              <w:bottom w:w="0" w:type="dxa"/>
              <w:left w:w="0" w:type="dxa"/>
              <w:right w:w="0" w:type="dxa"/>
            </w:tcMar>
          </w:tcPr>
          <w:p>
            <w:pPr>
              <w:pStyle w:val="Compact"/>
              <w:jc w:val="right"/>
            </w:pPr>
            <w:r>
              <w:t xml:space="preserve">0.9096</w:t>
            </w:r>
          </w:p>
        </w:tc>
        <w:tc>
          <w:tcPr>
            <w:tcW w:type="dxa" w:w="575"/>
            <w:tcMar>
              <w:top w:w="0" w:type="dxa"/>
              <w:bottom w:w="0" w:type="dxa"/>
              <w:left w:w="0" w:type="dxa"/>
              <w:right w:w="0" w:type="dxa"/>
            </w:tcMar>
          </w:tcPr>
          <w:p>
            <w:pPr>
              <w:pStyle w:val="Compact"/>
              <w:jc w:val="right"/>
            </w:pPr>
            <w:r>
              <w:t xml:space="preserve">0.8595</w:t>
            </w:r>
          </w:p>
        </w:tc>
        <w:tc>
          <w:tcPr>
            <w:tcW w:type="dxa" w:w="575"/>
            <w:tcMar>
              <w:top w:w="0" w:type="dxa"/>
              <w:bottom w:w="0" w:type="dxa"/>
              <w:left w:w="0" w:type="dxa"/>
              <w:right w:w="0" w:type="dxa"/>
            </w:tcMar>
          </w:tcPr>
          <w:p>
            <w:pPr>
              <w:pStyle w:val="Compact"/>
              <w:jc w:val="right"/>
            </w:pPr>
            <w:r>
              <w:t xml:space="preserve">0.8751</w:t>
            </w:r>
          </w:p>
        </w:tc>
        <w:tc>
          <w:tcPr>
            <w:tcW w:type="dxa" w:w="575"/>
            <w:tcMar>
              <w:top w:w="0" w:type="dxa"/>
              <w:bottom w:w="0" w:type="dxa"/>
              <w:left w:w="0" w:type="dxa"/>
              <w:right w:w="0" w:type="dxa"/>
            </w:tcMar>
          </w:tcPr>
          <w:p>
            <w:pPr>
              <w:pStyle w:val="Compact"/>
              <w:jc w:val="right"/>
            </w:pPr>
            <w:r>
              <w:t xml:space="preserve">0.8302</w:t>
            </w:r>
          </w:p>
        </w:tc>
        <w:tc>
          <w:tcPr>
            <w:tcW w:type="dxa" w:w="575"/>
            <w:tcMar>
              <w:top w:w="0" w:type="dxa"/>
              <w:bottom w:w="0" w:type="dxa"/>
              <w:left w:w="0" w:type="dxa"/>
              <w:right w:w="0" w:type="dxa"/>
            </w:tcMar>
          </w:tcPr>
          <w:p>
            <w:pPr>
              <w:pStyle w:val="Compact"/>
              <w:jc w:val="right"/>
            </w:pPr>
            <w:r>
              <w:t xml:space="preserve">0.5854</w:t>
            </w:r>
          </w:p>
        </w:tc>
        <w:tc>
          <w:tcPr>
            <w:tcW w:type="dxa" w:w="575"/>
            <w:tcMar>
              <w:top w:w="0" w:type="dxa"/>
              <w:bottom w:w="0" w:type="dxa"/>
              <w:left w:w="0" w:type="dxa"/>
              <w:right w:w="0" w:type="dxa"/>
            </w:tcMar>
          </w:tcPr>
          <w:p>
            <w:pPr>
              <w:pStyle w:val="Compact"/>
              <w:jc w:val="right"/>
            </w:pPr>
            <w:r>
              <w:t xml:space="preserve">0.8189</w:t>
            </w:r>
          </w:p>
        </w:tc>
      </w:tr>
      <w:tr>
        <w:tc>
          <w:tcPr>
            <w:tcW w:type="dxa" w:w="1150"/>
            <w:tcMar>
              <w:top w:w="0" w:type="dxa"/>
              <w:bottom w:w="0" w:type="dxa"/>
              <w:left w:w="0" w:type="dxa"/>
              <w:right w:w="0" w:type="dxa"/>
            </w:tcMar>
          </w:tcPr>
          <w:p>
            <w:pPr>
              <w:pStyle w:val="Compact"/>
              <w:jc w:val="left"/>
            </w:pPr>
            <w:r>
              <w:t xml:space="preserve">SGD (mod. Huber)</w:t>
            </w:r>
          </w:p>
        </w:tc>
        <w:tc>
          <w:tcPr>
            <w:tcW w:type="dxa" w:w="350"/>
            <w:tcMar>
              <w:top w:w="0" w:type="dxa"/>
              <w:bottom w:w="0" w:type="dxa"/>
              <w:left w:w="0" w:type="dxa"/>
              <w:right w:w="0" w:type="dxa"/>
            </w:tcMar>
          </w:tcPr>
          <w:p>
            <w:pPr>
              <w:pStyle w:val="Compact"/>
              <w:jc w:val="left"/>
            </w:pPr>
            <w:r>
              <w:t xml:space="preserve">–</w:t>
            </w:r>
          </w:p>
        </w:tc>
        <w:tc>
          <w:tcPr>
            <w:tcW w:type="dxa" w:w="575"/>
            <w:tcMar>
              <w:top w:w="0" w:type="dxa"/>
              <w:bottom w:w="0" w:type="dxa"/>
              <w:left w:w="0" w:type="dxa"/>
              <w:right w:w="0" w:type="dxa"/>
            </w:tcMar>
          </w:tcPr>
          <w:p>
            <w:pPr>
              <w:pStyle w:val="Compact"/>
              <w:jc w:val="right"/>
            </w:pPr>
            <w:r>
              <w:t xml:space="preserve">0.9079</w:t>
            </w:r>
          </w:p>
        </w:tc>
        <w:tc>
          <w:tcPr>
            <w:tcW w:type="dxa" w:w="575"/>
            <w:tcMar>
              <w:top w:w="0" w:type="dxa"/>
              <w:bottom w:w="0" w:type="dxa"/>
              <w:left w:w="0" w:type="dxa"/>
              <w:right w:w="0" w:type="dxa"/>
            </w:tcMar>
          </w:tcPr>
          <w:p>
            <w:pPr>
              <w:pStyle w:val="Compact"/>
              <w:jc w:val="right"/>
            </w:pPr>
            <w:r>
              <w:t xml:space="preserve">0.8489</w:t>
            </w:r>
          </w:p>
        </w:tc>
        <w:tc>
          <w:tcPr>
            <w:tcW w:type="dxa" w:w="575"/>
            <w:tcMar>
              <w:top w:w="0" w:type="dxa"/>
              <w:bottom w:w="0" w:type="dxa"/>
              <w:left w:w="0" w:type="dxa"/>
              <w:right w:w="0" w:type="dxa"/>
            </w:tcMar>
          </w:tcPr>
          <w:p>
            <w:pPr>
              <w:pStyle w:val="Compact"/>
              <w:jc w:val="right"/>
            </w:pPr>
            <w:r>
              <w:t xml:space="preserve">0.8646</w:t>
            </w:r>
          </w:p>
        </w:tc>
        <w:tc>
          <w:tcPr>
            <w:tcW w:type="dxa" w:w="575"/>
            <w:tcMar>
              <w:top w:w="0" w:type="dxa"/>
              <w:bottom w:w="0" w:type="dxa"/>
              <w:left w:w="0" w:type="dxa"/>
              <w:right w:w="0" w:type="dxa"/>
            </w:tcMar>
          </w:tcPr>
          <w:p>
            <w:pPr>
              <w:pStyle w:val="Compact"/>
              <w:jc w:val="right"/>
            </w:pPr>
            <w:r>
              <w:t xml:space="preserve">0.8305</w:t>
            </w:r>
          </w:p>
        </w:tc>
        <w:tc>
          <w:tcPr>
            <w:tcW w:type="dxa" w:w="575"/>
            <w:tcMar>
              <w:top w:w="0" w:type="dxa"/>
              <w:bottom w:w="0" w:type="dxa"/>
              <w:left w:w="0" w:type="dxa"/>
              <w:right w:w="0" w:type="dxa"/>
            </w:tcMar>
          </w:tcPr>
          <w:p>
            <w:pPr>
              <w:pStyle w:val="Compact"/>
              <w:jc w:val="right"/>
            </w:pPr>
            <w:r>
              <w:t xml:space="preserve">0.5669</w:t>
            </w:r>
          </w:p>
        </w:tc>
        <w:tc>
          <w:tcPr>
            <w:tcW w:type="dxa" w:w="575"/>
            <w:tcMar>
              <w:top w:w="0" w:type="dxa"/>
              <w:bottom w:w="0" w:type="dxa"/>
              <w:left w:w="0" w:type="dxa"/>
              <w:right w:w="0" w:type="dxa"/>
            </w:tcMar>
          </w:tcPr>
          <w:p>
            <w:pPr>
              <w:pStyle w:val="Compact"/>
              <w:jc w:val="right"/>
            </w:pPr>
            <w:r>
              <w:t xml:space="preserve">0.8115</w:t>
            </w:r>
          </w:p>
        </w:tc>
      </w:tr>
      <w:tr>
        <w:tc>
          <w:tcPr>
            <w:tcW w:type="dxa" w:w="1150"/>
            <w:tcMar>
              <w:top w:w="0" w:type="dxa"/>
              <w:bottom w:w="0" w:type="dxa"/>
              <w:left w:w="0" w:type="dxa"/>
              <w:right w:w="0" w:type="dxa"/>
            </w:tcMar>
          </w:tcPr>
          <w:p>
            <w:pPr>
              <w:pStyle w:val="Compact"/>
              <w:jc w:val="left"/>
            </w:pPr>
            <w:r>
              <w:t xml:space="preserve">Complement NB</w:t>
            </w:r>
          </w:p>
        </w:tc>
        <w:tc>
          <w:tcPr>
            <w:tcW w:type="dxa" w:w="350"/>
            <w:tcMar>
              <w:top w:w="0" w:type="dxa"/>
              <w:bottom w:w="0" w:type="dxa"/>
              <w:left w:w="0" w:type="dxa"/>
              <w:right w:w="0" w:type="dxa"/>
            </w:tcMar>
          </w:tcPr>
          <w:p>
            <w:pPr>
              <w:pStyle w:val="Compact"/>
              <w:jc w:val="left"/>
            </w:pPr>
            <w:r>
              <w:t xml:space="preserve">–</w:t>
            </w:r>
          </w:p>
        </w:tc>
        <w:tc>
          <w:tcPr>
            <w:tcW w:type="dxa" w:w="575"/>
            <w:tcMar>
              <w:top w:w="0" w:type="dxa"/>
              <w:bottom w:w="0" w:type="dxa"/>
              <w:left w:w="0" w:type="dxa"/>
              <w:right w:w="0" w:type="dxa"/>
            </w:tcMar>
          </w:tcPr>
          <w:p>
            <w:pPr>
              <w:pStyle w:val="Compact"/>
              <w:jc w:val="right"/>
            </w:pPr>
            <w:r>
              <w:t xml:space="preserve">0.7772</w:t>
            </w:r>
          </w:p>
        </w:tc>
        <w:tc>
          <w:tcPr>
            <w:tcW w:type="dxa" w:w="575"/>
            <w:tcMar>
              <w:top w:w="0" w:type="dxa"/>
              <w:bottom w:w="0" w:type="dxa"/>
              <w:left w:w="0" w:type="dxa"/>
              <w:right w:w="0" w:type="dxa"/>
            </w:tcMar>
          </w:tcPr>
          <w:p>
            <w:pPr>
              <w:pStyle w:val="Compact"/>
              <w:jc w:val="right"/>
            </w:pPr>
            <w:r>
              <w:t xml:space="preserve">0.6732</w:t>
            </w:r>
          </w:p>
        </w:tc>
        <w:tc>
          <w:tcPr>
            <w:tcW w:type="dxa" w:w="575"/>
            <w:tcMar>
              <w:top w:w="0" w:type="dxa"/>
              <w:bottom w:w="0" w:type="dxa"/>
              <w:left w:w="0" w:type="dxa"/>
              <w:right w:w="0" w:type="dxa"/>
            </w:tcMar>
          </w:tcPr>
          <w:p>
            <w:pPr>
              <w:pStyle w:val="Compact"/>
              <w:jc w:val="right"/>
            </w:pPr>
            <w:r>
              <w:t xml:space="preserve">0.7194</w:t>
            </w:r>
          </w:p>
        </w:tc>
        <w:tc>
          <w:tcPr>
            <w:tcW w:type="dxa" w:w="575"/>
            <w:tcMar>
              <w:top w:w="0" w:type="dxa"/>
              <w:bottom w:w="0" w:type="dxa"/>
              <w:left w:w="0" w:type="dxa"/>
              <w:right w:w="0" w:type="dxa"/>
            </w:tcMar>
          </w:tcPr>
          <w:p>
            <w:pPr>
              <w:pStyle w:val="Compact"/>
              <w:jc w:val="right"/>
            </w:pPr>
            <w:r>
              <w:t xml:space="preserve">0.7234</w:t>
            </w:r>
          </w:p>
        </w:tc>
        <w:tc>
          <w:tcPr>
            <w:tcW w:type="dxa" w:w="575"/>
            <w:tcMar>
              <w:top w:w="0" w:type="dxa"/>
              <w:bottom w:w="0" w:type="dxa"/>
              <w:left w:w="0" w:type="dxa"/>
              <w:right w:w="0" w:type="dxa"/>
            </w:tcMar>
          </w:tcPr>
          <w:p>
            <w:pPr>
              <w:pStyle w:val="Compact"/>
              <w:jc w:val="right"/>
            </w:pPr>
            <w:r>
              <w:t xml:space="preserve">0.4925</w:t>
            </w:r>
          </w:p>
        </w:tc>
        <w:tc>
          <w:tcPr>
            <w:tcW w:type="dxa" w:w="575"/>
            <w:tcMar>
              <w:top w:w="0" w:type="dxa"/>
              <w:bottom w:w="0" w:type="dxa"/>
              <w:left w:w="0" w:type="dxa"/>
              <w:right w:w="0" w:type="dxa"/>
            </w:tcMar>
          </w:tcPr>
          <w:p>
            <w:pPr>
              <w:pStyle w:val="Compact"/>
              <w:jc w:val="right"/>
            </w:pPr>
            <w:r>
              <w:t xml:space="preserve">0.6792</w:t>
            </w:r>
          </w:p>
        </w:tc>
      </w:tr>
      <w:tr>
        <w:tc>
          <w:tcPr>
            <w:gridSpan w:val="8"/>
            <w:tcW w:type="dxa" w:w="4950"/>
            <w:tcMar>
              <w:top w:w="0" w:type="dxa"/>
              <w:bottom w:w="0" w:type="dxa"/>
              <w:left w:w="0" w:type="dxa"/>
              <w:right w:w="0" w:type="dxa"/>
            </w:tcMar>
          </w:tcPr>
          <w:p>
            <w:pPr>
              <w:pStyle w:val="Compact"/>
              <w:jc w:val="left"/>
            </w:pPr>
            <w:r>
              <w:rPr>
                <w:i/>
                <w:iCs/>
              </w:rPr>
              <w:t xml:space="preserve">Sentiment (Negative-F</w:t>
            </w:r>
            <w:r>
              <w:rPr>
                <w:i/>
                <w:iCs/>
                <w:vertAlign w:val="subscript"/>
              </w:rPr>
              <w:t xml:space="preserve">1</w:t>
            </w:r>
            <w:r>
              <w:rPr>
                <w:i/>
                <w:iCs/>
              </w:rPr>
              <w:t xml:space="preserve">)</w:t>
            </w:r>
          </w:p>
        </w:tc>
      </w:tr>
      <w:tr>
        <w:tc>
          <w:tcPr>
            <w:tcW w:type="dxa" w:w="1150"/>
            <w:tcMar>
              <w:top w:w="0" w:type="dxa"/>
              <w:bottom w:w="0" w:type="dxa"/>
              <w:left w:w="0" w:type="dxa"/>
              <w:right w:w="0" w:type="dxa"/>
            </w:tcMar>
          </w:tcPr>
          <w:p>
            <w:pPr>
              <w:pStyle w:val="Compact"/>
              <w:jc w:val="left"/>
            </w:pPr>
            <w:r>
              <w:t xml:space="preserve">Linear SVM</w:t>
            </w:r>
          </w:p>
        </w:tc>
        <w:tc>
          <w:tcPr>
            <w:tcW w:type="dxa" w:w="350"/>
            <w:tcMar>
              <w:top w:w="0" w:type="dxa"/>
              <w:bottom w:w="0" w:type="dxa"/>
              <w:left w:w="0" w:type="dxa"/>
              <w:right w:w="0" w:type="dxa"/>
            </w:tcMar>
          </w:tcPr>
          <w:p>
            <w:pPr>
              <w:pStyle w:val="Compact"/>
              <w:jc w:val="left"/>
            </w:pPr>
            <w:r>
              <w:t xml:space="preserve">CW</w:t>
            </w:r>
          </w:p>
        </w:tc>
        <w:tc>
          <w:tcPr>
            <w:tcW w:type="dxa" w:w="575"/>
            <w:tcMar>
              <w:top w:w="0" w:type="dxa"/>
              <w:bottom w:w="0" w:type="dxa"/>
              <w:left w:w="0" w:type="dxa"/>
              <w:right w:w="0" w:type="dxa"/>
            </w:tcMar>
          </w:tcPr>
          <w:p>
            <w:pPr>
              <w:pStyle w:val="Compact"/>
              <w:jc w:val="right"/>
            </w:pPr>
            <w:r>
              <w:rPr>
                <w:b/>
                <w:bCs/>
              </w:rPr>
              <w:t xml:space="preserve">0.7198</w:t>
            </w:r>
          </w:p>
        </w:tc>
        <w:tc>
          <w:tcPr>
            <w:tcW w:type="dxa" w:w="575"/>
            <w:tcMar>
              <w:top w:w="0" w:type="dxa"/>
              <w:bottom w:w="0" w:type="dxa"/>
              <w:left w:w="0" w:type="dxa"/>
              <w:right w:w="0" w:type="dxa"/>
            </w:tcMar>
          </w:tcPr>
          <w:p>
            <w:pPr>
              <w:pStyle w:val="Compact"/>
              <w:jc w:val="right"/>
            </w:pPr>
            <w:r>
              <w:rPr>
                <w:b/>
                <w:bCs/>
              </w:rPr>
              <w:t xml:space="preserve">0.6412</w:t>
            </w:r>
          </w:p>
        </w:tc>
        <w:tc>
          <w:tcPr>
            <w:tcW w:type="dxa" w:w="575"/>
            <w:tcMar>
              <w:top w:w="0" w:type="dxa"/>
              <w:bottom w:w="0" w:type="dxa"/>
              <w:left w:w="0" w:type="dxa"/>
              <w:right w:w="0" w:type="dxa"/>
            </w:tcMar>
          </w:tcPr>
          <w:p>
            <w:pPr>
              <w:pStyle w:val="Compact"/>
              <w:jc w:val="right"/>
            </w:pPr>
            <w:r>
              <w:rPr>
                <w:b/>
                <w:bCs/>
              </w:rPr>
              <w:t xml:space="preserve">0.6633</w:t>
            </w:r>
          </w:p>
        </w:tc>
        <w:tc>
          <w:tcPr>
            <w:tcW w:type="dxa" w:w="575"/>
            <w:tcMar>
              <w:top w:w="0" w:type="dxa"/>
              <w:bottom w:w="0" w:type="dxa"/>
              <w:left w:w="0" w:type="dxa"/>
              <w:right w:w="0" w:type="dxa"/>
            </w:tcMar>
          </w:tcPr>
          <w:p>
            <w:pPr>
              <w:pStyle w:val="Compact"/>
              <w:jc w:val="right"/>
            </w:pPr>
            <w:r>
              <w:rPr>
                <w:b/>
                <w:bCs/>
              </w:rPr>
              <w:t xml:space="preserve">0.7249</w:t>
            </w:r>
          </w:p>
        </w:tc>
        <w:tc>
          <w:tcPr>
            <w:tcW w:type="dxa" w:w="575"/>
            <w:tcMar>
              <w:top w:w="0" w:type="dxa"/>
              <w:bottom w:w="0" w:type="dxa"/>
              <w:left w:w="0" w:type="dxa"/>
              <w:right w:w="0" w:type="dxa"/>
            </w:tcMar>
          </w:tcPr>
          <w:p>
            <w:pPr>
              <w:pStyle w:val="Compact"/>
              <w:jc w:val="right"/>
            </w:pPr>
            <w:r>
              <w:rPr>
                <w:b/>
                <w:bCs/>
              </w:rPr>
              <w:t xml:space="preserve">0.5722</w:t>
            </w:r>
          </w:p>
        </w:tc>
        <w:tc>
          <w:tcPr>
            <w:tcW w:type="dxa" w:w="575"/>
            <w:tcMar>
              <w:top w:w="0" w:type="dxa"/>
              <w:bottom w:w="0" w:type="dxa"/>
              <w:left w:w="0" w:type="dxa"/>
              <w:right w:w="0" w:type="dxa"/>
            </w:tcMar>
          </w:tcPr>
          <w:p>
            <w:pPr>
              <w:pStyle w:val="Compact"/>
              <w:jc w:val="right"/>
            </w:pPr>
            <w:r>
              <w:rPr>
                <w:b/>
                <w:bCs/>
              </w:rPr>
              <w:t xml:space="preserve">0.6653</w:t>
            </w:r>
          </w:p>
        </w:tc>
      </w:tr>
      <w:tr>
        <w:tc>
          <w:tcPr>
            <w:tcW w:type="dxa" w:w="1150"/>
            <w:tcMar>
              <w:top w:w="0" w:type="dxa"/>
              <w:bottom w:w="0" w:type="dxa"/>
              <w:left w:w="0" w:type="dxa"/>
              <w:right w:w="0" w:type="dxa"/>
            </w:tcMar>
          </w:tcPr>
          <w:p>
            <w:pPr>
              <w:pStyle w:val="Compact"/>
              <w:jc w:val="left"/>
            </w:pPr>
            <w:r>
              <w:t xml:space="preserve">Logistic Regression</w:t>
            </w:r>
          </w:p>
        </w:tc>
        <w:tc>
          <w:tcPr>
            <w:tcW w:type="dxa" w:w="350"/>
            <w:tcMar>
              <w:top w:w="0" w:type="dxa"/>
              <w:bottom w:w="0" w:type="dxa"/>
              <w:left w:w="0" w:type="dxa"/>
              <w:right w:w="0" w:type="dxa"/>
            </w:tcMar>
          </w:tcPr>
          <w:p>
            <w:pPr>
              <w:pStyle w:val="Compact"/>
              <w:jc w:val="left"/>
            </w:pPr>
            <w:r>
              <w:t xml:space="preserve">ROS</w:t>
            </w:r>
          </w:p>
        </w:tc>
        <w:tc>
          <w:tcPr>
            <w:tcW w:type="dxa" w:w="575"/>
            <w:tcMar>
              <w:top w:w="0" w:type="dxa"/>
              <w:bottom w:w="0" w:type="dxa"/>
              <w:left w:w="0" w:type="dxa"/>
              <w:right w:w="0" w:type="dxa"/>
            </w:tcMar>
          </w:tcPr>
          <w:p>
            <w:pPr>
              <w:pStyle w:val="Compact"/>
              <w:jc w:val="right"/>
            </w:pPr>
            <w:r>
              <w:t xml:space="preserve">0.6995</w:t>
            </w:r>
          </w:p>
        </w:tc>
        <w:tc>
          <w:tcPr>
            <w:tcW w:type="dxa" w:w="575"/>
            <w:tcMar>
              <w:top w:w="0" w:type="dxa"/>
              <w:bottom w:w="0" w:type="dxa"/>
              <w:left w:w="0" w:type="dxa"/>
              <w:right w:w="0" w:type="dxa"/>
            </w:tcMar>
          </w:tcPr>
          <w:p>
            <w:pPr>
              <w:pStyle w:val="Compact"/>
              <w:jc w:val="right"/>
            </w:pPr>
            <w:r>
              <w:t xml:space="preserve">0.6256</w:t>
            </w:r>
          </w:p>
        </w:tc>
        <w:tc>
          <w:tcPr>
            <w:tcW w:type="dxa" w:w="575"/>
            <w:tcMar>
              <w:top w:w="0" w:type="dxa"/>
              <w:bottom w:w="0" w:type="dxa"/>
              <w:left w:w="0" w:type="dxa"/>
              <w:right w:w="0" w:type="dxa"/>
            </w:tcMar>
          </w:tcPr>
          <w:p>
            <w:pPr>
              <w:pStyle w:val="Compact"/>
              <w:jc w:val="right"/>
            </w:pPr>
            <w:r>
              <w:t xml:space="preserve">0.6545</w:t>
            </w:r>
          </w:p>
        </w:tc>
        <w:tc>
          <w:tcPr>
            <w:tcW w:type="dxa" w:w="575"/>
            <w:tcMar>
              <w:top w:w="0" w:type="dxa"/>
              <w:bottom w:w="0" w:type="dxa"/>
              <w:left w:w="0" w:type="dxa"/>
              <w:right w:w="0" w:type="dxa"/>
            </w:tcMar>
          </w:tcPr>
          <w:p>
            <w:pPr>
              <w:pStyle w:val="Compact"/>
              <w:jc w:val="right"/>
            </w:pPr>
            <w:r>
              <w:t xml:space="preserve">0.6776</w:t>
            </w:r>
          </w:p>
        </w:tc>
        <w:tc>
          <w:tcPr>
            <w:tcW w:type="dxa" w:w="575"/>
            <w:tcMar>
              <w:top w:w="0" w:type="dxa"/>
              <w:bottom w:w="0" w:type="dxa"/>
              <w:left w:w="0" w:type="dxa"/>
              <w:right w:w="0" w:type="dxa"/>
            </w:tcMar>
          </w:tcPr>
          <w:p>
            <w:pPr>
              <w:pStyle w:val="Compact"/>
              <w:jc w:val="right"/>
            </w:pPr>
            <w:r>
              <w:t xml:space="preserve">0.5074</w:t>
            </w:r>
          </w:p>
        </w:tc>
        <w:tc>
          <w:tcPr>
            <w:tcW w:type="dxa" w:w="575"/>
            <w:tcMar>
              <w:top w:w="0" w:type="dxa"/>
              <w:bottom w:w="0" w:type="dxa"/>
              <w:left w:w="0" w:type="dxa"/>
              <w:right w:w="0" w:type="dxa"/>
            </w:tcMar>
          </w:tcPr>
          <w:p>
            <w:pPr>
              <w:pStyle w:val="Compact"/>
              <w:jc w:val="right"/>
            </w:pPr>
            <w:r>
              <w:t xml:space="preserve">0.6383</w:t>
            </w:r>
          </w:p>
        </w:tc>
      </w:tr>
      <w:tr>
        <w:tc>
          <w:tcPr>
            <w:tcW w:type="dxa" w:w="1150"/>
            <w:tcMar>
              <w:top w:w="0" w:type="dxa"/>
              <w:bottom w:w="0" w:type="dxa"/>
              <w:left w:w="0" w:type="dxa"/>
              <w:right w:w="0" w:type="dxa"/>
            </w:tcMar>
          </w:tcPr>
          <w:p>
            <w:pPr>
              <w:pStyle w:val="Compact"/>
              <w:jc w:val="left"/>
            </w:pPr>
            <w:r>
              <w:t xml:space="preserve">SGD (mod. Huber)</w:t>
            </w:r>
          </w:p>
        </w:tc>
        <w:tc>
          <w:tcPr>
            <w:tcW w:type="dxa" w:w="350"/>
            <w:tcMar>
              <w:top w:w="0" w:type="dxa"/>
              <w:bottom w:w="0" w:type="dxa"/>
              <w:left w:w="0" w:type="dxa"/>
              <w:right w:w="0" w:type="dxa"/>
            </w:tcMar>
          </w:tcPr>
          <w:p>
            <w:pPr>
              <w:pStyle w:val="Compact"/>
              <w:jc w:val="left"/>
            </w:pPr>
            <w:r>
              <w:t xml:space="preserve">ROS</w:t>
            </w:r>
          </w:p>
        </w:tc>
        <w:tc>
          <w:tcPr>
            <w:tcW w:type="dxa" w:w="575"/>
            <w:tcMar>
              <w:top w:w="0" w:type="dxa"/>
              <w:bottom w:w="0" w:type="dxa"/>
              <w:left w:w="0" w:type="dxa"/>
              <w:right w:w="0" w:type="dxa"/>
            </w:tcMar>
          </w:tcPr>
          <w:p>
            <w:pPr>
              <w:pStyle w:val="Compact"/>
              <w:jc w:val="right"/>
            </w:pPr>
            <w:r>
              <w:t xml:space="preserve">0.6842</w:t>
            </w:r>
          </w:p>
        </w:tc>
        <w:tc>
          <w:tcPr>
            <w:tcW w:type="dxa" w:w="575"/>
            <w:tcMar>
              <w:top w:w="0" w:type="dxa"/>
              <w:bottom w:w="0" w:type="dxa"/>
              <w:left w:w="0" w:type="dxa"/>
              <w:right w:w="0" w:type="dxa"/>
            </w:tcMar>
          </w:tcPr>
          <w:p>
            <w:pPr>
              <w:pStyle w:val="Compact"/>
              <w:jc w:val="right"/>
            </w:pPr>
            <w:r>
              <w:t xml:space="preserve">0.5954</w:t>
            </w:r>
          </w:p>
        </w:tc>
        <w:tc>
          <w:tcPr>
            <w:tcW w:type="dxa" w:w="575"/>
            <w:tcMar>
              <w:top w:w="0" w:type="dxa"/>
              <w:bottom w:w="0" w:type="dxa"/>
              <w:left w:w="0" w:type="dxa"/>
              <w:right w:w="0" w:type="dxa"/>
            </w:tcMar>
          </w:tcPr>
          <w:p>
            <w:pPr>
              <w:pStyle w:val="Compact"/>
              <w:jc w:val="right"/>
            </w:pPr>
            <w:r>
              <w:t xml:space="preserve">0.6218</w:t>
            </w:r>
          </w:p>
        </w:tc>
        <w:tc>
          <w:tcPr>
            <w:tcW w:type="dxa" w:w="575"/>
            <w:tcMar>
              <w:top w:w="0" w:type="dxa"/>
              <w:bottom w:w="0" w:type="dxa"/>
              <w:left w:w="0" w:type="dxa"/>
              <w:right w:w="0" w:type="dxa"/>
            </w:tcMar>
          </w:tcPr>
          <w:p>
            <w:pPr>
              <w:pStyle w:val="Compact"/>
              <w:jc w:val="right"/>
            </w:pPr>
            <w:r>
              <w:t xml:space="preserve">0.6608</w:t>
            </w:r>
          </w:p>
        </w:tc>
        <w:tc>
          <w:tcPr>
            <w:tcW w:type="dxa" w:w="575"/>
            <w:tcMar>
              <w:top w:w="0" w:type="dxa"/>
              <w:bottom w:w="0" w:type="dxa"/>
              <w:left w:w="0" w:type="dxa"/>
              <w:right w:w="0" w:type="dxa"/>
            </w:tcMar>
          </w:tcPr>
          <w:p>
            <w:pPr>
              <w:pStyle w:val="Compact"/>
              <w:jc w:val="right"/>
            </w:pPr>
            <w:r>
              <w:t xml:space="preserve">0.4577</w:t>
            </w:r>
          </w:p>
        </w:tc>
        <w:tc>
          <w:tcPr>
            <w:tcW w:type="dxa" w:w="575"/>
            <w:tcMar>
              <w:top w:w="0" w:type="dxa"/>
              <w:bottom w:w="0" w:type="dxa"/>
              <w:left w:w="0" w:type="dxa"/>
              <w:right w:w="0" w:type="dxa"/>
            </w:tcMar>
          </w:tcPr>
          <w:p>
            <w:pPr>
              <w:pStyle w:val="Compact"/>
              <w:jc w:val="right"/>
            </w:pPr>
            <w:r>
              <w:t xml:space="preserve">0.6092</w:t>
            </w:r>
          </w:p>
        </w:tc>
      </w:tr>
      <w:tr>
        <w:tc>
          <w:tcPr>
            <w:tcW w:type="dxa" w:w="1150"/>
            <w:tcMar>
              <w:top w:w="0" w:type="dxa"/>
              <w:bottom w:w="0" w:type="dxa"/>
              <w:left w:w="0" w:type="dxa"/>
              <w:right w:w="0" w:type="dxa"/>
            </w:tcMar>
          </w:tcPr>
          <w:p>
            <w:pPr>
              <w:pStyle w:val="Compact"/>
              <w:jc w:val="left"/>
            </w:pPr>
            <w:r>
              <w:t xml:space="preserve">Complement NB</w:t>
            </w:r>
          </w:p>
        </w:tc>
        <w:tc>
          <w:tcPr>
            <w:tcW w:type="dxa" w:w="350"/>
            <w:tcMar>
              <w:top w:w="0" w:type="dxa"/>
              <w:bottom w:w="0" w:type="dxa"/>
              <w:left w:w="0" w:type="dxa"/>
              <w:right w:w="0" w:type="dxa"/>
            </w:tcMar>
          </w:tcPr>
          <w:p>
            <w:pPr>
              <w:pStyle w:val="Compact"/>
              <w:jc w:val="left"/>
            </w:pPr>
            <w:r>
              <w:t xml:space="preserve">ROS</w:t>
            </w:r>
          </w:p>
        </w:tc>
        <w:tc>
          <w:tcPr>
            <w:tcW w:type="dxa" w:w="575"/>
            <w:tcMar>
              <w:top w:w="0" w:type="dxa"/>
              <w:bottom w:w="0" w:type="dxa"/>
              <w:left w:w="0" w:type="dxa"/>
              <w:right w:w="0" w:type="dxa"/>
            </w:tcMar>
          </w:tcPr>
          <w:p>
            <w:pPr>
              <w:pStyle w:val="Compact"/>
              <w:jc w:val="right"/>
            </w:pPr>
            <w:r>
              <w:t xml:space="preserve">0.5139</w:t>
            </w:r>
          </w:p>
        </w:tc>
        <w:tc>
          <w:tcPr>
            <w:tcW w:type="dxa" w:w="575"/>
            <w:tcMar>
              <w:top w:w="0" w:type="dxa"/>
              <w:bottom w:w="0" w:type="dxa"/>
              <w:left w:w="0" w:type="dxa"/>
              <w:right w:w="0" w:type="dxa"/>
            </w:tcMar>
          </w:tcPr>
          <w:p>
            <w:pPr>
              <w:pStyle w:val="Compact"/>
              <w:jc w:val="right"/>
            </w:pPr>
            <w:r>
              <w:t xml:space="preserve">0.5083</w:t>
            </w:r>
          </w:p>
        </w:tc>
        <w:tc>
          <w:tcPr>
            <w:tcW w:type="dxa" w:w="575"/>
            <w:tcMar>
              <w:top w:w="0" w:type="dxa"/>
              <w:bottom w:w="0" w:type="dxa"/>
              <w:left w:w="0" w:type="dxa"/>
              <w:right w:w="0" w:type="dxa"/>
            </w:tcMar>
          </w:tcPr>
          <w:p>
            <w:pPr>
              <w:pStyle w:val="Compact"/>
              <w:jc w:val="right"/>
            </w:pPr>
            <w:r>
              <w:t xml:space="preserve">0.5302</w:t>
            </w:r>
          </w:p>
        </w:tc>
        <w:tc>
          <w:tcPr>
            <w:tcW w:type="dxa" w:w="575"/>
            <w:tcMar>
              <w:top w:w="0" w:type="dxa"/>
              <w:bottom w:w="0" w:type="dxa"/>
              <w:left w:w="0" w:type="dxa"/>
              <w:right w:w="0" w:type="dxa"/>
            </w:tcMar>
          </w:tcPr>
          <w:p>
            <w:pPr>
              <w:pStyle w:val="Compact"/>
              <w:jc w:val="right"/>
            </w:pPr>
            <w:r>
              <w:t xml:space="preserve">0.5239</w:t>
            </w:r>
          </w:p>
        </w:tc>
        <w:tc>
          <w:tcPr>
            <w:tcW w:type="dxa" w:w="575"/>
            <w:tcMar>
              <w:top w:w="0" w:type="dxa"/>
              <w:bottom w:w="0" w:type="dxa"/>
              <w:left w:w="0" w:type="dxa"/>
              <w:right w:w="0" w:type="dxa"/>
            </w:tcMar>
          </w:tcPr>
          <w:p>
            <w:pPr>
              <w:pStyle w:val="Compact"/>
              <w:jc w:val="right"/>
            </w:pPr>
            <w:r>
              <w:t xml:space="preserve">0.3738</w:t>
            </w:r>
          </w:p>
        </w:tc>
        <w:tc>
          <w:tcPr>
            <w:tcW w:type="dxa" w:w="575"/>
            <w:tcMar>
              <w:top w:w="0" w:type="dxa"/>
              <w:bottom w:w="0" w:type="dxa"/>
              <w:left w:w="0" w:type="dxa"/>
              <w:right w:w="0" w:type="dxa"/>
            </w:tcMar>
          </w:tcPr>
          <w:p>
            <w:pPr>
              <w:pStyle w:val="Compact"/>
              <w:jc w:val="right"/>
            </w:pPr>
            <w:r>
              <w:t xml:space="preserve">0.4968</w:t>
            </w:r>
          </w:p>
        </w:tc>
      </w:tr>
      <w:tr>
        <w:tc>
          <w:tcPr>
            <w:gridSpan w:val="8"/>
            <w:tcW w:type="dxa" w:w="4950"/>
            <w:tcMar>
              <w:top w:w="0" w:type="dxa"/>
              <w:bottom w:w="0" w:type="dxa"/>
              <w:left w:w="0" w:type="dxa"/>
              <w:right w:w="0" w:type="dxa"/>
            </w:tcMar>
          </w:tcPr>
          <w:p>
            <w:pPr>
              <w:pStyle w:val="Compact"/>
              <w:jc w:val="left"/>
            </w:pPr>
            <w:r>
              <w:rPr>
                <w:i/>
                <w:iCs/>
              </w:rPr>
              <w:t xml:space="preserve">Priority (macro-F</w:t>
            </w:r>
            <w:r>
              <w:rPr>
                <w:i/>
                <w:iCs/>
                <w:vertAlign w:val="subscript"/>
              </w:rPr>
              <w:t xml:space="preserve">1</w:t>
            </w:r>
            <w:r>
              <w:rPr>
                <w:i/>
                <w:iCs/>
              </w:rPr>
              <w:t xml:space="preserve">)</w:t>
            </w:r>
          </w:p>
        </w:tc>
      </w:tr>
      <w:tr>
        <w:tc>
          <w:tcPr>
            <w:tcW w:type="dxa" w:w="1150"/>
            <w:tcMar>
              <w:top w:w="0" w:type="dxa"/>
              <w:bottom w:w="0" w:type="dxa"/>
              <w:left w:w="0" w:type="dxa"/>
              <w:right w:w="0" w:type="dxa"/>
            </w:tcMar>
          </w:tcPr>
          <w:p>
            <w:pPr>
              <w:pStyle w:val="Compact"/>
              <w:jc w:val="left"/>
            </w:pPr>
            <w:r>
              <w:t xml:space="preserve">Linear SVM</w:t>
            </w:r>
          </w:p>
        </w:tc>
        <w:tc>
          <w:tcPr>
            <w:tcW w:type="dxa" w:w="350"/>
            <w:tcMar>
              <w:top w:w="0" w:type="dxa"/>
              <w:bottom w:w="0" w:type="dxa"/>
              <w:left w:w="0" w:type="dxa"/>
              <w:right w:w="0" w:type="dxa"/>
            </w:tcMar>
          </w:tcPr>
          <w:p>
            <w:pPr>
              <w:pStyle w:val="Compact"/>
              <w:jc w:val="left"/>
            </w:pPr>
            <w:r>
              <w:t xml:space="preserve">CW</w:t>
            </w:r>
          </w:p>
        </w:tc>
        <w:tc>
          <w:tcPr>
            <w:tcW w:type="dxa" w:w="575"/>
            <w:tcMar>
              <w:top w:w="0" w:type="dxa"/>
              <w:bottom w:w="0" w:type="dxa"/>
              <w:left w:w="0" w:type="dxa"/>
              <w:right w:w="0" w:type="dxa"/>
            </w:tcMar>
          </w:tcPr>
          <w:p>
            <w:pPr>
              <w:pStyle w:val="Compact"/>
              <w:jc w:val="right"/>
            </w:pPr>
            <w:r>
              <w:rPr>
                <w:b/>
                <w:bCs/>
              </w:rPr>
              <w:t xml:space="preserve">0.9050</w:t>
            </w:r>
          </w:p>
        </w:tc>
        <w:tc>
          <w:tcPr>
            <w:tcW w:type="dxa" w:w="575"/>
            <w:tcMar>
              <w:top w:w="0" w:type="dxa"/>
              <w:bottom w:w="0" w:type="dxa"/>
              <w:left w:w="0" w:type="dxa"/>
              <w:right w:w="0" w:type="dxa"/>
            </w:tcMar>
          </w:tcPr>
          <w:p>
            <w:pPr>
              <w:pStyle w:val="Compact"/>
              <w:jc w:val="right"/>
            </w:pPr>
            <w:r>
              <w:rPr>
                <w:b/>
                <w:bCs/>
              </w:rPr>
              <w:t xml:space="preserve">0.8848</w:t>
            </w:r>
          </w:p>
        </w:tc>
        <w:tc>
          <w:tcPr>
            <w:tcW w:type="dxa" w:w="575"/>
            <w:tcMar>
              <w:top w:w="0" w:type="dxa"/>
              <w:bottom w:w="0" w:type="dxa"/>
              <w:left w:w="0" w:type="dxa"/>
              <w:right w:w="0" w:type="dxa"/>
            </w:tcMar>
          </w:tcPr>
          <w:p>
            <w:pPr>
              <w:pStyle w:val="Compact"/>
              <w:jc w:val="right"/>
            </w:pPr>
            <w:r>
              <w:rPr>
                <w:b/>
                <w:bCs/>
              </w:rPr>
              <w:t xml:space="preserve">0.8918</w:t>
            </w:r>
          </w:p>
        </w:tc>
        <w:tc>
          <w:tcPr>
            <w:tcW w:type="dxa" w:w="575"/>
            <w:tcMar>
              <w:top w:w="0" w:type="dxa"/>
              <w:bottom w:w="0" w:type="dxa"/>
              <w:left w:w="0" w:type="dxa"/>
              <w:right w:w="0" w:type="dxa"/>
            </w:tcMar>
          </w:tcPr>
          <w:p>
            <w:pPr>
              <w:pStyle w:val="Compact"/>
              <w:jc w:val="right"/>
            </w:pPr>
            <w:r>
              <w:rPr>
                <w:b/>
                <w:bCs/>
              </w:rPr>
              <w:t xml:space="preserve">0.8854</w:t>
            </w:r>
          </w:p>
        </w:tc>
        <w:tc>
          <w:tcPr>
            <w:tcW w:type="dxa" w:w="575"/>
            <w:tcMar>
              <w:top w:w="0" w:type="dxa"/>
              <w:bottom w:w="0" w:type="dxa"/>
              <w:left w:w="0" w:type="dxa"/>
              <w:right w:w="0" w:type="dxa"/>
            </w:tcMar>
          </w:tcPr>
          <w:p>
            <w:pPr>
              <w:pStyle w:val="Compact"/>
              <w:jc w:val="right"/>
            </w:pPr>
            <w:r>
              <w:t xml:space="preserve">0.7984</w:t>
            </w:r>
          </w:p>
        </w:tc>
        <w:tc>
          <w:tcPr>
            <w:tcW w:type="dxa" w:w="575"/>
            <w:tcMar>
              <w:top w:w="0" w:type="dxa"/>
              <w:bottom w:w="0" w:type="dxa"/>
              <w:left w:w="0" w:type="dxa"/>
              <w:right w:w="0" w:type="dxa"/>
            </w:tcMar>
          </w:tcPr>
          <w:p>
            <w:pPr>
              <w:pStyle w:val="Compact"/>
              <w:jc w:val="right"/>
            </w:pPr>
            <w:r>
              <w:rPr>
                <w:b/>
                <w:bCs/>
              </w:rPr>
              <w:t xml:space="preserve">0.8734</w:t>
            </w:r>
          </w:p>
        </w:tc>
      </w:tr>
      <w:tr>
        <w:tc>
          <w:tcPr>
            <w:tcW w:type="dxa" w:w="1150"/>
            <w:tcMar>
              <w:top w:w="0" w:type="dxa"/>
              <w:bottom w:w="0" w:type="dxa"/>
              <w:left w:w="0" w:type="dxa"/>
              <w:right w:w="0" w:type="dxa"/>
            </w:tcMar>
          </w:tcPr>
          <w:p>
            <w:pPr>
              <w:pStyle w:val="Compact"/>
              <w:jc w:val="left"/>
            </w:pPr>
            <w:r>
              <w:t xml:space="preserve">Logistic Regression</w:t>
            </w:r>
          </w:p>
        </w:tc>
        <w:tc>
          <w:tcPr>
            <w:tcW w:type="dxa" w:w="350"/>
            <w:tcMar>
              <w:top w:w="0" w:type="dxa"/>
              <w:bottom w:w="0" w:type="dxa"/>
              <w:left w:w="0" w:type="dxa"/>
              <w:right w:w="0" w:type="dxa"/>
            </w:tcMar>
          </w:tcPr>
          <w:p>
            <w:pPr>
              <w:pStyle w:val="Compact"/>
              <w:jc w:val="left"/>
            </w:pPr>
            <w:r>
              <w:t xml:space="preserve">ROS</w:t>
            </w:r>
          </w:p>
        </w:tc>
        <w:tc>
          <w:tcPr>
            <w:tcW w:type="dxa" w:w="575"/>
            <w:tcMar>
              <w:top w:w="0" w:type="dxa"/>
              <w:bottom w:w="0" w:type="dxa"/>
              <w:left w:w="0" w:type="dxa"/>
              <w:right w:w="0" w:type="dxa"/>
            </w:tcMar>
          </w:tcPr>
          <w:p>
            <w:pPr>
              <w:pStyle w:val="Compact"/>
              <w:jc w:val="right"/>
            </w:pPr>
            <w:r>
              <w:t xml:space="preserve">0.8987</w:t>
            </w:r>
          </w:p>
        </w:tc>
        <w:tc>
          <w:tcPr>
            <w:tcW w:type="dxa" w:w="575"/>
            <w:tcMar>
              <w:top w:w="0" w:type="dxa"/>
              <w:bottom w:w="0" w:type="dxa"/>
              <w:left w:w="0" w:type="dxa"/>
              <w:right w:w="0" w:type="dxa"/>
            </w:tcMar>
          </w:tcPr>
          <w:p>
            <w:pPr>
              <w:pStyle w:val="Compact"/>
              <w:jc w:val="right"/>
            </w:pPr>
            <w:r>
              <w:t xml:space="preserve">0.8810</w:t>
            </w:r>
          </w:p>
        </w:tc>
        <w:tc>
          <w:tcPr>
            <w:tcW w:type="dxa" w:w="575"/>
            <w:tcMar>
              <w:top w:w="0" w:type="dxa"/>
              <w:bottom w:w="0" w:type="dxa"/>
              <w:left w:w="0" w:type="dxa"/>
              <w:right w:w="0" w:type="dxa"/>
            </w:tcMar>
          </w:tcPr>
          <w:p>
            <w:pPr>
              <w:pStyle w:val="Compact"/>
              <w:jc w:val="right"/>
            </w:pPr>
            <w:r>
              <w:t xml:space="preserve">0.8889</w:t>
            </w:r>
          </w:p>
        </w:tc>
        <w:tc>
          <w:tcPr>
            <w:tcW w:type="dxa" w:w="575"/>
            <w:tcMar>
              <w:top w:w="0" w:type="dxa"/>
              <w:bottom w:w="0" w:type="dxa"/>
              <w:left w:w="0" w:type="dxa"/>
              <w:right w:w="0" w:type="dxa"/>
            </w:tcMar>
          </w:tcPr>
          <w:p>
            <w:pPr>
              <w:pStyle w:val="Compact"/>
              <w:jc w:val="right"/>
            </w:pPr>
            <w:r>
              <w:t xml:space="preserve">0.8849</w:t>
            </w:r>
          </w:p>
        </w:tc>
        <w:tc>
          <w:tcPr>
            <w:tcW w:type="dxa" w:w="575"/>
            <w:tcMar>
              <w:top w:w="0" w:type="dxa"/>
              <w:bottom w:w="0" w:type="dxa"/>
              <w:left w:w="0" w:type="dxa"/>
              <w:right w:w="0" w:type="dxa"/>
            </w:tcMar>
          </w:tcPr>
          <w:p>
            <w:pPr>
              <w:pStyle w:val="Compact"/>
              <w:jc w:val="right"/>
            </w:pPr>
            <w:r>
              <w:rPr>
                <w:b/>
                <w:bCs/>
              </w:rPr>
              <w:t xml:space="preserve">0.7985</w:t>
            </w:r>
          </w:p>
        </w:tc>
        <w:tc>
          <w:tcPr>
            <w:tcW w:type="dxa" w:w="575"/>
            <w:tcMar>
              <w:top w:w="0" w:type="dxa"/>
              <w:bottom w:w="0" w:type="dxa"/>
              <w:left w:w="0" w:type="dxa"/>
              <w:right w:w="0" w:type="dxa"/>
            </w:tcMar>
          </w:tcPr>
          <w:p>
            <w:pPr>
              <w:pStyle w:val="Compact"/>
              <w:jc w:val="right"/>
            </w:pPr>
            <w:r>
              <w:t xml:space="preserve">0.8706</w:t>
            </w:r>
          </w:p>
        </w:tc>
      </w:tr>
      <w:tr>
        <w:tc>
          <w:tcPr>
            <w:tcW w:type="dxa" w:w="1150"/>
            <w:tcMar>
              <w:top w:w="0" w:type="dxa"/>
              <w:bottom w:w="0" w:type="dxa"/>
              <w:left w:w="0" w:type="dxa"/>
              <w:right w:w="0" w:type="dxa"/>
            </w:tcMar>
          </w:tcPr>
          <w:p>
            <w:pPr>
              <w:pStyle w:val="Compact"/>
              <w:jc w:val="left"/>
            </w:pPr>
            <w:r>
              <w:t xml:space="preserve">SGD (mod. Huber)</w:t>
            </w:r>
          </w:p>
        </w:tc>
        <w:tc>
          <w:tcPr>
            <w:tcW w:type="dxa" w:w="350"/>
            <w:tcMar>
              <w:top w:w="0" w:type="dxa"/>
              <w:bottom w:w="0" w:type="dxa"/>
              <w:left w:w="0" w:type="dxa"/>
              <w:right w:w="0" w:type="dxa"/>
            </w:tcMar>
          </w:tcPr>
          <w:p>
            <w:pPr>
              <w:pStyle w:val="Compact"/>
              <w:jc w:val="left"/>
            </w:pPr>
            <w:r>
              <w:t xml:space="preserve">ROS</w:t>
            </w:r>
          </w:p>
        </w:tc>
        <w:tc>
          <w:tcPr>
            <w:tcW w:type="dxa" w:w="575"/>
            <w:tcMar>
              <w:top w:w="0" w:type="dxa"/>
              <w:bottom w:w="0" w:type="dxa"/>
              <w:left w:w="0" w:type="dxa"/>
              <w:right w:w="0" w:type="dxa"/>
            </w:tcMar>
          </w:tcPr>
          <w:p>
            <w:pPr>
              <w:pStyle w:val="Compact"/>
              <w:jc w:val="right"/>
            </w:pPr>
            <w:r>
              <w:t xml:space="preserve">0.8953</w:t>
            </w:r>
          </w:p>
        </w:tc>
        <w:tc>
          <w:tcPr>
            <w:tcW w:type="dxa" w:w="575"/>
            <w:tcMar>
              <w:top w:w="0" w:type="dxa"/>
              <w:bottom w:w="0" w:type="dxa"/>
              <w:left w:w="0" w:type="dxa"/>
              <w:right w:w="0" w:type="dxa"/>
            </w:tcMar>
          </w:tcPr>
          <w:p>
            <w:pPr>
              <w:pStyle w:val="Compact"/>
              <w:jc w:val="right"/>
            </w:pPr>
            <w:r>
              <w:t xml:space="preserve">0.8802</w:t>
            </w:r>
          </w:p>
        </w:tc>
        <w:tc>
          <w:tcPr>
            <w:tcW w:type="dxa" w:w="575"/>
            <w:tcMar>
              <w:top w:w="0" w:type="dxa"/>
              <w:bottom w:w="0" w:type="dxa"/>
              <w:left w:w="0" w:type="dxa"/>
              <w:right w:w="0" w:type="dxa"/>
            </w:tcMar>
          </w:tcPr>
          <w:p>
            <w:pPr>
              <w:pStyle w:val="Compact"/>
              <w:jc w:val="right"/>
            </w:pPr>
            <w:r>
              <w:t xml:space="preserve">0.8831</w:t>
            </w:r>
          </w:p>
        </w:tc>
        <w:tc>
          <w:tcPr>
            <w:tcW w:type="dxa" w:w="575"/>
            <w:tcMar>
              <w:top w:w="0" w:type="dxa"/>
              <w:bottom w:w="0" w:type="dxa"/>
              <w:left w:w="0" w:type="dxa"/>
              <w:right w:w="0" w:type="dxa"/>
            </w:tcMar>
          </w:tcPr>
          <w:p>
            <w:pPr>
              <w:pStyle w:val="Compact"/>
              <w:jc w:val="right"/>
            </w:pPr>
            <w:r>
              <w:t xml:space="preserve">0.8853</w:t>
            </w:r>
          </w:p>
        </w:tc>
        <w:tc>
          <w:tcPr>
            <w:tcW w:type="dxa" w:w="575"/>
            <w:tcMar>
              <w:top w:w="0" w:type="dxa"/>
              <w:bottom w:w="0" w:type="dxa"/>
              <w:left w:w="0" w:type="dxa"/>
              <w:right w:w="0" w:type="dxa"/>
            </w:tcMar>
          </w:tcPr>
          <w:p>
            <w:pPr>
              <w:pStyle w:val="Compact"/>
              <w:jc w:val="right"/>
            </w:pPr>
            <w:r>
              <w:t xml:space="preserve">0.7805</w:t>
            </w:r>
          </w:p>
        </w:tc>
        <w:tc>
          <w:tcPr>
            <w:tcW w:type="dxa" w:w="575"/>
            <w:tcMar>
              <w:top w:w="0" w:type="dxa"/>
              <w:bottom w:w="0" w:type="dxa"/>
              <w:left w:w="0" w:type="dxa"/>
              <w:right w:w="0" w:type="dxa"/>
            </w:tcMar>
          </w:tcPr>
          <w:p>
            <w:pPr>
              <w:pStyle w:val="Compact"/>
              <w:jc w:val="right"/>
            </w:pPr>
            <w:r>
              <w:t xml:space="preserve">0.8659</w:t>
            </w:r>
          </w:p>
        </w:tc>
      </w:tr>
      <w:tr>
        <w:tc>
          <w:tcPr>
            <w:tcW w:type="dxa" w:w="1150"/>
            <w:tcMar>
              <w:top w:w="0" w:type="dxa"/>
              <w:bottom w:w="0" w:type="dxa"/>
              <w:left w:w="0" w:type="dxa"/>
              <w:right w:w="0" w:type="dxa"/>
            </w:tcMar>
          </w:tcPr>
          <w:p>
            <w:pPr>
              <w:pStyle w:val="Compact"/>
              <w:jc w:val="left"/>
            </w:pPr>
            <w:r>
              <w:t xml:space="preserve">Complement NB</w:t>
            </w:r>
          </w:p>
        </w:tc>
        <w:tc>
          <w:tcPr>
            <w:tcW w:type="dxa" w:w="350"/>
            <w:tcMar>
              <w:top w:w="0" w:type="dxa"/>
              <w:bottom w:w="0" w:type="dxa"/>
              <w:left w:w="0" w:type="dxa"/>
              <w:right w:w="0" w:type="dxa"/>
            </w:tcMar>
          </w:tcPr>
          <w:p>
            <w:pPr>
              <w:pStyle w:val="Compact"/>
              <w:jc w:val="left"/>
            </w:pPr>
            <w:r>
              <w:t xml:space="preserve">CW</w:t>
            </w:r>
          </w:p>
        </w:tc>
        <w:tc>
          <w:tcPr>
            <w:tcW w:type="dxa" w:w="575"/>
            <w:tcMar>
              <w:top w:w="0" w:type="dxa"/>
              <w:bottom w:w="0" w:type="dxa"/>
              <w:left w:w="0" w:type="dxa"/>
              <w:right w:w="0" w:type="dxa"/>
            </w:tcMar>
          </w:tcPr>
          <w:p>
            <w:pPr>
              <w:pStyle w:val="Compact"/>
              <w:jc w:val="right"/>
            </w:pPr>
            <w:r>
              <w:t xml:space="preserve">0.8643</w:t>
            </w:r>
          </w:p>
        </w:tc>
        <w:tc>
          <w:tcPr>
            <w:tcW w:type="dxa" w:w="575"/>
            <w:tcMar>
              <w:top w:w="0" w:type="dxa"/>
              <w:bottom w:w="0" w:type="dxa"/>
              <w:left w:w="0" w:type="dxa"/>
              <w:right w:w="0" w:type="dxa"/>
            </w:tcMar>
          </w:tcPr>
          <w:p>
            <w:pPr>
              <w:pStyle w:val="Compact"/>
              <w:jc w:val="right"/>
            </w:pPr>
            <w:r>
              <w:t xml:space="preserve">0.8479</w:t>
            </w:r>
          </w:p>
        </w:tc>
        <w:tc>
          <w:tcPr>
            <w:tcW w:type="dxa" w:w="575"/>
            <w:tcMar>
              <w:top w:w="0" w:type="dxa"/>
              <w:bottom w:w="0" w:type="dxa"/>
              <w:left w:w="0" w:type="dxa"/>
              <w:right w:w="0" w:type="dxa"/>
            </w:tcMar>
          </w:tcPr>
          <w:p>
            <w:pPr>
              <w:pStyle w:val="Compact"/>
              <w:jc w:val="right"/>
            </w:pPr>
            <w:r>
              <w:t xml:space="preserve">0.8540</w:t>
            </w:r>
          </w:p>
        </w:tc>
        <w:tc>
          <w:tcPr>
            <w:tcW w:type="dxa" w:w="575"/>
            <w:tcMar>
              <w:top w:w="0" w:type="dxa"/>
              <w:bottom w:w="0" w:type="dxa"/>
              <w:left w:w="0" w:type="dxa"/>
              <w:right w:w="0" w:type="dxa"/>
            </w:tcMar>
          </w:tcPr>
          <w:p>
            <w:pPr>
              <w:pStyle w:val="Compact"/>
              <w:jc w:val="right"/>
            </w:pPr>
            <w:r>
              <w:t xml:space="preserve">0.8653</w:t>
            </w:r>
          </w:p>
        </w:tc>
        <w:tc>
          <w:tcPr>
            <w:tcW w:type="dxa" w:w="575"/>
            <w:tcMar>
              <w:top w:w="0" w:type="dxa"/>
              <w:bottom w:w="0" w:type="dxa"/>
              <w:left w:w="0" w:type="dxa"/>
              <w:right w:w="0" w:type="dxa"/>
            </w:tcMar>
          </w:tcPr>
          <w:p>
            <w:pPr>
              <w:pStyle w:val="Compact"/>
              <w:jc w:val="right"/>
            </w:pPr>
            <w:r>
              <w:t xml:space="preserve">0.7782</w:t>
            </w:r>
          </w:p>
        </w:tc>
        <w:tc>
          <w:tcPr>
            <w:tcW w:type="dxa" w:w="575"/>
            <w:tcMar>
              <w:top w:w="0" w:type="dxa"/>
              <w:bottom w:w="0" w:type="dxa"/>
              <w:left w:w="0" w:type="dxa"/>
              <w:right w:w="0" w:type="dxa"/>
            </w:tcMar>
          </w:tcPr>
          <w:p>
            <w:pPr>
              <w:pStyle w:val="Compact"/>
              <w:jc w:val="right"/>
            </w:pPr>
            <w:r>
              <w:t xml:space="preserve">0.8422</w:t>
            </w:r>
          </w:p>
        </w:tc>
      </w:tr>
    </w:tbl>
    <w:p>
      <w:pPr>
        <w:pStyle w:val="BodyText"/>
      </w:pPr>
      <w:r>
        <w:t xml:space="preserve">We evaluate four classical classifiers over a shared TF–IDF feature union of word 1–2 grams and character 3–5 grams, the latter carrying most of the signal on the romanized tracks, where no spelling standard exists. Linear SVM establishes the strongest classical baseline, taking the best score in 17 of the 18 task-by-track cells; Logistic Regression edges it only on Tanglish priority (0.7985 vs. 0.7984), and trails it by 1.2 points on pooled intent. The margin between the two linear margin based models and the SGD linear model is small, but Complement Naive Bayes falls well behind on both imbalanced targets, losing 15.2 points of pooled intent macro-F</w:t>
      </w:r>
      <w:r>
        <w:rPr>
          <w:vertAlign w:val="subscript"/>
        </w:rPr>
        <w:t xml:space="preserve">1</w:t>
      </w:r>
      <w:r>
        <w:t xml:space="preserve"> </w:t>
      </w:r>
      <w:r>
        <w:t xml:space="preserve">and 16.9 points of pooled Negative-F</w:t>
      </w:r>
      <w:r>
        <w:rPr>
          <w:vertAlign w:val="subscript"/>
        </w:rPr>
        <w:t xml:space="preserve">1</w:t>
      </w:r>
      <w:r>
        <w:t xml:space="preserve"> </w:t>
      </w:r>
      <w:r>
        <w:t xml:space="preserve">to the SVM, confirming that its closed-form class priors cannot substitute for discriminative training on the minority escalation classes. Tanglish is the weakest track for every model and every task, a pattern the encoder benchmark below only partly closes.</w:t>
      </w:r>
    </w:p>
    <w:bookmarkEnd w:id="24"/>
    <w:bookmarkStart w:id="25" w:name="d.-multilingual-encoder-benchmark"/>
    <w:p>
      <w:pPr>
        <w:pStyle w:val="Heading2"/>
      </w:pPr>
      <w:r>
        <w:t xml:space="preserve">D. Multilingual Encoder Benchmark</w:t>
      </w:r>
    </w:p>
    <w:p>
      <w:pPr>
        <w:pStyle w:val="TableCaption"/>
      </w:pPr>
      <w:r>
        <w:t xml:space="preserve">Table III. Multilingual encoder benchmark, per track and pooled. Best per column</w:t>
      </w:r>
      <w:r>
        <w:t xml:space="preserve"> </w:t>
      </w:r>
      <w:r>
        <w:t xml:space="preserve">within each task in bold. Priority rows marked s43 use six epochs and seed 43.</w:t>
      </w:r>
    </w:p>
    <w:tbl>
      <w:tblPr>
        <w:tblCellMar>
          <w:top w:w="15" w:type="dxa"/>
          <w:bottom w:w="15" w:type="dxa"/>
          <w:left w:w="20" w:type="dxa"/>
          <w:right w:w="20" w:type="dxa"/>
        </w:tblCellMar>
        <w:tblStyle w:val="Table"/>
        <w:tblW w:w="4960" w:type="dxa"/>
        <w:tblLook w:firstRow="1" w:lastRow="0" w:firstColumn="0" w:lastColumn="0" w:noHBand="0" w:noVBand="0" w:val="0020"/>
        <w:tblCaption w:val="Table III. Multilingual encoder benchmark, per track and pooled. Best per column within each task in bold. Priority rows marked s43 use six epochs and seed 43."/>
        <w:tblLayout w:type="fixed"/>
      </w:tblPr>
      <w:tblGrid>
        <w:gridCol w:w="1150"/>
        <w:gridCol w:w="635"/>
        <w:gridCol w:w="635"/>
        <w:gridCol w:w="635"/>
        <w:gridCol w:w="635"/>
        <w:gridCol w:w="635"/>
        <w:gridCol w:w="635"/>
      </w:tblGrid>
      <w:tr>
        <w:trPr>
          <w:tblHeader w:val="on"/>
        </w:trPr>
        <w:tc>
          <w:tcPr>
            <w:tcW w:type="dxa" w:w="1150"/>
            <w:tcMar>
              <w:top w:w="0" w:type="dxa"/>
              <w:bottom w:w="0" w:type="dxa"/>
              <w:left w:w="0" w:type="dxa"/>
              <w:right w:w="0" w:type="dxa"/>
            </w:tcMar>
          </w:tcPr>
          <w:p>
            <w:pPr>
              <w:pStyle w:val="Compact"/>
              <w:jc w:val="left"/>
              <w:keepNext/>
            </w:pPr>
            <w:r>
              <w:t xml:space="preserve">Model</w:t>
            </w:r>
          </w:p>
        </w:tc>
        <w:tc>
          <w:tcPr>
            <w:tcW w:type="dxa" w:w="635"/>
            <w:tcMar>
              <w:top w:w="0" w:type="dxa"/>
              <w:bottom w:w="0" w:type="dxa"/>
              <w:left w:w="0" w:type="dxa"/>
              <w:right w:w="0" w:type="dxa"/>
            </w:tcMar>
          </w:tcPr>
          <w:p>
            <w:pPr>
              <w:pStyle w:val="Compact"/>
              <w:jc w:val="right"/>
              <w:keepNext/>
            </w:pPr>
            <w:r>
              <w:t xml:space="preserve">English</w:t>
            </w:r>
          </w:p>
        </w:tc>
        <w:tc>
          <w:tcPr>
            <w:tcW w:type="dxa" w:w="635"/>
            <w:tcMar>
              <w:top w:w="0" w:type="dxa"/>
              <w:bottom w:w="0" w:type="dxa"/>
              <w:left w:w="0" w:type="dxa"/>
              <w:right w:w="0" w:type="dxa"/>
            </w:tcMar>
          </w:tcPr>
          <w:p>
            <w:pPr>
              <w:pStyle w:val="Compact"/>
              <w:jc w:val="right"/>
              <w:keepNext/>
            </w:pPr>
            <w:r>
              <w:t xml:space="preserve">Sinhala</w:t>
            </w:r>
          </w:p>
        </w:tc>
        <w:tc>
          <w:tcPr>
            <w:tcW w:type="dxa" w:w="635"/>
            <w:tcMar>
              <w:top w:w="0" w:type="dxa"/>
              <w:bottom w:w="0" w:type="dxa"/>
              <w:left w:w="0" w:type="dxa"/>
              <w:right w:w="0" w:type="dxa"/>
            </w:tcMar>
          </w:tcPr>
          <w:p>
            <w:pPr>
              <w:pStyle w:val="Compact"/>
              <w:jc w:val="right"/>
              <w:keepNext/>
            </w:pPr>
            <w:r>
              <w:t xml:space="preserve">Singlish</w:t>
            </w:r>
          </w:p>
        </w:tc>
        <w:tc>
          <w:tcPr>
            <w:tcW w:type="dxa" w:w="635"/>
            <w:tcMar>
              <w:top w:w="0" w:type="dxa"/>
              <w:bottom w:w="0" w:type="dxa"/>
              <w:left w:w="0" w:type="dxa"/>
              <w:right w:w="0" w:type="dxa"/>
            </w:tcMar>
          </w:tcPr>
          <w:p>
            <w:pPr>
              <w:pStyle w:val="Compact"/>
              <w:jc w:val="right"/>
              <w:keepNext/>
            </w:pPr>
            <w:r>
              <w:t xml:space="preserve">Tamil</w:t>
            </w:r>
          </w:p>
        </w:tc>
        <w:tc>
          <w:tcPr>
            <w:tcW w:type="dxa" w:w="635"/>
            <w:tcMar>
              <w:top w:w="0" w:type="dxa"/>
              <w:bottom w:w="0" w:type="dxa"/>
              <w:left w:w="0" w:type="dxa"/>
              <w:right w:w="0" w:type="dxa"/>
            </w:tcMar>
          </w:tcPr>
          <w:p>
            <w:pPr>
              <w:pStyle w:val="Compact"/>
              <w:jc w:val="right"/>
              <w:keepNext/>
            </w:pPr>
            <w:r>
              <w:t xml:space="preserve">Tanglish</w:t>
            </w:r>
          </w:p>
        </w:tc>
        <w:tc>
          <w:tcPr>
            <w:tcW w:type="dxa" w:w="635"/>
            <w:tcMar>
              <w:top w:w="0" w:type="dxa"/>
              <w:bottom w:w="0" w:type="dxa"/>
              <w:left w:w="0" w:type="dxa"/>
              <w:right w:w="0" w:type="dxa"/>
            </w:tcMar>
          </w:tcPr>
          <w:p>
            <w:pPr>
              <w:pStyle w:val="Compact"/>
              <w:jc w:val="right"/>
              <w:keepNext/>
            </w:pPr>
            <w:r>
              <w:t xml:space="preserve">Pooled</w:t>
            </w:r>
          </w:p>
        </w:tc>
      </w:tr>
      <w:tr>
        <w:tc>
          <w:tcPr>
            <w:gridSpan w:val="7"/>
            <w:tcW w:type="dxa" w:w="4960"/>
            <w:tcMar>
              <w:top w:w="0" w:type="dxa"/>
              <w:bottom w:w="0" w:type="dxa"/>
              <w:left w:w="0" w:type="dxa"/>
              <w:right w:w="0" w:type="dxa"/>
            </w:tcMar>
          </w:tcPr>
          <w:p>
            <w:pPr>
              <w:pStyle w:val="Compact"/>
              <w:jc w:val="left"/>
              <w:keepNext/>
            </w:pPr>
            <w:r>
              <w:rPr>
                <w:i/>
                <w:iCs/>
              </w:rPr>
              <w:t xml:space="preserve">Intent</w:t>
            </w:r>
            <w:r>
              <w:t xml:space="preserve"> </w:t>
            </w:r>
            <w:r>
              <w:t xml:space="preserve">(macro-F</w:t>
            </w:r>
            <w:r>
              <w:rPr>
                <w:vertAlign w:val="subscript"/>
              </w:rPr>
              <w:t xml:space="preserve">1</w:t>
            </w:r>
            <w:r>
              <w:t xml:space="preserve">, 77 classes)</w:t>
            </w:r>
          </w:p>
        </w:tc>
      </w:tr>
      <w:tr>
        <w:tc>
          <w:tcPr>
            <w:tcW w:type="dxa" w:w="1150"/>
            <w:tcMar>
              <w:top w:w="0" w:type="dxa"/>
              <w:bottom w:w="0" w:type="dxa"/>
              <w:left w:w="0" w:type="dxa"/>
              <w:right w:w="0" w:type="dxa"/>
            </w:tcMar>
          </w:tcPr>
          <w:p>
            <w:pPr>
              <w:pStyle w:val="Compact"/>
              <w:jc w:val="left"/>
              <w:keepNext/>
            </w:pPr>
            <w:r>
              <w:t xml:space="preserve">Linear SVM</w:t>
            </w:r>
          </w:p>
        </w:tc>
        <w:tc>
          <w:tcPr>
            <w:tcW w:type="dxa" w:w="635"/>
            <w:tcMar>
              <w:top w:w="0" w:type="dxa"/>
              <w:bottom w:w="0" w:type="dxa"/>
              <w:left w:w="0" w:type="dxa"/>
              <w:right w:w="0" w:type="dxa"/>
            </w:tcMar>
          </w:tcPr>
          <w:p>
            <w:pPr>
              <w:pStyle w:val="Compact"/>
              <w:jc w:val="right"/>
              <w:keepNext/>
            </w:pPr>
            <w:r>
              <w:t xml:space="preserve">0.9180</w:t>
            </w:r>
          </w:p>
        </w:tc>
        <w:tc>
          <w:tcPr>
            <w:tcW w:type="dxa" w:w="635"/>
            <w:tcMar>
              <w:top w:w="0" w:type="dxa"/>
              <w:bottom w:w="0" w:type="dxa"/>
              <w:left w:w="0" w:type="dxa"/>
              <w:right w:w="0" w:type="dxa"/>
            </w:tcMar>
          </w:tcPr>
          <w:p>
            <w:pPr>
              <w:pStyle w:val="Compact"/>
              <w:jc w:val="right"/>
              <w:keepNext/>
            </w:pPr>
            <w:r>
              <w:t xml:space="preserve">0.8666</w:t>
            </w:r>
          </w:p>
        </w:tc>
        <w:tc>
          <w:tcPr>
            <w:tcW w:type="dxa" w:w="635"/>
            <w:tcMar>
              <w:top w:w="0" w:type="dxa"/>
              <w:bottom w:w="0" w:type="dxa"/>
              <w:left w:w="0" w:type="dxa"/>
              <w:right w:w="0" w:type="dxa"/>
            </w:tcMar>
          </w:tcPr>
          <w:p>
            <w:pPr>
              <w:pStyle w:val="Compact"/>
              <w:jc w:val="right"/>
              <w:keepNext/>
            </w:pPr>
            <w:r>
              <w:t xml:space="preserve">0.8793</w:t>
            </w:r>
          </w:p>
        </w:tc>
        <w:tc>
          <w:tcPr>
            <w:tcW w:type="dxa" w:w="635"/>
            <w:tcMar>
              <w:top w:w="0" w:type="dxa"/>
              <w:bottom w:w="0" w:type="dxa"/>
              <w:left w:w="0" w:type="dxa"/>
              <w:right w:w="0" w:type="dxa"/>
            </w:tcMar>
          </w:tcPr>
          <w:p>
            <w:pPr>
              <w:pStyle w:val="Compact"/>
              <w:jc w:val="right"/>
              <w:keepNext/>
            </w:pPr>
            <w:r>
              <w:t xml:space="preserve">0.8528</w:t>
            </w:r>
          </w:p>
        </w:tc>
        <w:tc>
          <w:tcPr>
            <w:tcW w:type="dxa" w:w="635"/>
            <w:tcMar>
              <w:top w:w="0" w:type="dxa"/>
              <w:bottom w:w="0" w:type="dxa"/>
              <w:left w:w="0" w:type="dxa"/>
              <w:right w:w="0" w:type="dxa"/>
            </w:tcMar>
          </w:tcPr>
          <w:p>
            <w:pPr>
              <w:pStyle w:val="Compact"/>
              <w:jc w:val="right"/>
              <w:keepNext/>
            </w:pPr>
            <w:r>
              <w:t xml:space="preserve">0.6127</w:t>
            </w:r>
          </w:p>
        </w:tc>
        <w:tc>
          <w:tcPr>
            <w:tcW w:type="dxa" w:w="635"/>
            <w:tcMar>
              <w:top w:w="0" w:type="dxa"/>
              <w:bottom w:w="0" w:type="dxa"/>
              <w:left w:w="0" w:type="dxa"/>
              <w:right w:w="0" w:type="dxa"/>
            </w:tcMar>
          </w:tcPr>
          <w:p>
            <w:pPr>
              <w:pStyle w:val="Compact"/>
              <w:jc w:val="right"/>
              <w:keepNext/>
            </w:pPr>
            <w:r>
              <w:t xml:space="preserve">0.8308</w:t>
            </w:r>
          </w:p>
        </w:tc>
      </w:tr>
      <w:tr>
        <w:tc>
          <w:tcPr>
            <w:tcW w:type="dxa" w:w="1150"/>
            <w:tcMar>
              <w:top w:w="0" w:type="dxa"/>
              <w:bottom w:w="0" w:type="dxa"/>
              <w:left w:w="0" w:type="dxa"/>
              <w:right w:w="0" w:type="dxa"/>
            </w:tcMar>
          </w:tcPr>
          <w:p>
            <w:pPr>
              <w:pStyle w:val="Compact"/>
              <w:jc w:val="left"/>
              <w:keepNext/>
            </w:pPr>
            <w:r>
              <w:t xml:space="preserve">LaBSE</w:t>
            </w:r>
          </w:p>
        </w:tc>
        <w:tc>
          <w:tcPr>
            <w:tcW w:type="dxa" w:w="635"/>
            <w:tcMar>
              <w:top w:w="0" w:type="dxa"/>
              <w:bottom w:w="0" w:type="dxa"/>
              <w:left w:w="0" w:type="dxa"/>
              <w:right w:w="0" w:type="dxa"/>
            </w:tcMar>
          </w:tcPr>
          <w:p>
            <w:pPr>
              <w:pStyle w:val="Compact"/>
              <w:jc w:val="right"/>
              <w:keepNext/>
            </w:pPr>
            <w:r>
              <w:rPr>
                <w:b/>
                <w:bCs/>
              </w:rPr>
              <w:t xml:space="preserve">0.9412</w:t>
            </w:r>
          </w:p>
        </w:tc>
        <w:tc>
          <w:tcPr>
            <w:tcW w:type="dxa" w:w="635"/>
            <w:tcMar>
              <w:top w:w="0" w:type="dxa"/>
              <w:bottom w:w="0" w:type="dxa"/>
              <w:left w:w="0" w:type="dxa"/>
              <w:right w:w="0" w:type="dxa"/>
            </w:tcMar>
          </w:tcPr>
          <w:p>
            <w:pPr>
              <w:pStyle w:val="Compact"/>
              <w:jc w:val="right"/>
              <w:keepNext/>
            </w:pPr>
            <w:r>
              <w:rPr>
                <w:b/>
                <w:bCs/>
              </w:rPr>
              <w:t xml:space="preserve">0.9319</w:t>
            </w:r>
          </w:p>
        </w:tc>
        <w:tc>
          <w:tcPr>
            <w:tcW w:type="dxa" w:w="635"/>
            <w:tcMar>
              <w:top w:w="0" w:type="dxa"/>
              <w:bottom w:w="0" w:type="dxa"/>
              <w:left w:w="0" w:type="dxa"/>
              <w:right w:w="0" w:type="dxa"/>
            </w:tcMar>
          </w:tcPr>
          <w:p>
            <w:pPr>
              <w:pStyle w:val="Compact"/>
              <w:jc w:val="right"/>
              <w:keepNext/>
            </w:pPr>
            <w:r>
              <w:rPr>
                <w:b/>
                <w:bCs/>
              </w:rPr>
              <w:t xml:space="preserve">0.9034</w:t>
            </w:r>
          </w:p>
        </w:tc>
        <w:tc>
          <w:tcPr>
            <w:tcW w:type="dxa" w:w="635"/>
            <w:tcMar>
              <w:top w:w="0" w:type="dxa"/>
              <w:bottom w:w="0" w:type="dxa"/>
              <w:left w:w="0" w:type="dxa"/>
              <w:right w:w="0" w:type="dxa"/>
            </w:tcMar>
          </w:tcPr>
          <w:p>
            <w:pPr>
              <w:pStyle w:val="Compact"/>
              <w:jc w:val="right"/>
              <w:keepNext/>
            </w:pPr>
            <w:r>
              <w:rPr>
                <w:b/>
                <w:bCs/>
              </w:rPr>
              <w:t xml:space="preserve">0.9329</w:t>
            </w:r>
          </w:p>
        </w:tc>
        <w:tc>
          <w:tcPr>
            <w:tcW w:type="dxa" w:w="635"/>
            <w:tcMar>
              <w:top w:w="0" w:type="dxa"/>
              <w:bottom w:w="0" w:type="dxa"/>
              <w:left w:w="0" w:type="dxa"/>
              <w:right w:w="0" w:type="dxa"/>
            </w:tcMar>
          </w:tcPr>
          <w:p>
            <w:pPr>
              <w:pStyle w:val="Compact"/>
              <w:jc w:val="right"/>
              <w:keepNext/>
            </w:pPr>
            <w:r>
              <w:t xml:space="preserve">0.6928</w:t>
            </w:r>
          </w:p>
        </w:tc>
        <w:tc>
          <w:tcPr>
            <w:tcW w:type="dxa" w:w="635"/>
            <w:tcMar>
              <w:top w:w="0" w:type="dxa"/>
              <w:bottom w:w="0" w:type="dxa"/>
              <w:left w:w="0" w:type="dxa"/>
              <w:right w:w="0" w:type="dxa"/>
            </w:tcMar>
          </w:tcPr>
          <w:p>
            <w:pPr>
              <w:pStyle w:val="Compact"/>
              <w:jc w:val="right"/>
              <w:keepNext/>
            </w:pPr>
            <w:r>
              <w:rPr>
                <w:b/>
                <w:bCs/>
              </w:rPr>
              <w:t xml:space="preserve">0.8835</w:t>
            </w:r>
          </w:p>
        </w:tc>
      </w:tr>
      <w:tr>
        <w:tc>
          <w:tcPr>
            <w:tcW w:type="dxa" w:w="1150"/>
            <w:tcMar>
              <w:top w:w="0" w:type="dxa"/>
              <w:bottom w:w="0" w:type="dxa"/>
              <w:left w:w="0" w:type="dxa"/>
              <w:right w:w="0" w:type="dxa"/>
            </w:tcMar>
          </w:tcPr>
          <w:p>
            <w:pPr>
              <w:pStyle w:val="Compact"/>
              <w:jc w:val="left"/>
              <w:keepNext/>
            </w:pPr>
            <w:r>
              <w:t xml:space="preserve">XLM-R base</w:t>
            </w:r>
          </w:p>
        </w:tc>
        <w:tc>
          <w:tcPr>
            <w:tcW w:type="dxa" w:w="635"/>
            <w:tcMar>
              <w:top w:w="0" w:type="dxa"/>
              <w:bottom w:w="0" w:type="dxa"/>
              <w:left w:w="0" w:type="dxa"/>
              <w:right w:w="0" w:type="dxa"/>
            </w:tcMar>
          </w:tcPr>
          <w:p>
            <w:pPr>
              <w:pStyle w:val="Compact"/>
              <w:jc w:val="right"/>
              <w:keepNext/>
            </w:pPr>
            <w:r>
              <w:t xml:space="preserve">0.9402</w:t>
            </w:r>
          </w:p>
        </w:tc>
        <w:tc>
          <w:tcPr>
            <w:tcW w:type="dxa" w:w="635"/>
            <w:tcMar>
              <w:top w:w="0" w:type="dxa"/>
              <w:bottom w:w="0" w:type="dxa"/>
              <w:left w:w="0" w:type="dxa"/>
              <w:right w:w="0" w:type="dxa"/>
            </w:tcMar>
          </w:tcPr>
          <w:p>
            <w:pPr>
              <w:pStyle w:val="Compact"/>
              <w:jc w:val="right"/>
              <w:keepNext/>
            </w:pPr>
            <w:r>
              <w:t xml:space="preserve">0.9244</w:t>
            </w:r>
          </w:p>
        </w:tc>
        <w:tc>
          <w:tcPr>
            <w:tcW w:type="dxa" w:w="635"/>
            <w:tcMar>
              <w:top w:w="0" w:type="dxa"/>
              <w:bottom w:w="0" w:type="dxa"/>
              <w:left w:w="0" w:type="dxa"/>
              <w:right w:w="0" w:type="dxa"/>
            </w:tcMar>
          </w:tcPr>
          <w:p>
            <w:pPr>
              <w:pStyle w:val="Compact"/>
              <w:jc w:val="right"/>
              <w:keepNext/>
            </w:pPr>
            <w:r>
              <w:t xml:space="preserve">0.8987</w:t>
            </w:r>
          </w:p>
        </w:tc>
        <w:tc>
          <w:tcPr>
            <w:tcW w:type="dxa" w:w="635"/>
            <w:tcMar>
              <w:top w:w="0" w:type="dxa"/>
              <w:bottom w:w="0" w:type="dxa"/>
              <w:left w:w="0" w:type="dxa"/>
              <w:right w:w="0" w:type="dxa"/>
            </w:tcMar>
          </w:tcPr>
          <w:p>
            <w:pPr>
              <w:pStyle w:val="Compact"/>
              <w:jc w:val="right"/>
              <w:keepNext/>
            </w:pPr>
            <w:r>
              <w:t xml:space="preserve">0.9151</w:t>
            </w:r>
          </w:p>
        </w:tc>
        <w:tc>
          <w:tcPr>
            <w:tcW w:type="dxa" w:w="635"/>
            <w:tcMar>
              <w:top w:w="0" w:type="dxa"/>
              <w:bottom w:w="0" w:type="dxa"/>
              <w:left w:w="0" w:type="dxa"/>
              <w:right w:w="0" w:type="dxa"/>
            </w:tcMar>
          </w:tcPr>
          <w:p>
            <w:pPr>
              <w:pStyle w:val="Compact"/>
              <w:jc w:val="right"/>
              <w:keepNext/>
            </w:pPr>
            <w:r>
              <w:t xml:space="preserve">0.7067</w:t>
            </w:r>
          </w:p>
        </w:tc>
        <w:tc>
          <w:tcPr>
            <w:tcW w:type="dxa" w:w="635"/>
            <w:tcMar>
              <w:top w:w="0" w:type="dxa"/>
              <w:bottom w:w="0" w:type="dxa"/>
              <w:left w:w="0" w:type="dxa"/>
              <w:right w:w="0" w:type="dxa"/>
            </w:tcMar>
          </w:tcPr>
          <w:p>
            <w:pPr>
              <w:pStyle w:val="Compact"/>
              <w:jc w:val="right"/>
              <w:keepNext/>
            </w:pPr>
            <w:r>
              <w:t xml:space="preserve">0.8801</w:t>
            </w:r>
          </w:p>
        </w:tc>
      </w:tr>
      <w:tr>
        <w:tc>
          <w:tcPr>
            <w:tcW w:type="dxa" w:w="1150"/>
            <w:tcMar>
              <w:top w:w="0" w:type="dxa"/>
              <w:bottom w:w="0" w:type="dxa"/>
              <w:left w:w="0" w:type="dxa"/>
              <w:right w:w="0" w:type="dxa"/>
            </w:tcMar>
          </w:tcPr>
          <w:p>
            <w:pPr>
              <w:pStyle w:val="Compact"/>
              <w:jc w:val="left"/>
              <w:keepNext/>
            </w:pPr>
            <w:r>
              <w:t xml:space="preserve">mmBERT</w:t>
            </w:r>
          </w:p>
        </w:tc>
        <w:tc>
          <w:tcPr>
            <w:tcW w:type="dxa" w:w="635"/>
            <w:tcMar>
              <w:top w:w="0" w:type="dxa"/>
              <w:bottom w:w="0" w:type="dxa"/>
              <w:left w:w="0" w:type="dxa"/>
              <w:right w:w="0" w:type="dxa"/>
            </w:tcMar>
          </w:tcPr>
          <w:p>
            <w:pPr>
              <w:pStyle w:val="Compact"/>
              <w:jc w:val="right"/>
              <w:keepNext/>
            </w:pPr>
            <w:r>
              <w:t xml:space="preserve">0.9374</w:t>
            </w:r>
          </w:p>
        </w:tc>
        <w:tc>
          <w:tcPr>
            <w:tcW w:type="dxa" w:w="635"/>
            <w:tcMar>
              <w:top w:w="0" w:type="dxa"/>
              <w:bottom w:w="0" w:type="dxa"/>
              <w:left w:w="0" w:type="dxa"/>
              <w:right w:w="0" w:type="dxa"/>
            </w:tcMar>
          </w:tcPr>
          <w:p>
            <w:pPr>
              <w:pStyle w:val="Compact"/>
              <w:jc w:val="right"/>
              <w:keepNext/>
            </w:pPr>
            <w:r>
              <w:t xml:space="preserve">0.9123</w:t>
            </w:r>
          </w:p>
        </w:tc>
        <w:tc>
          <w:tcPr>
            <w:tcW w:type="dxa" w:w="635"/>
            <w:tcMar>
              <w:top w:w="0" w:type="dxa"/>
              <w:bottom w:w="0" w:type="dxa"/>
              <w:left w:w="0" w:type="dxa"/>
              <w:right w:w="0" w:type="dxa"/>
            </w:tcMar>
          </w:tcPr>
          <w:p>
            <w:pPr>
              <w:pStyle w:val="Compact"/>
              <w:jc w:val="right"/>
              <w:keepNext/>
            </w:pPr>
            <w:r>
              <w:t xml:space="preserve">0.9013</w:t>
            </w:r>
          </w:p>
        </w:tc>
        <w:tc>
          <w:tcPr>
            <w:tcW w:type="dxa" w:w="635"/>
            <w:tcMar>
              <w:top w:w="0" w:type="dxa"/>
              <w:bottom w:w="0" w:type="dxa"/>
              <w:left w:w="0" w:type="dxa"/>
              <w:right w:w="0" w:type="dxa"/>
            </w:tcMar>
          </w:tcPr>
          <w:p>
            <w:pPr>
              <w:pStyle w:val="Compact"/>
              <w:jc w:val="right"/>
              <w:keepNext/>
            </w:pPr>
            <w:r>
              <w:t xml:space="preserve">0.9147</w:t>
            </w:r>
          </w:p>
        </w:tc>
        <w:tc>
          <w:tcPr>
            <w:tcW w:type="dxa" w:w="635"/>
            <w:tcMar>
              <w:top w:w="0" w:type="dxa"/>
              <w:bottom w:w="0" w:type="dxa"/>
              <w:left w:w="0" w:type="dxa"/>
              <w:right w:w="0" w:type="dxa"/>
            </w:tcMar>
          </w:tcPr>
          <w:p>
            <w:pPr>
              <w:pStyle w:val="Compact"/>
              <w:jc w:val="right"/>
              <w:keepNext/>
            </w:pPr>
            <w:r>
              <w:t xml:space="preserve">0.6566</w:t>
            </w:r>
          </w:p>
        </w:tc>
        <w:tc>
          <w:tcPr>
            <w:tcW w:type="dxa" w:w="635"/>
            <w:tcMar>
              <w:top w:w="0" w:type="dxa"/>
              <w:bottom w:w="0" w:type="dxa"/>
              <w:left w:w="0" w:type="dxa"/>
              <w:right w:w="0" w:type="dxa"/>
            </w:tcMar>
          </w:tcPr>
          <w:p>
            <w:pPr>
              <w:pStyle w:val="Compact"/>
              <w:jc w:val="right"/>
              <w:keepNext/>
            </w:pPr>
            <w:r>
              <w:t xml:space="preserve">0.8680</w:t>
            </w:r>
          </w:p>
        </w:tc>
      </w:tr>
      <w:tr>
        <w:tc>
          <w:tcPr>
            <w:tcW w:type="dxa" w:w="1150"/>
            <w:tcMar>
              <w:top w:w="0" w:type="dxa"/>
              <w:bottom w:w="0" w:type="dxa"/>
              <w:left w:w="0" w:type="dxa"/>
              <w:right w:w="0" w:type="dxa"/>
            </w:tcMar>
          </w:tcPr>
          <w:p>
            <w:pPr>
              <w:pStyle w:val="Compact"/>
              <w:jc w:val="left"/>
              <w:keepNext/>
            </w:pPr>
            <w:r>
              <w:t xml:space="preserve">MuRIL base</w:t>
            </w:r>
          </w:p>
        </w:tc>
        <w:tc>
          <w:tcPr>
            <w:tcW w:type="dxa" w:w="635"/>
            <w:tcMar>
              <w:top w:w="0" w:type="dxa"/>
              <w:bottom w:w="0" w:type="dxa"/>
              <w:left w:w="0" w:type="dxa"/>
              <w:right w:w="0" w:type="dxa"/>
            </w:tcMar>
          </w:tcPr>
          <w:p>
            <w:pPr>
              <w:pStyle w:val="Compact"/>
              <w:jc w:val="right"/>
              <w:keepNext/>
            </w:pPr>
            <w:r>
              <w:t xml:space="preserve">0.9226</w:t>
            </w:r>
          </w:p>
        </w:tc>
        <w:tc>
          <w:tcPr>
            <w:tcW w:type="dxa" w:w="635"/>
            <w:tcMar>
              <w:top w:w="0" w:type="dxa"/>
              <w:bottom w:w="0" w:type="dxa"/>
              <w:left w:w="0" w:type="dxa"/>
              <w:right w:w="0" w:type="dxa"/>
            </w:tcMar>
          </w:tcPr>
          <w:p>
            <w:pPr>
              <w:pStyle w:val="Compact"/>
              <w:jc w:val="right"/>
              <w:keepNext/>
            </w:pPr>
            <w:r>
              <w:t xml:space="preserve">0.7224</w:t>
            </w:r>
          </w:p>
        </w:tc>
        <w:tc>
          <w:tcPr>
            <w:tcW w:type="dxa" w:w="635"/>
            <w:tcMar>
              <w:top w:w="0" w:type="dxa"/>
              <w:bottom w:w="0" w:type="dxa"/>
              <w:left w:w="0" w:type="dxa"/>
              <w:right w:w="0" w:type="dxa"/>
            </w:tcMar>
          </w:tcPr>
          <w:p>
            <w:pPr>
              <w:pStyle w:val="Compact"/>
              <w:jc w:val="right"/>
              <w:keepNext/>
            </w:pPr>
            <w:r>
              <w:t xml:space="preserve">0.8888</w:t>
            </w:r>
          </w:p>
        </w:tc>
        <w:tc>
          <w:tcPr>
            <w:tcW w:type="dxa" w:w="635"/>
            <w:tcMar>
              <w:top w:w="0" w:type="dxa"/>
              <w:bottom w:w="0" w:type="dxa"/>
              <w:left w:w="0" w:type="dxa"/>
              <w:right w:w="0" w:type="dxa"/>
            </w:tcMar>
          </w:tcPr>
          <w:p>
            <w:pPr>
              <w:pStyle w:val="Compact"/>
              <w:jc w:val="right"/>
              <w:keepNext/>
            </w:pPr>
            <w:r>
              <w:t xml:space="preserve">0.9080</w:t>
            </w:r>
          </w:p>
        </w:tc>
        <w:tc>
          <w:tcPr>
            <w:tcW w:type="dxa" w:w="635"/>
            <w:tcMar>
              <w:top w:w="0" w:type="dxa"/>
              <w:bottom w:w="0" w:type="dxa"/>
              <w:left w:w="0" w:type="dxa"/>
              <w:right w:w="0" w:type="dxa"/>
            </w:tcMar>
          </w:tcPr>
          <w:p>
            <w:pPr>
              <w:pStyle w:val="Compact"/>
              <w:jc w:val="right"/>
              <w:keepNext/>
            </w:pPr>
            <w:r>
              <w:rPr>
                <w:b/>
                <w:bCs/>
              </w:rPr>
              <w:t xml:space="preserve">0.7824</w:t>
            </w:r>
          </w:p>
        </w:tc>
        <w:tc>
          <w:tcPr>
            <w:tcW w:type="dxa" w:w="635"/>
            <w:tcMar>
              <w:top w:w="0" w:type="dxa"/>
              <w:bottom w:w="0" w:type="dxa"/>
              <w:left w:w="0" w:type="dxa"/>
              <w:right w:w="0" w:type="dxa"/>
            </w:tcMar>
          </w:tcPr>
          <w:p>
            <w:pPr>
              <w:pStyle w:val="Compact"/>
              <w:jc w:val="right"/>
              <w:keepNext/>
            </w:pPr>
            <w:r>
              <w:t xml:space="preserve">0.8467</w:t>
            </w:r>
          </w:p>
        </w:tc>
      </w:tr>
      <w:tr>
        <w:tc>
          <w:tcPr>
            <w:gridSpan w:val="7"/>
            <w:tcW w:type="dxa" w:w="4960"/>
            <w:tcMar>
              <w:top w:w="0" w:type="dxa"/>
              <w:bottom w:w="0" w:type="dxa"/>
              <w:left w:w="0" w:type="dxa"/>
              <w:right w:w="0" w:type="dxa"/>
            </w:tcMar>
          </w:tcPr>
          <w:p>
            <w:pPr>
              <w:pStyle w:val="Compact"/>
              <w:jc w:val="left"/>
              <w:keepNext/>
            </w:pPr>
            <w:r>
              <w:rPr>
                <w:i/>
                <w:iCs/>
              </w:rPr>
              <w:t xml:space="preserve">Sentiment</w:t>
            </w:r>
            <w:r>
              <w:t xml:space="preserve"> </w:t>
            </w:r>
            <w:r>
              <w:t xml:space="preserve">(Negative-F</w:t>
            </w:r>
            <w:r>
              <w:rPr>
                <w:vertAlign w:val="subscript"/>
              </w:rPr>
              <w:t xml:space="preserve">1</w:t>
            </w:r>
            <w:r>
              <w:t xml:space="preserve">)</w:t>
            </w:r>
          </w:p>
        </w:tc>
      </w:tr>
      <w:tr>
        <w:tc>
          <w:tcPr>
            <w:tcW w:type="dxa" w:w="1150"/>
            <w:tcMar>
              <w:top w:w="0" w:type="dxa"/>
              <w:bottom w:w="0" w:type="dxa"/>
              <w:left w:w="0" w:type="dxa"/>
              <w:right w:w="0" w:type="dxa"/>
            </w:tcMar>
          </w:tcPr>
          <w:p>
            <w:pPr>
              <w:pStyle w:val="Compact"/>
              <w:jc w:val="left"/>
              <w:keepNext/>
            </w:pPr>
            <w:r>
              <w:t xml:space="preserve">Linear SVM</w:t>
            </w:r>
          </w:p>
        </w:tc>
        <w:tc>
          <w:tcPr>
            <w:tcW w:type="dxa" w:w="635"/>
            <w:tcMar>
              <w:top w:w="0" w:type="dxa"/>
              <w:bottom w:w="0" w:type="dxa"/>
              <w:left w:w="0" w:type="dxa"/>
              <w:right w:w="0" w:type="dxa"/>
            </w:tcMar>
          </w:tcPr>
          <w:p>
            <w:pPr>
              <w:pStyle w:val="Compact"/>
              <w:jc w:val="right"/>
              <w:keepNext/>
            </w:pPr>
            <w:r>
              <w:t xml:space="preserve">0.7198</w:t>
            </w:r>
          </w:p>
        </w:tc>
        <w:tc>
          <w:tcPr>
            <w:tcW w:type="dxa" w:w="635"/>
            <w:tcMar>
              <w:top w:w="0" w:type="dxa"/>
              <w:bottom w:w="0" w:type="dxa"/>
              <w:left w:w="0" w:type="dxa"/>
              <w:right w:w="0" w:type="dxa"/>
            </w:tcMar>
          </w:tcPr>
          <w:p>
            <w:pPr>
              <w:pStyle w:val="Compact"/>
              <w:jc w:val="right"/>
              <w:keepNext/>
            </w:pPr>
            <w:r>
              <w:t xml:space="preserve">0.6412</w:t>
            </w:r>
          </w:p>
        </w:tc>
        <w:tc>
          <w:tcPr>
            <w:tcW w:type="dxa" w:w="635"/>
            <w:tcMar>
              <w:top w:w="0" w:type="dxa"/>
              <w:bottom w:w="0" w:type="dxa"/>
              <w:left w:w="0" w:type="dxa"/>
              <w:right w:w="0" w:type="dxa"/>
            </w:tcMar>
          </w:tcPr>
          <w:p>
            <w:pPr>
              <w:pStyle w:val="Compact"/>
              <w:jc w:val="right"/>
              <w:keepNext/>
            </w:pPr>
            <w:r>
              <w:t xml:space="preserve">0.6633</w:t>
            </w:r>
          </w:p>
        </w:tc>
        <w:tc>
          <w:tcPr>
            <w:tcW w:type="dxa" w:w="635"/>
            <w:tcMar>
              <w:top w:w="0" w:type="dxa"/>
              <w:bottom w:w="0" w:type="dxa"/>
              <w:left w:w="0" w:type="dxa"/>
              <w:right w:w="0" w:type="dxa"/>
            </w:tcMar>
          </w:tcPr>
          <w:p>
            <w:pPr>
              <w:pStyle w:val="Compact"/>
              <w:jc w:val="right"/>
              <w:keepNext/>
            </w:pPr>
            <w:r>
              <w:t xml:space="preserve">0.7249</w:t>
            </w:r>
          </w:p>
        </w:tc>
        <w:tc>
          <w:tcPr>
            <w:tcW w:type="dxa" w:w="635"/>
            <w:tcMar>
              <w:top w:w="0" w:type="dxa"/>
              <w:bottom w:w="0" w:type="dxa"/>
              <w:left w:w="0" w:type="dxa"/>
              <w:right w:w="0" w:type="dxa"/>
            </w:tcMar>
          </w:tcPr>
          <w:p>
            <w:pPr>
              <w:pStyle w:val="Compact"/>
              <w:jc w:val="right"/>
              <w:keepNext/>
            </w:pPr>
            <w:r>
              <w:t xml:space="preserve">0.5722</w:t>
            </w:r>
          </w:p>
        </w:tc>
        <w:tc>
          <w:tcPr>
            <w:tcW w:type="dxa" w:w="635"/>
            <w:tcMar>
              <w:top w:w="0" w:type="dxa"/>
              <w:bottom w:w="0" w:type="dxa"/>
              <w:left w:w="0" w:type="dxa"/>
              <w:right w:w="0" w:type="dxa"/>
            </w:tcMar>
          </w:tcPr>
          <w:p>
            <w:pPr>
              <w:pStyle w:val="Compact"/>
              <w:jc w:val="right"/>
              <w:keepNext/>
            </w:pPr>
            <w:r>
              <w:t xml:space="preserve">0.6653</w:t>
            </w:r>
          </w:p>
        </w:tc>
      </w:tr>
      <w:tr>
        <w:tc>
          <w:tcPr>
            <w:tcW w:type="dxa" w:w="1150"/>
            <w:tcMar>
              <w:top w:w="0" w:type="dxa"/>
              <w:bottom w:w="0" w:type="dxa"/>
              <w:left w:w="0" w:type="dxa"/>
              <w:right w:w="0" w:type="dxa"/>
            </w:tcMar>
          </w:tcPr>
          <w:p>
            <w:pPr>
              <w:pStyle w:val="Compact"/>
              <w:jc w:val="left"/>
              <w:keepNext/>
            </w:pPr>
            <w:r>
              <w:t xml:space="preserve">LaBSE</w:t>
            </w:r>
          </w:p>
        </w:tc>
        <w:tc>
          <w:tcPr>
            <w:tcW w:type="dxa" w:w="635"/>
            <w:tcMar>
              <w:top w:w="0" w:type="dxa"/>
              <w:bottom w:w="0" w:type="dxa"/>
              <w:left w:w="0" w:type="dxa"/>
              <w:right w:w="0" w:type="dxa"/>
            </w:tcMar>
          </w:tcPr>
          <w:p>
            <w:pPr>
              <w:pStyle w:val="Compact"/>
              <w:jc w:val="right"/>
              <w:keepNext/>
            </w:pPr>
            <w:r>
              <w:rPr>
                <w:b/>
                <w:bCs/>
              </w:rPr>
              <w:t xml:space="preserve">0.8032</w:t>
            </w:r>
          </w:p>
        </w:tc>
        <w:tc>
          <w:tcPr>
            <w:tcW w:type="dxa" w:w="635"/>
            <w:tcMar>
              <w:top w:w="0" w:type="dxa"/>
              <w:bottom w:w="0" w:type="dxa"/>
              <w:left w:w="0" w:type="dxa"/>
              <w:right w:w="0" w:type="dxa"/>
            </w:tcMar>
          </w:tcPr>
          <w:p>
            <w:pPr>
              <w:pStyle w:val="Compact"/>
              <w:jc w:val="right"/>
              <w:keepNext/>
            </w:pPr>
            <w:r>
              <w:rPr>
                <w:b/>
                <w:bCs/>
              </w:rPr>
              <w:t xml:space="preserve">0.7234</w:t>
            </w:r>
          </w:p>
        </w:tc>
        <w:tc>
          <w:tcPr>
            <w:tcW w:type="dxa" w:w="635"/>
            <w:tcMar>
              <w:top w:w="0" w:type="dxa"/>
              <w:bottom w:w="0" w:type="dxa"/>
              <w:left w:w="0" w:type="dxa"/>
              <w:right w:w="0" w:type="dxa"/>
            </w:tcMar>
          </w:tcPr>
          <w:p>
            <w:pPr>
              <w:pStyle w:val="Compact"/>
              <w:jc w:val="right"/>
              <w:keepNext/>
            </w:pPr>
            <w:r>
              <w:t xml:space="preserve">0.6757</w:t>
            </w:r>
          </w:p>
        </w:tc>
        <w:tc>
          <w:tcPr>
            <w:tcW w:type="dxa" w:w="635"/>
            <w:tcMar>
              <w:top w:w="0" w:type="dxa"/>
              <w:bottom w:w="0" w:type="dxa"/>
              <w:left w:w="0" w:type="dxa"/>
              <w:right w:w="0" w:type="dxa"/>
            </w:tcMar>
          </w:tcPr>
          <w:p>
            <w:pPr>
              <w:pStyle w:val="Compact"/>
              <w:jc w:val="right"/>
              <w:keepNext/>
            </w:pPr>
            <w:r>
              <w:rPr>
                <w:b/>
                <w:bCs/>
              </w:rPr>
              <w:t xml:space="preserve">0.7606</w:t>
            </w:r>
          </w:p>
        </w:tc>
        <w:tc>
          <w:tcPr>
            <w:tcW w:type="dxa" w:w="635"/>
            <w:tcMar>
              <w:top w:w="0" w:type="dxa"/>
              <w:bottom w:w="0" w:type="dxa"/>
              <w:left w:w="0" w:type="dxa"/>
              <w:right w:w="0" w:type="dxa"/>
            </w:tcMar>
          </w:tcPr>
          <w:p>
            <w:pPr>
              <w:pStyle w:val="Compact"/>
              <w:jc w:val="right"/>
              <w:keepNext/>
            </w:pPr>
            <w:r>
              <w:t xml:space="preserve">0.5948</w:t>
            </w:r>
          </w:p>
        </w:tc>
        <w:tc>
          <w:tcPr>
            <w:tcW w:type="dxa" w:w="635"/>
            <w:tcMar>
              <w:top w:w="0" w:type="dxa"/>
              <w:bottom w:w="0" w:type="dxa"/>
              <w:left w:w="0" w:type="dxa"/>
              <w:right w:w="0" w:type="dxa"/>
            </w:tcMar>
          </w:tcPr>
          <w:p>
            <w:pPr>
              <w:pStyle w:val="Compact"/>
              <w:jc w:val="right"/>
              <w:keepNext/>
            </w:pPr>
            <w:r>
              <w:rPr>
                <w:b/>
                <w:bCs/>
              </w:rPr>
              <w:t xml:space="preserve">0.7138</w:t>
            </w:r>
          </w:p>
        </w:tc>
      </w:tr>
      <w:tr>
        <w:tc>
          <w:tcPr>
            <w:tcW w:type="dxa" w:w="1150"/>
            <w:tcMar>
              <w:top w:w="0" w:type="dxa"/>
              <w:bottom w:w="0" w:type="dxa"/>
              <w:left w:w="0" w:type="dxa"/>
              <w:right w:w="0" w:type="dxa"/>
            </w:tcMar>
          </w:tcPr>
          <w:p>
            <w:pPr>
              <w:pStyle w:val="Compact"/>
              <w:jc w:val="left"/>
              <w:keepNext/>
            </w:pPr>
            <w:r>
              <w:t xml:space="preserve">XLM-R base</w:t>
            </w:r>
          </w:p>
        </w:tc>
        <w:tc>
          <w:tcPr>
            <w:tcW w:type="dxa" w:w="635"/>
            <w:tcMar>
              <w:top w:w="0" w:type="dxa"/>
              <w:bottom w:w="0" w:type="dxa"/>
              <w:left w:w="0" w:type="dxa"/>
              <w:right w:w="0" w:type="dxa"/>
            </w:tcMar>
          </w:tcPr>
          <w:p>
            <w:pPr>
              <w:pStyle w:val="Compact"/>
              <w:jc w:val="right"/>
              <w:keepNext/>
            </w:pPr>
            <w:r>
              <w:t xml:space="preserve">0.7838</w:t>
            </w:r>
          </w:p>
        </w:tc>
        <w:tc>
          <w:tcPr>
            <w:tcW w:type="dxa" w:w="635"/>
            <w:tcMar>
              <w:top w:w="0" w:type="dxa"/>
              <w:bottom w:w="0" w:type="dxa"/>
              <w:left w:w="0" w:type="dxa"/>
              <w:right w:w="0" w:type="dxa"/>
            </w:tcMar>
          </w:tcPr>
          <w:p>
            <w:pPr>
              <w:pStyle w:val="Compact"/>
              <w:jc w:val="right"/>
              <w:keepNext/>
            </w:pPr>
            <w:r>
              <w:t xml:space="preserve">0.7215</w:t>
            </w:r>
          </w:p>
        </w:tc>
        <w:tc>
          <w:tcPr>
            <w:tcW w:type="dxa" w:w="635"/>
            <w:tcMar>
              <w:top w:w="0" w:type="dxa"/>
              <w:bottom w:w="0" w:type="dxa"/>
              <w:left w:w="0" w:type="dxa"/>
              <w:right w:w="0" w:type="dxa"/>
            </w:tcMar>
          </w:tcPr>
          <w:p>
            <w:pPr>
              <w:pStyle w:val="Compact"/>
              <w:jc w:val="right"/>
              <w:keepNext/>
            </w:pPr>
            <w:r>
              <w:t xml:space="preserve">0.6361</w:t>
            </w:r>
          </w:p>
        </w:tc>
        <w:tc>
          <w:tcPr>
            <w:tcW w:type="dxa" w:w="635"/>
            <w:tcMar>
              <w:top w:w="0" w:type="dxa"/>
              <w:bottom w:w="0" w:type="dxa"/>
              <w:left w:w="0" w:type="dxa"/>
              <w:right w:w="0" w:type="dxa"/>
            </w:tcMar>
          </w:tcPr>
          <w:p>
            <w:pPr>
              <w:pStyle w:val="Compact"/>
              <w:jc w:val="right"/>
              <w:keepNext/>
            </w:pPr>
            <w:r>
              <w:t xml:space="preserve">0.7473</w:t>
            </w:r>
          </w:p>
        </w:tc>
        <w:tc>
          <w:tcPr>
            <w:tcW w:type="dxa" w:w="635"/>
            <w:tcMar>
              <w:top w:w="0" w:type="dxa"/>
              <w:bottom w:w="0" w:type="dxa"/>
              <w:left w:w="0" w:type="dxa"/>
              <w:right w:w="0" w:type="dxa"/>
            </w:tcMar>
          </w:tcPr>
          <w:p>
            <w:pPr>
              <w:pStyle w:val="Compact"/>
              <w:jc w:val="right"/>
              <w:keepNext/>
            </w:pPr>
            <w:r>
              <w:t xml:space="preserve">0.5981</w:t>
            </w:r>
          </w:p>
        </w:tc>
        <w:tc>
          <w:tcPr>
            <w:tcW w:type="dxa" w:w="635"/>
            <w:tcMar>
              <w:top w:w="0" w:type="dxa"/>
              <w:bottom w:w="0" w:type="dxa"/>
              <w:left w:w="0" w:type="dxa"/>
              <w:right w:w="0" w:type="dxa"/>
            </w:tcMar>
          </w:tcPr>
          <w:p>
            <w:pPr>
              <w:pStyle w:val="Compact"/>
              <w:jc w:val="right"/>
              <w:keepNext/>
            </w:pPr>
            <w:r>
              <w:t xml:space="preserve">0.7007</w:t>
            </w:r>
          </w:p>
        </w:tc>
      </w:tr>
      <w:tr>
        <w:tc>
          <w:tcPr>
            <w:tcW w:type="dxa" w:w="1150"/>
            <w:tcMar>
              <w:top w:w="0" w:type="dxa"/>
              <w:bottom w:w="0" w:type="dxa"/>
              <w:left w:w="0" w:type="dxa"/>
              <w:right w:w="0" w:type="dxa"/>
            </w:tcMar>
          </w:tcPr>
          <w:p>
            <w:pPr>
              <w:pStyle w:val="Compact"/>
              <w:jc w:val="left"/>
              <w:keepNext/>
            </w:pPr>
            <w:r>
              <w:t xml:space="preserve">mmBERT</w:t>
            </w:r>
          </w:p>
        </w:tc>
        <w:tc>
          <w:tcPr>
            <w:tcW w:type="dxa" w:w="635"/>
            <w:tcMar>
              <w:top w:w="0" w:type="dxa"/>
              <w:bottom w:w="0" w:type="dxa"/>
              <w:left w:w="0" w:type="dxa"/>
              <w:right w:w="0" w:type="dxa"/>
            </w:tcMar>
          </w:tcPr>
          <w:p>
            <w:pPr>
              <w:pStyle w:val="Compact"/>
              <w:jc w:val="right"/>
              <w:keepNext/>
            </w:pPr>
            <w:r>
              <w:t xml:space="preserve">0.7723</w:t>
            </w:r>
          </w:p>
        </w:tc>
        <w:tc>
          <w:tcPr>
            <w:tcW w:type="dxa" w:w="635"/>
            <w:tcMar>
              <w:top w:w="0" w:type="dxa"/>
              <w:bottom w:w="0" w:type="dxa"/>
              <w:left w:w="0" w:type="dxa"/>
              <w:right w:w="0" w:type="dxa"/>
            </w:tcMar>
          </w:tcPr>
          <w:p>
            <w:pPr>
              <w:pStyle w:val="Compact"/>
              <w:jc w:val="right"/>
              <w:keepNext/>
            </w:pPr>
            <w:r>
              <w:t xml:space="preserve">0.6766</w:t>
            </w:r>
          </w:p>
        </w:tc>
        <w:tc>
          <w:tcPr>
            <w:tcW w:type="dxa" w:w="635"/>
            <w:tcMar>
              <w:top w:w="0" w:type="dxa"/>
              <w:bottom w:w="0" w:type="dxa"/>
              <w:left w:w="0" w:type="dxa"/>
              <w:right w:w="0" w:type="dxa"/>
            </w:tcMar>
          </w:tcPr>
          <w:p>
            <w:pPr>
              <w:pStyle w:val="Compact"/>
              <w:jc w:val="right"/>
              <w:keepNext/>
            </w:pPr>
            <w:r>
              <w:rPr>
                <w:b/>
                <w:bCs/>
              </w:rPr>
              <w:t xml:space="preserve">0.6905</w:t>
            </w:r>
          </w:p>
        </w:tc>
        <w:tc>
          <w:tcPr>
            <w:tcW w:type="dxa" w:w="635"/>
            <w:tcMar>
              <w:top w:w="0" w:type="dxa"/>
              <w:bottom w:w="0" w:type="dxa"/>
              <w:left w:w="0" w:type="dxa"/>
              <w:right w:w="0" w:type="dxa"/>
            </w:tcMar>
          </w:tcPr>
          <w:p>
            <w:pPr>
              <w:pStyle w:val="Compact"/>
              <w:jc w:val="right"/>
              <w:keepNext/>
            </w:pPr>
            <w:r>
              <w:t xml:space="preserve">0.7386</w:t>
            </w:r>
          </w:p>
        </w:tc>
        <w:tc>
          <w:tcPr>
            <w:tcW w:type="dxa" w:w="635"/>
            <w:tcMar>
              <w:top w:w="0" w:type="dxa"/>
              <w:bottom w:w="0" w:type="dxa"/>
              <w:left w:w="0" w:type="dxa"/>
              <w:right w:w="0" w:type="dxa"/>
            </w:tcMar>
          </w:tcPr>
          <w:p>
            <w:pPr>
              <w:pStyle w:val="Compact"/>
              <w:jc w:val="right"/>
              <w:keepNext/>
            </w:pPr>
            <w:r>
              <w:t xml:space="preserve">0.6159</w:t>
            </w:r>
          </w:p>
        </w:tc>
        <w:tc>
          <w:tcPr>
            <w:tcW w:type="dxa" w:w="635"/>
            <w:tcMar>
              <w:top w:w="0" w:type="dxa"/>
              <w:bottom w:w="0" w:type="dxa"/>
              <w:left w:w="0" w:type="dxa"/>
              <w:right w:w="0" w:type="dxa"/>
            </w:tcMar>
          </w:tcPr>
          <w:p>
            <w:pPr>
              <w:pStyle w:val="Compact"/>
              <w:jc w:val="right"/>
              <w:keepNext/>
            </w:pPr>
            <w:r>
              <w:t xml:space="preserve">0.7000</w:t>
            </w:r>
          </w:p>
        </w:tc>
      </w:tr>
      <w:tr>
        <w:tc>
          <w:tcPr>
            <w:tcW w:type="dxa" w:w="1150"/>
            <w:tcMar>
              <w:top w:w="0" w:type="dxa"/>
              <w:bottom w:w="0" w:type="dxa"/>
              <w:left w:w="0" w:type="dxa"/>
              <w:right w:w="0" w:type="dxa"/>
            </w:tcMar>
          </w:tcPr>
          <w:p>
            <w:pPr>
              <w:pStyle w:val="Compact"/>
              <w:jc w:val="left"/>
              <w:keepNext/>
            </w:pPr>
            <w:r>
              <w:t xml:space="preserve">MuRIL base</w:t>
            </w:r>
          </w:p>
        </w:tc>
        <w:tc>
          <w:tcPr>
            <w:tcW w:type="dxa" w:w="635"/>
            <w:tcMar>
              <w:top w:w="0" w:type="dxa"/>
              <w:bottom w:w="0" w:type="dxa"/>
              <w:left w:w="0" w:type="dxa"/>
              <w:right w:w="0" w:type="dxa"/>
            </w:tcMar>
          </w:tcPr>
          <w:p>
            <w:pPr>
              <w:pStyle w:val="Compact"/>
              <w:jc w:val="right"/>
              <w:keepNext/>
            </w:pPr>
            <w:r>
              <w:t xml:space="preserve">0.7967</w:t>
            </w:r>
          </w:p>
        </w:tc>
        <w:tc>
          <w:tcPr>
            <w:tcW w:type="dxa" w:w="635"/>
            <w:tcMar>
              <w:top w:w="0" w:type="dxa"/>
              <w:bottom w:w="0" w:type="dxa"/>
              <w:left w:w="0" w:type="dxa"/>
              <w:right w:w="0" w:type="dxa"/>
            </w:tcMar>
          </w:tcPr>
          <w:p>
            <w:pPr>
              <w:pStyle w:val="Compact"/>
              <w:jc w:val="right"/>
              <w:keepNext/>
            </w:pPr>
            <w:r>
              <w:t xml:space="preserve">0.5577</w:t>
            </w:r>
          </w:p>
        </w:tc>
        <w:tc>
          <w:tcPr>
            <w:tcW w:type="dxa" w:w="635"/>
            <w:tcMar>
              <w:top w:w="0" w:type="dxa"/>
              <w:bottom w:w="0" w:type="dxa"/>
              <w:left w:w="0" w:type="dxa"/>
              <w:right w:w="0" w:type="dxa"/>
            </w:tcMar>
          </w:tcPr>
          <w:p>
            <w:pPr>
              <w:pStyle w:val="Compact"/>
              <w:jc w:val="right"/>
              <w:keepNext/>
            </w:pPr>
            <w:r>
              <w:t xml:space="preserve">0.6463</w:t>
            </w:r>
          </w:p>
        </w:tc>
        <w:tc>
          <w:tcPr>
            <w:tcW w:type="dxa" w:w="635"/>
            <w:tcMar>
              <w:top w:w="0" w:type="dxa"/>
              <w:bottom w:w="0" w:type="dxa"/>
              <w:left w:w="0" w:type="dxa"/>
              <w:right w:w="0" w:type="dxa"/>
            </w:tcMar>
          </w:tcPr>
          <w:p>
            <w:pPr>
              <w:pStyle w:val="Compact"/>
              <w:jc w:val="right"/>
              <w:keepNext/>
            </w:pPr>
            <w:r>
              <w:t xml:space="preserve">0.7465</w:t>
            </w:r>
          </w:p>
        </w:tc>
        <w:tc>
          <w:tcPr>
            <w:tcW w:type="dxa" w:w="635"/>
            <w:tcMar>
              <w:top w:w="0" w:type="dxa"/>
              <w:bottom w:w="0" w:type="dxa"/>
              <w:left w:w="0" w:type="dxa"/>
              <w:right w:w="0" w:type="dxa"/>
            </w:tcMar>
          </w:tcPr>
          <w:p>
            <w:pPr>
              <w:pStyle w:val="Compact"/>
              <w:jc w:val="right"/>
              <w:keepNext/>
            </w:pPr>
            <w:r>
              <w:rPr>
                <w:b/>
                <w:bCs/>
              </w:rPr>
              <w:t xml:space="preserve">0.6235</w:t>
            </w:r>
          </w:p>
        </w:tc>
        <w:tc>
          <w:tcPr>
            <w:tcW w:type="dxa" w:w="635"/>
            <w:tcMar>
              <w:top w:w="0" w:type="dxa"/>
              <w:bottom w:w="0" w:type="dxa"/>
              <w:left w:w="0" w:type="dxa"/>
              <w:right w:w="0" w:type="dxa"/>
            </w:tcMar>
          </w:tcPr>
          <w:p>
            <w:pPr>
              <w:pStyle w:val="Compact"/>
              <w:jc w:val="right"/>
              <w:keepNext/>
            </w:pPr>
            <w:r>
              <w:t xml:space="preserve">0.6790</w:t>
            </w:r>
          </w:p>
        </w:tc>
      </w:tr>
      <w:tr>
        <w:tc>
          <w:tcPr>
            <w:gridSpan w:val="7"/>
            <w:tcW w:type="dxa" w:w="4960"/>
            <w:tcMar>
              <w:top w:w="0" w:type="dxa"/>
              <w:bottom w:w="0" w:type="dxa"/>
              <w:left w:w="0" w:type="dxa"/>
              <w:right w:w="0" w:type="dxa"/>
            </w:tcMar>
          </w:tcPr>
          <w:p>
            <w:pPr>
              <w:pStyle w:val="Compact"/>
              <w:jc w:val="left"/>
              <w:keepNext/>
            </w:pPr>
            <w:r>
              <w:rPr>
                <w:i/>
                <w:iCs/>
              </w:rPr>
              <w:t xml:space="preserve">Priority</w:t>
            </w:r>
            <w:r>
              <w:t xml:space="preserve"> </w:t>
            </w:r>
            <w:r>
              <w:t xml:space="preserve">(macro-F</w:t>
            </w:r>
            <w:r>
              <w:rPr>
                <w:vertAlign w:val="subscript"/>
              </w:rPr>
              <w:t xml:space="preserve">1</w:t>
            </w:r>
            <w:r>
              <w:t xml:space="preserve">)</w:t>
            </w:r>
          </w:p>
        </w:tc>
      </w:tr>
      <w:tr>
        <w:tc>
          <w:tcPr>
            <w:tcW w:type="dxa" w:w="1150"/>
            <w:tcMar>
              <w:top w:w="0" w:type="dxa"/>
              <w:bottom w:w="0" w:type="dxa"/>
              <w:left w:w="0" w:type="dxa"/>
              <w:right w:w="0" w:type="dxa"/>
            </w:tcMar>
          </w:tcPr>
          <w:p>
            <w:pPr>
              <w:pStyle w:val="Compact"/>
              <w:jc w:val="left"/>
              <w:keepNext/>
            </w:pPr>
            <w:r>
              <w:t xml:space="preserve">Linear SVM</w:t>
            </w:r>
          </w:p>
        </w:tc>
        <w:tc>
          <w:tcPr>
            <w:tcW w:type="dxa" w:w="635"/>
            <w:tcMar>
              <w:top w:w="0" w:type="dxa"/>
              <w:bottom w:w="0" w:type="dxa"/>
              <w:left w:w="0" w:type="dxa"/>
              <w:right w:w="0" w:type="dxa"/>
            </w:tcMar>
          </w:tcPr>
          <w:p>
            <w:pPr>
              <w:pStyle w:val="Compact"/>
              <w:jc w:val="right"/>
              <w:keepNext/>
            </w:pPr>
            <w:r>
              <w:t xml:space="preserve">0.9050</w:t>
            </w:r>
          </w:p>
        </w:tc>
        <w:tc>
          <w:tcPr>
            <w:tcW w:type="dxa" w:w="635"/>
            <w:tcMar>
              <w:top w:w="0" w:type="dxa"/>
              <w:bottom w:w="0" w:type="dxa"/>
              <w:left w:w="0" w:type="dxa"/>
              <w:right w:w="0" w:type="dxa"/>
            </w:tcMar>
          </w:tcPr>
          <w:p>
            <w:pPr>
              <w:pStyle w:val="Compact"/>
              <w:jc w:val="right"/>
              <w:keepNext/>
            </w:pPr>
            <w:r>
              <w:t xml:space="preserve">0.8848</w:t>
            </w:r>
          </w:p>
        </w:tc>
        <w:tc>
          <w:tcPr>
            <w:tcW w:type="dxa" w:w="635"/>
            <w:tcMar>
              <w:top w:w="0" w:type="dxa"/>
              <w:bottom w:w="0" w:type="dxa"/>
              <w:left w:w="0" w:type="dxa"/>
              <w:right w:w="0" w:type="dxa"/>
            </w:tcMar>
          </w:tcPr>
          <w:p>
            <w:pPr>
              <w:pStyle w:val="Compact"/>
              <w:jc w:val="right"/>
              <w:keepNext/>
            </w:pPr>
            <w:r>
              <w:rPr>
                <w:b/>
                <w:bCs/>
              </w:rPr>
              <w:t xml:space="preserve">0.8918</w:t>
            </w:r>
          </w:p>
        </w:tc>
        <w:tc>
          <w:tcPr>
            <w:tcW w:type="dxa" w:w="635"/>
            <w:tcMar>
              <w:top w:w="0" w:type="dxa"/>
              <w:bottom w:w="0" w:type="dxa"/>
              <w:left w:w="0" w:type="dxa"/>
              <w:right w:w="0" w:type="dxa"/>
            </w:tcMar>
          </w:tcPr>
          <w:p>
            <w:pPr>
              <w:pStyle w:val="Compact"/>
              <w:jc w:val="right"/>
              <w:keepNext/>
            </w:pPr>
            <w:r>
              <w:t xml:space="preserve">0.8854</w:t>
            </w:r>
          </w:p>
        </w:tc>
        <w:tc>
          <w:tcPr>
            <w:tcW w:type="dxa" w:w="635"/>
            <w:tcMar>
              <w:top w:w="0" w:type="dxa"/>
              <w:bottom w:w="0" w:type="dxa"/>
              <w:left w:w="0" w:type="dxa"/>
              <w:right w:w="0" w:type="dxa"/>
            </w:tcMar>
          </w:tcPr>
          <w:p>
            <w:pPr>
              <w:pStyle w:val="Compact"/>
              <w:jc w:val="right"/>
              <w:keepNext/>
            </w:pPr>
            <w:r>
              <w:t xml:space="preserve">0.7984</w:t>
            </w:r>
          </w:p>
        </w:tc>
        <w:tc>
          <w:tcPr>
            <w:tcW w:type="dxa" w:w="635"/>
            <w:tcMar>
              <w:top w:w="0" w:type="dxa"/>
              <w:bottom w:w="0" w:type="dxa"/>
              <w:left w:w="0" w:type="dxa"/>
              <w:right w:w="0" w:type="dxa"/>
            </w:tcMar>
          </w:tcPr>
          <w:p>
            <w:pPr>
              <w:pStyle w:val="Compact"/>
              <w:jc w:val="right"/>
              <w:keepNext/>
            </w:pPr>
            <w:r>
              <w:t xml:space="preserve">0.8734</w:t>
            </w:r>
          </w:p>
        </w:tc>
      </w:tr>
      <w:tr>
        <w:tc>
          <w:tcPr>
            <w:tcW w:type="dxa" w:w="1150"/>
            <w:tcMar>
              <w:top w:w="0" w:type="dxa"/>
              <w:bottom w:w="0" w:type="dxa"/>
              <w:left w:w="0" w:type="dxa"/>
              <w:right w:w="0" w:type="dxa"/>
            </w:tcMar>
          </w:tcPr>
          <w:p>
            <w:pPr>
              <w:pStyle w:val="Compact"/>
              <w:jc w:val="left"/>
              <w:keepNext/>
            </w:pPr>
            <w:r>
              <w:t xml:space="preserve">LaBSE</w:t>
            </w:r>
          </w:p>
        </w:tc>
        <w:tc>
          <w:tcPr>
            <w:tcW w:type="dxa" w:w="635"/>
            <w:tcMar>
              <w:top w:w="0" w:type="dxa"/>
              <w:bottom w:w="0" w:type="dxa"/>
              <w:left w:w="0" w:type="dxa"/>
              <w:right w:w="0" w:type="dxa"/>
            </w:tcMar>
          </w:tcPr>
          <w:p>
            <w:pPr>
              <w:pStyle w:val="Compact"/>
              <w:jc w:val="right"/>
              <w:keepNext/>
            </w:pPr>
            <w:r>
              <w:rPr>
                <w:b/>
                <w:bCs/>
              </w:rPr>
              <w:t xml:space="preserve">0.9229</w:t>
            </w:r>
          </w:p>
        </w:tc>
        <w:tc>
          <w:tcPr>
            <w:tcW w:type="dxa" w:w="635"/>
            <w:tcMar>
              <w:top w:w="0" w:type="dxa"/>
              <w:bottom w:w="0" w:type="dxa"/>
              <w:left w:w="0" w:type="dxa"/>
              <w:right w:w="0" w:type="dxa"/>
            </w:tcMar>
          </w:tcPr>
          <w:p>
            <w:pPr>
              <w:pStyle w:val="Compact"/>
              <w:jc w:val="right"/>
              <w:keepNext/>
            </w:pPr>
            <w:r>
              <w:rPr>
                <w:b/>
                <w:bCs/>
              </w:rPr>
              <w:t xml:space="preserve">0.9179</w:t>
            </w:r>
          </w:p>
        </w:tc>
        <w:tc>
          <w:tcPr>
            <w:tcW w:type="dxa" w:w="635"/>
            <w:tcMar>
              <w:top w:w="0" w:type="dxa"/>
              <w:bottom w:w="0" w:type="dxa"/>
              <w:left w:w="0" w:type="dxa"/>
              <w:right w:w="0" w:type="dxa"/>
            </w:tcMar>
          </w:tcPr>
          <w:p>
            <w:pPr>
              <w:pStyle w:val="Compact"/>
              <w:jc w:val="right"/>
              <w:keepNext/>
            </w:pPr>
            <w:r>
              <w:t xml:space="preserve">0.8817</w:t>
            </w:r>
          </w:p>
        </w:tc>
        <w:tc>
          <w:tcPr>
            <w:tcW w:type="dxa" w:w="635"/>
            <w:tcMar>
              <w:top w:w="0" w:type="dxa"/>
              <w:bottom w:w="0" w:type="dxa"/>
              <w:left w:w="0" w:type="dxa"/>
              <w:right w:w="0" w:type="dxa"/>
            </w:tcMar>
          </w:tcPr>
          <w:p>
            <w:pPr>
              <w:pStyle w:val="Compact"/>
              <w:jc w:val="right"/>
              <w:keepNext/>
            </w:pPr>
            <w:r>
              <w:rPr>
                <w:b/>
                <w:bCs/>
              </w:rPr>
              <w:t xml:space="preserve">0.9130</w:t>
            </w:r>
          </w:p>
        </w:tc>
        <w:tc>
          <w:tcPr>
            <w:tcW w:type="dxa" w:w="635"/>
            <w:tcMar>
              <w:top w:w="0" w:type="dxa"/>
              <w:bottom w:w="0" w:type="dxa"/>
              <w:left w:w="0" w:type="dxa"/>
              <w:right w:w="0" w:type="dxa"/>
            </w:tcMar>
          </w:tcPr>
          <w:p>
            <w:pPr>
              <w:pStyle w:val="Compact"/>
              <w:jc w:val="right"/>
              <w:keepNext/>
            </w:pPr>
            <w:r>
              <w:t xml:space="preserve">0.8142</w:t>
            </w:r>
          </w:p>
        </w:tc>
        <w:tc>
          <w:tcPr>
            <w:tcW w:type="dxa" w:w="635"/>
            <w:tcMar>
              <w:top w:w="0" w:type="dxa"/>
              <w:bottom w:w="0" w:type="dxa"/>
              <w:left w:w="0" w:type="dxa"/>
              <w:right w:w="0" w:type="dxa"/>
            </w:tcMar>
          </w:tcPr>
          <w:p>
            <w:pPr>
              <w:pStyle w:val="Compact"/>
              <w:jc w:val="right"/>
              <w:keepNext/>
            </w:pPr>
            <w:r>
              <w:rPr>
                <w:b/>
                <w:bCs/>
              </w:rPr>
              <w:t xml:space="preserve">0.8901</w:t>
            </w:r>
          </w:p>
        </w:tc>
      </w:tr>
      <w:tr>
        <w:tc>
          <w:tcPr>
            <w:tcW w:type="dxa" w:w="1150"/>
            <w:tcMar>
              <w:top w:w="0" w:type="dxa"/>
              <w:bottom w:w="0" w:type="dxa"/>
              <w:left w:w="0" w:type="dxa"/>
              <w:right w:w="0" w:type="dxa"/>
            </w:tcMar>
          </w:tcPr>
          <w:p>
            <w:pPr>
              <w:pStyle w:val="Compact"/>
              <w:jc w:val="left"/>
              <w:keepNext/>
            </w:pPr>
            <w:r>
              <w:t xml:space="preserve">MuRIL base</w:t>
            </w:r>
          </w:p>
        </w:tc>
        <w:tc>
          <w:tcPr>
            <w:tcW w:type="dxa" w:w="635"/>
            <w:tcMar>
              <w:top w:w="0" w:type="dxa"/>
              <w:bottom w:w="0" w:type="dxa"/>
              <w:left w:w="0" w:type="dxa"/>
              <w:right w:w="0" w:type="dxa"/>
            </w:tcMar>
          </w:tcPr>
          <w:p>
            <w:pPr>
              <w:pStyle w:val="Compact"/>
              <w:jc w:val="right"/>
              <w:keepNext/>
            </w:pPr>
            <w:r>
              <w:t xml:space="preserve">0.9095</w:t>
            </w:r>
          </w:p>
        </w:tc>
        <w:tc>
          <w:tcPr>
            <w:tcW w:type="dxa" w:w="635"/>
            <w:tcMar>
              <w:top w:w="0" w:type="dxa"/>
              <w:bottom w:w="0" w:type="dxa"/>
              <w:left w:w="0" w:type="dxa"/>
              <w:right w:w="0" w:type="dxa"/>
            </w:tcMar>
          </w:tcPr>
          <w:p>
            <w:pPr>
              <w:pStyle w:val="Compact"/>
              <w:jc w:val="right"/>
              <w:keepNext/>
            </w:pPr>
            <w:r>
              <w:t xml:space="preserve">0.8072</w:t>
            </w:r>
          </w:p>
        </w:tc>
        <w:tc>
          <w:tcPr>
            <w:tcW w:type="dxa" w:w="635"/>
            <w:tcMar>
              <w:top w:w="0" w:type="dxa"/>
              <w:bottom w:w="0" w:type="dxa"/>
              <w:left w:w="0" w:type="dxa"/>
              <w:right w:w="0" w:type="dxa"/>
            </w:tcMar>
          </w:tcPr>
          <w:p>
            <w:pPr>
              <w:pStyle w:val="Compact"/>
              <w:jc w:val="right"/>
              <w:keepNext/>
            </w:pPr>
            <w:r>
              <w:t xml:space="preserve">0.8861</w:t>
            </w:r>
          </w:p>
        </w:tc>
        <w:tc>
          <w:tcPr>
            <w:tcW w:type="dxa" w:w="635"/>
            <w:tcMar>
              <w:top w:w="0" w:type="dxa"/>
              <w:bottom w:w="0" w:type="dxa"/>
              <w:left w:w="0" w:type="dxa"/>
              <w:right w:w="0" w:type="dxa"/>
            </w:tcMar>
          </w:tcPr>
          <w:p>
            <w:pPr>
              <w:pStyle w:val="Compact"/>
              <w:jc w:val="right"/>
              <w:keepNext/>
            </w:pPr>
            <w:r>
              <w:t xml:space="preserve">0.9120</w:t>
            </w:r>
          </w:p>
        </w:tc>
        <w:tc>
          <w:tcPr>
            <w:tcW w:type="dxa" w:w="635"/>
            <w:tcMar>
              <w:top w:w="0" w:type="dxa"/>
              <w:bottom w:w="0" w:type="dxa"/>
              <w:left w:w="0" w:type="dxa"/>
              <w:right w:w="0" w:type="dxa"/>
            </w:tcMar>
          </w:tcPr>
          <w:p>
            <w:pPr>
              <w:pStyle w:val="Compact"/>
              <w:jc w:val="right"/>
              <w:keepNext/>
            </w:pPr>
            <w:r>
              <w:rPr>
                <w:b/>
                <w:bCs/>
              </w:rPr>
              <w:t xml:space="preserve">0.8412</w:t>
            </w:r>
          </w:p>
        </w:tc>
        <w:tc>
          <w:tcPr>
            <w:tcW w:type="dxa" w:w="635"/>
            <w:tcMar>
              <w:top w:w="0" w:type="dxa"/>
              <w:bottom w:w="0" w:type="dxa"/>
              <w:left w:w="0" w:type="dxa"/>
              <w:right w:w="0" w:type="dxa"/>
            </w:tcMar>
          </w:tcPr>
          <w:p>
            <w:pPr>
              <w:pStyle w:val="Compact"/>
              <w:jc w:val="right"/>
              <w:keepNext/>
            </w:pPr>
            <w:r>
              <w:t xml:space="preserve">0.8717</w:t>
            </w:r>
          </w:p>
        </w:tc>
      </w:tr>
      <w:tr>
        <w:tc>
          <w:tcPr>
            <w:tcW w:type="dxa" w:w="1150"/>
            <w:tcMar>
              <w:top w:w="0" w:type="dxa"/>
              <w:bottom w:w="0" w:type="dxa"/>
              <w:left w:w="0" w:type="dxa"/>
              <w:right w:w="0" w:type="dxa"/>
            </w:tcMar>
          </w:tcPr>
          <w:p>
            <w:pPr>
              <w:pStyle w:val="Compact"/>
              <w:jc w:val="left"/>
              <w:keepNext/>
            </w:pPr>
            <w:r>
              <w:t xml:space="preserve">XLM-R base (s43)</w:t>
            </w:r>
          </w:p>
        </w:tc>
        <w:tc>
          <w:tcPr>
            <w:tcW w:type="dxa" w:w="635"/>
            <w:tcMar>
              <w:top w:w="0" w:type="dxa"/>
              <w:bottom w:w="0" w:type="dxa"/>
              <w:left w:w="0" w:type="dxa"/>
              <w:right w:w="0" w:type="dxa"/>
            </w:tcMar>
          </w:tcPr>
          <w:p>
            <w:pPr>
              <w:pStyle w:val="Compact"/>
              <w:jc w:val="right"/>
              <w:keepNext/>
            </w:pPr>
            <w:r>
              <w:t xml:space="preserve">0.9188</w:t>
            </w:r>
          </w:p>
        </w:tc>
        <w:tc>
          <w:tcPr>
            <w:tcW w:type="dxa" w:w="635"/>
            <w:tcMar>
              <w:top w:w="0" w:type="dxa"/>
              <w:bottom w:w="0" w:type="dxa"/>
              <w:left w:w="0" w:type="dxa"/>
              <w:right w:w="0" w:type="dxa"/>
            </w:tcMar>
          </w:tcPr>
          <w:p>
            <w:pPr>
              <w:pStyle w:val="Compact"/>
              <w:jc w:val="right"/>
              <w:keepNext/>
            </w:pPr>
            <w:r>
              <w:t xml:space="preserve">0.9099</w:t>
            </w:r>
          </w:p>
        </w:tc>
        <w:tc>
          <w:tcPr>
            <w:tcW w:type="dxa" w:w="635"/>
            <w:tcMar>
              <w:top w:w="0" w:type="dxa"/>
              <w:bottom w:w="0" w:type="dxa"/>
              <w:left w:w="0" w:type="dxa"/>
              <w:right w:w="0" w:type="dxa"/>
            </w:tcMar>
          </w:tcPr>
          <w:p>
            <w:pPr>
              <w:pStyle w:val="Compact"/>
              <w:jc w:val="right"/>
              <w:keepNext/>
            </w:pPr>
            <w:r>
              <w:t xml:space="preserve">0.8841</w:t>
            </w:r>
          </w:p>
        </w:tc>
        <w:tc>
          <w:tcPr>
            <w:tcW w:type="dxa" w:w="635"/>
            <w:tcMar>
              <w:top w:w="0" w:type="dxa"/>
              <w:bottom w:w="0" w:type="dxa"/>
              <w:left w:w="0" w:type="dxa"/>
              <w:right w:w="0" w:type="dxa"/>
            </w:tcMar>
          </w:tcPr>
          <w:p>
            <w:pPr>
              <w:pStyle w:val="Compact"/>
              <w:jc w:val="right"/>
              <w:keepNext/>
            </w:pPr>
            <w:r>
              <w:t xml:space="preserve">0.9042</w:t>
            </w:r>
          </w:p>
        </w:tc>
        <w:tc>
          <w:tcPr>
            <w:tcW w:type="dxa" w:w="635"/>
            <w:tcMar>
              <w:top w:w="0" w:type="dxa"/>
              <w:bottom w:w="0" w:type="dxa"/>
              <w:left w:w="0" w:type="dxa"/>
              <w:right w:w="0" w:type="dxa"/>
            </w:tcMar>
          </w:tcPr>
          <w:p>
            <w:pPr>
              <w:pStyle w:val="Compact"/>
              <w:jc w:val="right"/>
              <w:keepNext/>
            </w:pPr>
            <w:r>
              <w:t xml:space="preserve">0.8267</w:t>
            </w:r>
          </w:p>
        </w:tc>
        <w:tc>
          <w:tcPr>
            <w:tcW w:type="dxa" w:w="635"/>
            <w:tcMar>
              <w:top w:w="0" w:type="dxa"/>
              <w:bottom w:w="0" w:type="dxa"/>
              <w:left w:w="0" w:type="dxa"/>
              <w:right w:w="0" w:type="dxa"/>
            </w:tcMar>
          </w:tcPr>
          <w:p>
            <w:pPr>
              <w:pStyle w:val="Compact"/>
              <w:jc w:val="right"/>
              <w:keepNext/>
            </w:pPr>
            <w:r>
              <w:t xml:space="preserve">0.8888</w:t>
            </w:r>
          </w:p>
        </w:tc>
      </w:tr>
      <w:tr>
        <w:tc>
          <w:tcPr>
            <w:tcW w:type="dxa" w:w="1150"/>
            <w:tcMar>
              <w:top w:w="0" w:type="dxa"/>
              <w:bottom w:w="0" w:type="dxa"/>
              <w:left w:w="0" w:type="dxa"/>
              <w:right w:w="0" w:type="dxa"/>
            </w:tcMar>
          </w:tcPr>
          <w:p>
            <w:pPr>
              <w:pStyle w:val="Compact"/>
              <w:jc w:val="left"/>
            </w:pPr>
            <w:r>
              <w:t xml:space="preserve">mmBERT (s43)</w:t>
            </w:r>
          </w:p>
        </w:tc>
        <w:tc>
          <w:tcPr>
            <w:tcW w:type="dxa" w:w="635"/>
            <w:tcMar>
              <w:top w:w="0" w:type="dxa"/>
              <w:bottom w:w="0" w:type="dxa"/>
              <w:left w:w="0" w:type="dxa"/>
              <w:right w:w="0" w:type="dxa"/>
            </w:tcMar>
          </w:tcPr>
          <w:p>
            <w:pPr>
              <w:pStyle w:val="Compact"/>
              <w:jc w:val="right"/>
            </w:pPr>
            <w:r>
              <w:t xml:space="preserve">0.9198</w:t>
            </w:r>
          </w:p>
        </w:tc>
        <w:tc>
          <w:tcPr>
            <w:tcW w:type="dxa" w:w="635"/>
            <w:tcMar>
              <w:top w:w="0" w:type="dxa"/>
              <w:bottom w:w="0" w:type="dxa"/>
              <w:left w:w="0" w:type="dxa"/>
              <w:right w:w="0" w:type="dxa"/>
            </w:tcMar>
          </w:tcPr>
          <w:p>
            <w:pPr>
              <w:pStyle w:val="Compact"/>
              <w:jc w:val="right"/>
            </w:pPr>
            <w:r>
              <w:t xml:space="preserve">0.9036</w:t>
            </w:r>
          </w:p>
        </w:tc>
        <w:tc>
          <w:tcPr>
            <w:tcW w:type="dxa" w:w="635"/>
            <w:tcMar>
              <w:top w:w="0" w:type="dxa"/>
              <w:bottom w:w="0" w:type="dxa"/>
              <w:left w:w="0" w:type="dxa"/>
              <w:right w:w="0" w:type="dxa"/>
            </w:tcMar>
          </w:tcPr>
          <w:p>
            <w:pPr>
              <w:pStyle w:val="Compact"/>
              <w:jc w:val="right"/>
            </w:pPr>
            <w:r>
              <w:t xml:space="preserve">0.8846</w:t>
            </w:r>
          </w:p>
        </w:tc>
        <w:tc>
          <w:tcPr>
            <w:tcW w:type="dxa" w:w="635"/>
            <w:tcMar>
              <w:top w:w="0" w:type="dxa"/>
              <w:bottom w:w="0" w:type="dxa"/>
              <w:left w:w="0" w:type="dxa"/>
              <w:right w:w="0" w:type="dxa"/>
            </w:tcMar>
          </w:tcPr>
          <w:p>
            <w:pPr>
              <w:pStyle w:val="Compact"/>
              <w:jc w:val="right"/>
            </w:pPr>
            <w:r>
              <w:t xml:space="preserve">0.9050</w:t>
            </w:r>
          </w:p>
        </w:tc>
        <w:tc>
          <w:tcPr>
            <w:tcW w:type="dxa" w:w="635"/>
            <w:tcMar>
              <w:top w:w="0" w:type="dxa"/>
              <w:bottom w:w="0" w:type="dxa"/>
              <w:left w:w="0" w:type="dxa"/>
              <w:right w:w="0" w:type="dxa"/>
            </w:tcMar>
          </w:tcPr>
          <w:p>
            <w:pPr>
              <w:pStyle w:val="Compact"/>
              <w:jc w:val="right"/>
            </w:pPr>
            <w:r>
              <w:t xml:space="preserve">0.8084</w:t>
            </w:r>
          </w:p>
        </w:tc>
        <w:tc>
          <w:tcPr>
            <w:tcW w:type="dxa" w:w="635"/>
            <w:tcMar>
              <w:top w:w="0" w:type="dxa"/>
              <w:bottom w:w="0" w:type="dxa"/>
              <w:left w:w="0" w:type="dxa"/>
              <w:right w:w="0" w:type="dxa"/>
            </w:tcMar>
          </w:tcPr>
          <w:p>
            <w:pPr>
              <w:pStyle w:val="Compact"/>
              <w:jc w:val="right"/>
            </w:pPr>
            <w:r>
              <w:t xml:space="preserve">0.8847</w:t>
            </w:r>
          </w:p>
        </w:tc>
      </w:tr>
    </w:tbl>
    <w:p>
      <w:pPr>
        <w:pStyle w:val="BodyText"/>
      </w:pPr>
      <w:r>
        <w:t xml:space="preserve">As shown in Table III, fine-tuned LaBSE takes the best pooled score on all three tasks among the encoders, with margins of +8.01 percentage points (pp) of macro-F1 on both Tamil and Tanglish intent over the SVM. XLM-R base is the closest competitor, within 0.34 points pooled and 0.10 points on English intent. MuRIL trails on pooled intent (0.8467), but the pooled column conceals two facts: its deficit is concentrated in a single cell, Sinhala intent at 0.7224, where Sinhala script falls outside its vocabulary, and it takes the best Tanglish score on all three tasks, leading LaBSE by 8.96 points on Tanglish intent.</w:t>
      </w:r>
    </w:p>
    <w:bookmarkEnd w:id="25"/>
    <w:bookmarkStart w:id="26" w:name="e.-generative-decoder-and-slm-benchmark"/>
    <w:p>
      <w:pPr>
        <w:pStyle w:val="Heading2"/>
      </w:pPr>
      <w:r>
        <w:t xml:space="preserve">E. Generative Decoder and SLM Benchmark</w:t>
      </w:r>
    </w:p>
    <w:p>
      <w:pPr>
        <w:pStyle w:val="FirstParagraph"/>
      </w:pPr>
      <w:r>
        <w:t xml:space="preserve">We selected Gemma 3 after the tokenizer screen (Table I): its fertility is balanced across all five tracks (1.18–2.24), whereas Llama 3.2 and Qwen 3 heavily fragment native Indic text and SinLlama fragments Tamil. Tokenizer screening controls sequence length; the benchmark below separately evaluates classification performance.</w:t>
      </w:r>
    </w:p>
    <w:p>
      <w:pPr>
        <w:pStyle w:val="TableCaption"/>
      </w:pPr>
      <w:r>
        <w:t xml:space="preserve">Table IV. Gemma 3 decoder benchmark. Lower panel: pooled 1B configurations;</w:t>
      </w:r>
      <w:r>
        <w:t xml:space="preserve"> </w:t>
      </w:r>
      <w:r>
        <w:t xml:space="preserve">270M sentiment and priority were evaluated on dev only. Best per column in bold.</w:t>
      </w:r>
    </w:p>
    <w:tbl>
      <w:tblPr>
        <w:tblCellMar>
          <w:top w:w="15" w:type="dxa"/>
          <w:bottom w:w="15" w:type="dxa"/>
          <w:left w:w="20" w:type="dxa"/>
          <w:right w:w="20" w:type="dxa"/>
        </w:tblCellMar>
        <w:tblStyle w:val="Table"/>
        <w:tblW w:w="4960" w:type="dxa"/>
        <w:tblLook w:firstRow="1" w:lastRow="0" w:firstColumn="0" w:lastColumn="0" w:noHBand="0" w:noVBand="0" w:val="0020"/>
        <w:tblCaption w:val="Table IV. Gemma 3 decoder benchmark. Lower panel: pooled 1B configurations; 270M sentiment and priority were evaluated on dev only. Best per column in bold."/>
        <w:tblLayout w:type="fixed"/>
      </w:tblPr>
      <w:tblGrid>
        <w:gridCol w:w="1150"/>
        <w:gridCol w:w="635"/>
        <w:gridCol w:w="635"/>
        <w:gridCol w:w="635"/>
        <w:gridCol w:w="635"/>
        <w:gridCol w:w="635"/>
        <w:gridCol w:w="635"/>
      </w:tblGrid>
      <w:tr>
        <w:trPr>
          <w:tblHeader w:val="on"/>
        </w:trPr>
        <w:tc>
          <w:tcPr>
            <w:tcW w:type="dxa" w:w="1150"/>
            <w:tcMar>
              <w:top w:w="0" w:type="dxa"/>
              <w:bottom w:w="0" w:type="dxa"/>
              <w:left w:w="0" w:type="dxa"/>
              <w:right w:w="0" w:type="dxa"/>
            </w:tcMar>
          </w:tcPr>
          <w:p>
            <w:pPr>
              <w:pStyle w:val="Compact"/>
              <w:jc w:val="left"/>
              <w:keepNext/>
            </w:pPr>
            <w:r>
              <w:t xml:space="preserve">Model</w:t>
            </w:r>
          </w:p>
        </w:tc>
        <w:tc>
          <w:tcPr>
            <w:tcW w:type="dxa" w:w="635"/>
            <w:tcMar>
              <w:top w:w="0" w:type="dxa"/>
              <w:bottom w:w="0" w:type="dxa"/>
              <w:left w:w="0" w:type="dxa"/>
              <w:right w:w="0" w:type="dxa"/>
            </w:tcMar>
          </w:tcPr>
          <w:p>
            <w:pPr>
              <w:pStyle w:val="Compact"/>
              <w:jc w:val="right"/>
              <w:keepNext/>
            </w:pPr>
            <w:r>
              <w:t xml:space="preserve">English</w:t>
            </w:r>
          </w:p>
        </w:tc>
        <w:tc>
          <w:tcPr>
            <w:tcW w:type="dxa" w:w="635"/>
            <w:tcMar>
              <w:top w:w="0" w:type="dxa"/>
              <w:bottom w:w="0" w:type="dxa"/>
              <w:left w:w="0" w:type="dxa"/>
              <w:right w:w="0" w:type="dxa"/>
            </w:tcMar>
          </w:tcPr>
          <w:p>
            <w:pPr>
              <w:pStyle w:val="Compact"/>
              <w:jc w:val="right"/>
              <w:keepNext/>
            </w:pPr>
            <w:r>
              <w:t xml:space="preserve">Sinhala</w:t>
            </w:r>
          </w:p>
        </w:tc>
        <w:tc>
          <w:tcPr>
            <w:tcW w:type="dxa" w:w="635"/>
            <w:tcMar>
              <w:top w:w="0" w:type="dxa"/>
              <w:bottom w:w="0" w:type="dxa"/>
              <w:left w:w="0" w:type="dxa"/>
              <w:right w:w="0" w:type="dxa"/>
            </w:tcMar>
          </w:tcPr>
          <w:p>
            <w:pPr>
              <w:pStyle w:val="Compact"/>
              <w:jc w:val="right"/>
              <w:keepNext/>
            </w:pPr>
            <w:r>
              <w:t xml:space="preserve">Singlish</w:t>
            </w:r>
          </w:p>
        </w:tc>
        <w:tc>
          <w:tcPr>
            <w:tcW w:type="dxa" w:w="635"/>
            <w:tcMar>
              <w:top w:w="0" w:type="dxa"/>
              <w:bottom w:w="0" w:type="dxa"/>
              <w:left w:w="0" w:type="dxa"/>
              <w:right w:w="0" w:type="dxa"/>
            </w:tcMar>
          </w:tcPr>
          <w:p>
            <w:pPr>
              <w:pStyle w:val="Compact"/>
              <w:jc w:val="right"/>
              <w:keepNext/>
            </w:pPr>
            <w:r>
              <w:t xml:space="preserve">Tamil</w:t>
            </w:r>
          </w:p>
        </w:tc>
        <w:tc>
          <w:tcPr>
            <w:tcW w:type="dxa" w:w="635"/>
            <w:tcMar>
              <w:top w:w="0" w:type="dxa"/>
              <w:bottom w:w="0" w:type="dxa"/>
              <w:left w:w="0" w:type="dxa"/>
              <w:right w:w="0" w:type="dxa"/>
            </w:tcMar>
          </w:tcPr>
          <w:p>
            <w:pPr>
              <w:pStyle w:val="Compact"/>
              <w:jc w:val="right"/>
              <w:keepNext/>
            </w:pPr>
            <w:r>
              <w:t xml:space="preserve">Tanglish</w:t>
            </w:r>
          </w:p>
        </w:tc>
        <w:tc>
          <w:tcPr>
            <w:tcW w:type="dxa" w:w="635"/>
            <w:tcMar>
              <w:top w:w="0" w:type="dxa"/>
              <w:bottom w:w="0" w:type="dxa"/>
              <w:left w:w="0" w:type="dxa"/>
              <w:right w:w="0" w:type="dxa"/>
            </w:tcMar>
          </w:tcPr>
          <w:p>
            <w:pPr>
              <w:pStyle w:val="Compact"/>
              <w:jc w:val="right"/>
              <w:keepNext/>
            </w:pPr>
            <w:r>
              <w:t xml:space="preserve">Pooled</w:t>
            </w:r>
          </w:p>
        </w:tc>
      </w:tr>
      <w:tr>
        <w:tc>
          <w:tcPr>
            <w:gridSpan w:val="7"/>
            <w:tcW w:type="dxa" w:w="4960"/>
            <w:tcMar>
              <w:top w:w="0" w:type="dxa"/>
              <w:bottom w:w="0" w:type="dxa"/>
              <w:left w:w="0" w:type="dxa"/>
              <w:right w:w="0" w:type="dxa"/>
            </w:tcMar>
          </w:tcPr>
          <w:p>
            <w:pPr>
              <w:pStyle w:val="Compact"/>
              <w:jc w:val="left"/>
            </w:pPr>
            <w:r>
              <w:rPr>
                <w:i/>
                <w:iCs/>
              </w:rPr>
              <w:t xml:space="preserve">Intent, per track</w:t>
            </w:r>
            <w:r>
              <w:t xml:space="preserve"> </w:t>
            </w:r>
            <w:r>
              <w:t xml:space="preserve">(macro-F</w:t>
            </w:r>
            <w:r>
              <w:rPr>
                <w:vertAlign w:val="subscript"/>
              </w:rPr>
              <w:t xml:space="preserve">1</w:t>
            </w:r>
            <w:r>
              <w:t xml:space="preserve">)</w:t>
            </w:r>
          </w:p>
        </w:tc>
      </w:tr>
      <w:tr>
        <w:tc>
          <w:tcPr>
            <w:tcW w:type="dxa" w:w="1150"/>
            <w:tcMar>
              <w:top w:w="0" w:type="dxa"/>
              <w:bottom w:w="0" w:type="dxa"/>
              <w:left w:w="0" w:type="dxa"/>
              <w:right w:w="0" w:type="dxa"/>
            </w:tcMar>
          </w:tcPr>
          <w:p>
            <w:pPr>
              <w:pStyle w:val="Compact"/>
              <w:jc w:val="left"/>
            </w:pPr>
            <w:r>
              <w:t xml:space="preserve">Gemma 3 1B</w:t>
            </w:r>
          </w:p>
        </w:tc>
        <w:tc>
          <w:tcPr>
            <w:tcW w:type="dxa" w:w="635"/>
            <w:tcMar>
              <w:top w:w="0" w:type="dxa"/>
              <w:bottom w:w="0" w:type="dxa"/>
              <w:left w:w="0" w:type="dxa"/>
              <w:right w:w="0" w:type="dxa"/>
            </w:tcMar>
          </w:tcPr>
          <w:p>
            <w:pPr>
              <w:pStyle w:val="Compact"/>
              <w:jc w:val="right"/>
            </w:pPr>
            <w:r>
              <w:rPr>
                <w:b/>
                <w:bCs/>
              </w:rPr>
              <w:t xml:space="preserve">0.9358</w:t>
            </w:r>
          </w:p>
        </w:tc>
        <w:tc>
          <w:tcPr>
            <w:tcW w:type="dxa" w:w="635"/>
            <w:tcMar>
              <w:top w:w="0" w:type="dxa"/>
              <w:bottom w:w="0" w:type="dxa"/>
              <w:left w:w="0" w:type="dxa"/>
              <w:right w:w="0" w:type="dxa"/>
            </w:tcMar>
          </w:tcPr>
          <w:p>
            <w:pPr>
              <w:pStyle w:val="Compact"/>
              <w:jc w:val="right"/>
            </w:pPr>
            <w:r>
              <w:rPr>
                <w:b/>
                <w:bCs/>
              </w:rPr>
              <w:t xml:space="preserve">0.9221</w:t>
            </w:r>
          </w:p>
        </w:tc>
        <w:tc>
          <w:tcPr>
            <w:tcW w:type="dxa" w:w="635"/>
            <w:tcMar>
              <w:top w:w="0" w:type="dxa"/>
              <w:bottom w:w="0" w:type="dxa"/>
              <w:left w:w="0" w:type="dxa"/>
              <w:right w:w="0" w:type="dxa"/>
            </w:tcMar>
          </w:tcPr>
          <w:p>
            <w:pPr>
              <w:pStyle w:val="Compact"/>
              <w:jc w:val="right"/>
            </w:pPr>
            <w:r>
              <w:rPr>
                <w:b/>
                <w:bCs/>
              </w:rPr>
              <w:t xml:space="preserve">0.8962</w:t>
            </w:r>
          </w:p>
        </w:tc>
        <w:tc>
          <w:tcPr>
            <w:tcW w:type="dxa" w:w="635"/>
            <w:tcMar>
              <w:top w:w="0" w:type="dxa"/>
              <w:bottom w:w="0" w:type="dxa"/>
              <w:left w:w="0" w:type="dxa"/>
              <w:right w:w="0" w:type="dxa"/>
            </w:tcMar>
          </w:tcPr>
          <w:p>
            <w:pPr>
              <w:pStyle w:val="Compact"/>
              <w:jc w:val="right"/>
            </w:pPr>
            <w:r>
              <w:rPr>
                <w:b/>
                <w:bCs/>
              </w:rPr>
              <w:t xml:space="preserve">0.9110</w:t>
            </w:r>
          </w:p>
        </w:tc>
        <w:tc>
          <w:tcPr>
            <w:tcW w:type="dxa" w:w="635"/>
            <w:tcMar>
              <w:top w:w="0" w:type="dxa"/>
              <w:bottom w:w="0" w:type="dxa"/>
              <w:left w:w="0" w:type="dxa"/>
              <w:right w:w="0" w:type="dxa"/>
            </w:tcMar>
          </w:tcPr>
          <w:p>
            <w:pPr>
              <w:pStyle w:val="Compact"/>
              <w:jc w:val="right"/>
            </w:pPr>
            <w:r>
              <w:rPr>
                <w:b/>
                <w:bCs/>
              </w:rPr>
              <w:t xml:space="preserve">0.6281</w:t>
            </w:r>
          </w:p>
        </w:tc>
        <w:tc>
          <w:tcPr>
            <w:tcW w:type="dxa" w:w="635"/>
            <w:tcMar>
              <w:top w:w="0" w:type="dxa"/>
              <w:bottom w:w="0" w:type="dxa"/>
              <w:left w:w="0" w:type="dxa"/>
              <w:right w:w="0" w:type="dxa"/>
            </w:tcMar>
          </w:tcPr>
          <w:p>
            <w:pPr>
              <w:pStyle w:val="Compact"/>
              <w:jc w:val="right"/>
            </w:pPr>
            <w:r>
              <w:rPr>
                <w:b/>
                <w:bCs/>
              </w:rPr>
              <w:t xml:space="preserve">0.8635</w:t>
            </w:r>
          </w:p>
        </w:tc>
      </w:tr>
      <w:tr>
        <w:tc>
          <w:tcPr>
            <w:tcW w:type="dxa" w:w="1150"/>
            <w:tcMar>
              <w:top w:w="0" w:type="dxa"/>
              <w:bottom w:w="0" w:type="dxa"/>
              <w:left w:w="0" w:type="dxa"/>
              <w:right w:w="0" w:type="dxa"/>
            </w:tcMar>
          </w:tcPr>
          <w:p>
            <w:pPr>
              <w:pStyle w:val="Compact"/>
              <w:jc w:val="left"/>
            </w:pPr>
            <w:r>
              <w:t xml:space="preserve">Gemma 3 270M</w:t>
            </w:r>
          </w:p>
        </w:tc>
        <w:tc>
          <w:tcPr>
            <w:tcW w:type="dxa" w:w="635"/>
            <w:tcMar>
              <w:top w:w="0" w:type="dxa"/>
              <w:bottom w:w="0" w:type="dxa"/>
              <w:left w:w="0" w:type="dxa"/>
              <w:right w:w="0" w:type="dxa"/>
            </w:tcMar>
          </w:tcPr>
          <w:p>
            <w:pPr>
              <w:pStyle w:val="Compact"/>
              <w:jc w:val="right"/>
            </w:pPr>
            <w:r>
              <w:t xml:space="preserve">0.9288</w:t>
            </w:r>
          </w:p>
        </w:tc>
        <w:tc>
          <w:tcPr>
            <w:tcW w:type="dxa" w:w="635"/>
            <w:tcMar>
              <w:top w:w="0" w:type="dxa"/>
              <w:bottom w:w="0" w:type="dxa"/>
              <w:left w:w="0" w:type="dxa"/>
              <w:right w:w="0" w:type="dxa"/>
            </w:tcMar>
          </w:tcPr>
          <w:p>
            <w:pPr>
              <w:pStyle w:val="Compact"/>
              <w:jc w:val="right"/>
            </w:pPr>
            <w:r>
              <w:t xml:space="preserve">0.8874</w:t>
            </w:r>
          </w:p>
        </w:tc>
        <w:tc>
          <w:tcPr>
            <w:tcW w:type="dxa" w:w="635"/>
            <w:tcMar>
              <w:top w:w="0" w:type="dxa"/>
              <w:bottom w:w="0" w:type="dxa"/>
              <w:left w:w="0" w:type="dxa"/>
              <w:right w:w="0" w:type="dxa"/>
            </w:tcMar>
          </w:tcPr>
          <w:p>
            <w:pPr>
              <w:pStyle w:val="Compact"/>
              <w:jc w:val="right"/>
            </w:pPr>
            <w:r>
              <w:t xml:space="preserve">0.8706</w:t>
            </w:r>
          </w:p>
        </w:tc>
        <w:tc>
          <w:tcPr>
            <w:tcW w:type="dxa" w:w="635"/>
            <w:tcMar>
              <w:top w:w="0" w:type="dxa"/>
              <w:bottom w:w="0" w:type="dxa"/>
              <w:left w:w="0" w:type="dxa"/>
              <w:right w:w="0" w:type="dxa"/>
            </w:tcMar>
          </w:tcPr>
          <w:p>
            <w:pPr>
              <w:pStyle w:val="Compact"/>
              <w:jc w:val="right"/>
            </w:pPr>
            <w:r>
              <w:t xml:space="preserve">0.8907</w:t>
            </w:r>
          </w:p>
        </w:tc>
        <w:tc>
          <w:tcPr>
            <w:tcW w:type="dxa" w:w="635"/>
            <w:tcMar>
              <w:top w:w="0" w:type="dxa"/>
              <w:bottom w:w="0" w:type="dxa"/>
              <w:left w:w="0" w:type="dxa"/>
              <w:right w:w="0" w:type="dxa"/>
            </w:tcMar>
          </w:tcPr>
          <w:p>
            <w:pPr>
              <w:pStyle w:val="Compact"/>
              <w:jc w:val="right"/>
            </w:pPr>
            <w:r>
              <w:t xml:space="preserve">0.6041</w:t>
            </w:r>
          </w:p>
        </w:tc>
        <w:tc>
          <w:tcPr>
            <w:tcW w:type="dxa" w:w="635"/>
            <w:tcMar>
              <w:top w:w="0" w:type="dxa"/>
              <w:bottom w:w="0" w:type="dxa"/>
              <w:left w:w="0" w:type="dxa"/>
              <w:right w:w="0" w:type="dxa"/>
            </w:tcMar>
          </w:tcPr>
          <w:p>
            <w:pPr>
              <w:pStyle w:val="Compact"/>
              <w:jc w:val="right"/>
            </w:pPr>
            <w:r>
              <w:t xml:space="preserve">0.8414</w:t>
            </w:r>
          </w:p>
        </w:tc>
      </w:tr>
    </w:tbl>
    <w:p/>
    <w:tbl>
      <w:tblPr>
        <w:tblCellMar>
          <w:top w:w="15" w:type="dxa"/>
          <w:bottom w:w="15" w:type="dxa"/>
          <w:left w:w="20" w:type="dxa"/>
          <w:right w:w="20" w:type="dxa"/>
        </w:tblCellMar>
        <w:tblStyle w:val="Table"/>
        <w:tblW w:w="4960" w:type="dxa"/>
        <w:tblLook w:firstRow="1" w:lastRow="0" w:firstColumn="0" w:lastColumn="0" w:noHBand="0" w:noVBand="0" w:val="0020"/>
        <w:tblCaption w:val="Table IV. Gemma 3 decoder benchmark. Lower panel: pooled 1B configurations; 270M sentiment and priority were evaluated on dev only. Best per column in bold."/>
        <w:tblLayout w:type="fixed"/>
      </w:tblPr>
      <w:tblGrid>
        <w:gridCol w:w="2560"/>
        <w:gridCol w:w="800"/>
        <w:gridCol w:w="800"/>
        <w:gridCol w:w="800"/>
      </w:tblGrid>
      <w:tr>
        <w:trPr>
          <w:tblHeader w:val="on"/>
        </w:trPr>
        <w:tc>
          <w:tcPr>
            <w:tcW w:type="dxa" w:w="2560"/>
            <w:tcMar>
              <w:top w:w="0" w:type="dxa"/>
              <w:bottom w:w="0" w:type="dxa"/>
              <w:left w:w="0" w:type="dxa"/>
              <w:right w:w="0" w:type="dxa"/>
            </w:tcMar>
          </w:tcPr>
          <w:p>
            <w:pPr>
              <w:pStyle w:val="Compact"/>
              <w:jc w:val="left"/>
              <w:keepNext/>
            </w:pPr>
            <w:r>
              <w:t xml:space="preserve">Gemma 3 1B configuration (pooled)</w:t>
            </w:r>
          </w:p>
        </w:tc>
        <w:tc>
          <w:tcPr>
            <w:tcW w:type="dxa" w:w="800"/>
            <w:tcMar>
              <w:top w:w="0" w:type="dxa"/>
              <w:bottom w:w="0" w:type="dxa"/>
              <w:left w:w="0" w:type="dxa"/>
              <w:right w:w="0" w:type="dxa"/>
            </w:tcMar>
          </w:tcPr>
          <w:p>
            <w:pPr>
              <w:pStyle w:val="Compact"/>
              <w:jc w:val="right"/>
              <w:keepNext/>
            </w:pPr>
            <w:r>
              <w:t xml:space="preserve">Intent</w:t>
            </w:r>
          </w:p>
        </w:tc>
        <w:tc>
          <w:tcPr>
            <w:tcW w:type="dxa" w:w="800"/>
            <w:tcMar>
              <w:top w:w="0" w:type="dxa"/>
              <w:bottom w:w="0" w:type="dxa"/>
              <w:left w:w="0" w:type="dxa"/>
              <w:right w:w="0" w:type="dxa"/>
            </w:tcMar>
          </w:tcPr>
          <w:p>
            <w:pPr>
              <w:pStyle w:val="Compact"/>
              <w:jc w:val="right"/>
              <w:keepNext/>
            </w:pPr>
            <w:r>
              <w:t xml:space="preserve">Sentiment</w:t>
            </w:r>
          </w:p>
        </w:tc>
        <w:tc>
          <w:tcPr>
            <w:tcW w:type="dxa" w:w="800"/>
            <w:tcMar>
              <w:top w:w="0" w:type="dxa"/>
              <w:bottom w:w="0" w:type="dxa"/>
              <w:left w:w="0" w:type="dxa"/>
              <w:right w:w="0" w:type="dxa"/>
            </w:tcMar>
          </w:tcPr>
          <w:p>
            <w:pPr>
              <w:pStyle w:val="Compact"/>
              <w:jc w:val="right"/>
              <w:keepNext/>
            </w:pPr>
            <w:r>
              <w:t xml:space="preserve">Priority</w:t>
            </w:r>
          </w:p>
        </w:tc>
      </w:tr>
      <w:tr>
        <w:tc>
          <w:tcPr>
            <w:tcW w:type="dxa" w:w="2560"/>
            <w:tcMar>
              <w:top w:w="0" w:type="dxa"/>
              <w:bottom w:w="0" w:type="dxa"/>
              <w:left w:w="0" w:type="dxa"/>
              <w:right w:w="0" w:type="dxa"/>
            </w:tcMar>
          </w:tcPr>
          <w:p>
            <w:pPr>
              <w:pStyle w:val="Compact"/>
              <w:jc w:val="left"/>
            </w:pPr>
            <w:r>
              <w:t xml:space="preserve">Per-task heads</w:t>
            </w:r>
          </w:p>
        </w:tc>
        <w:tc>
          <w:tcPr>
            <w:tcW w:type="dxa" w:w="800"/>
            <w:tcMar>
              <w:top w:w="0" w:type="dxa"/>
              <w:bottom w:w="0" w:type="dxa"/>
              <w:left w:w="0" w:type="dxa"/>
              <w:right w:w="0" w:type="dxa"/>
            </w:tcMar>
          </w:tcPr>
          <w:p>
            <w:pPr>
              <w:pStyle w:val="Compact"/>
              <w:jc w:val="right"/>
            </w:pPr>
            <w:r>
              <w:t xml:space="preserve">0.8635</w:t>
            </w:r>
          </w:p>
        </w:tc>
        <w:tc>
          <w:tcPr>
            <w:tcW w:type="dxa" w:w="800"/>
            <w:tcMar>
              <w:top w:w="0" w:type="dxa"/>
              <w:bottom w:w="0" w:type="dxa"/>
              <w:left w:w="0" w:type="dxa"/>
              <w:right w:w="0" w:type="dxa"/>
            </w:tcMar>
          </w:tcPr>
          <w:p>
            <w:pPr>
              <w:pStyle w:val="Compact"/>
              <w:jc w:val="right"/>
            </w:pPr>
            <w:r>
              <w:rPr>
                <w:b/>
                <w:bCs/>
              </w:rPr>
              <w:t xml:space="preserve">0.7126</w:t>
            </w:r>
          </w:p>
        </w:tc>
        <w:tc>
          <w:tcPr>
            <w:tcW w:type="dxa" w:w="800"/>
            <w:tcMar>
              <w:top w:w="0" w:type="dxa"/>
              <w:bottom w:w="0" w:type="dxa"/>
              <w:left w:w="0" w:type="dxa"/>
              <w:right w:w="0" w:type="dxa"/>
            </w:tcMar>
          </w:tcPr>
          <w:p>
            <w:pPr>
              <w:pStyle w:val="Compact"/>
              <w:jc w:val="right"/>
            </w:pPr>
            <w:r>
              <w:t xml:space="preserve">0.8898</w:t>
            </w:r>
          </w:p>
        </w:tc>
      </w:tr>
      <w:tr>
        <w:tc>
          <w:tcPr>
            <w:tcW w:type="dxa" w:w="2560"/>
            <w:tcMar>
              <w:top w:w="0" w:type="dxa"/>
              <w:bottom w:w="0" w:type="dxa"/>
              <w:left w:w="0" w:type="dxa"/>
              <w:right w:w="0" w:type="dxa"/>
            </w:tcMar>
          </w:tcPr>
          <w:p>
            <w:pPr>
              <w:pStyle w:val="Compact"/>
              <w:jc w:val="left"/>
            </w:pPr>
            <w:r>
              <w:t xml:space="preserve">One shared head</w:t>
            </w:r>
          </w:p>
        </w:tc>
        <w:tc>
          <w:tcPr>
            <w:tcW w:type="dxa" w:w="800"/>
            <w:tcMar>
              <w:top w:w="0" w:type="dxa"/>
              <w:bottom w:w="0" w:type="dxa"/>
              <w:left w:w="0" w:type="dxa"/>
              <w:right w:w="0" w:type="dxa"/>
            </w:tcMar>
          </w:tcPr>
          <w:p>
            <w:pPr>
              <w:pStyle w:val="Compact"/>
              <w:jc w:val="right"/>
            </w:pPr>
            <w:r>
              <w:rPr>
                <w:b/>
                <w:bCs/>
              </w:rPr>
              <w:t xml:space="preserve">0.8673</w:t>
            </w:r>
          </w:p>
        </w:tc>
        <w:tc>
          <w:tcPr>
            <w:tcW w:type="dxa" w:w="800"/>
            <w:tcMar>
              <w:top w:w="0" w:type="dxa"/>
              <w:bottom w:w="0" w:type="dxa"/>
              <w:left w:w="0" w:type="dxa"/>
              <w:right w:w="0" w:type="dxa"/>
            </w:tcMar>
          </w:tcPr>
          <w:p>
            <w:pPr>
              <w:pStyle w:val="Compact"/>
              <w:jc w:val="right"/>
            </w:pPr>
            <w:r>
              <w:t xml:space="preserve">0.7048</w:t>
            </w:r>
          </w:p>
        </w:tc>
        <w:tc>
          <w:tcPr>
            <w:tcW w:type="dxa" w:w="800"/>
            <w:tcMar>
              <w:top w:w="0" w:type="dxa"/>
              <w:bottom w:w="0" w:type="dxa"/>
              <w:left w:w="0" w:type="dxa"/>
              <w:right w:w="0" w:type="dxa"/>
            </w:tcMar>
          </w:tcPr>
          <w:p>
            <w:pPr>
              <w:pStyle w:val="Compact"/>
              <w:jc w:val="right"/>
            </w:pPr>
            <w:r>
              <w:rPr>
                <w:b/>
                <w:bCs/>
              </w:rPr>
              <w:t xml:space="preserve">0.8904</w:t>
            </w:r>
          </w:p>
        </w:tc>
      </w:tr>
      <w:tr>
        <w:tc>
          <w:tcPr>
            <w:tcW w:type="dxa" w:w="2560"/>
            <w:tcMar>
              <w:top w:w="0" w:type="dxa"/>
              <w:bottom w:w="0" w:type="dxa"/>
              <w:left w:w="0" w:type="dxa"/>
              <w:right w:w="0" w:type="dxa"/>
            </w:tcMar>
          </w:tcPr>
          <w:p>
            <w:pPr>
              <w:pStyle w:val="Compact"/>
              <w:jc w:val="left"/>
            </w:pPr>
            <w:r>
              <w:t xml:space="preserve">Three shared heads</w:t>
            </w:r>
          </w:p>
        </w:tc>
        <w:tc>
          <w:tcPr>
            <w:tcW w:type="dxa" w:w="800"/>
            <w:tcMar>
              <w:top w:w="0" w:type="dxa"/>
              <w:bottom w:w="0" w:type="dxa"/>
              <w:left w:w="0" w:type="dxa"/>
              <w:right w:w="0" w:type="dxa"/>
            </w:tcMar>
          </w:tcPr>
          <w:p>
            <w:pPr>
              <w:pStyle w:val="Compact"/>
              <w:jc w:val="right"/>
            </w:pPr>
            <w:r>
              <w:t xml:space="preserve">0.8616</w:t>
            </w:r>
          </w:p>
        </w:tc>
        <w:tc>
          <w:tcPr>
            <w:tcW w:type="dxa" w:w="800"/>
            <w:tcMar>
              <w:top w:w="0" w:type="dxa"/>
              <w:bottom w:w="0" w:type="dxa"/>
              <w:left w:w="0" w:type="dxa"/>
              <w:right w:w="0" w:type="dxa"/>
            </w:tcMar>
          </w:tcPr>
          <w:p>
            <w:pPr>
              <w:pStyle w:val="Compact"/>
              <w:jc w:val="right"/>
            </w:pPr>
            <w:r>
              <w:t xml:space="preserve">0.7042</w:t>
            </w:r>
          </w:p>
        </w:tc>
        <w:tc>
          <w:tcPr>
            <w:tcW w:type="dxa" w:w="800"/>
            <w:tcMar>
              <w:top w:w="0" w:type="dxa"/>
              <w:bottom w:w="0" w:type="dxa"/>
              <w:left w:w="0" w:type="dxa"/>
              <w:right w:w="0" w:type="dxa"/>
            </w:tcMar>
          </w:tcPr>
          <w:p>
            <w:pPr>
              <w:pStyle w:val="Compact"/>
              <w:jc w:val="right"/>
            </w:pPr>
            <w:r>
              <w:t xml:space="preserve">0.8895</w:t>
            </w:r>
          </w:p>
        </w:tc>
      </w:tr>
    </w:tbl>
    <w:p>
      <w:pPr>
        <w:pStyle w:val="BodyText"/>
      </w:pPr>
      <w:r>
        <w:t xml:space="preserve">We adapt Gemma 3 across 1B and 270M parameter scales using parameter-efficient LoRA (Table IV), examining three core questions:</w:t>
      </w:r>
    </w:p>
    <w:p>
      <w:pPr>
        <w:pStyle w:val="BodyText"/>
      </w:pPr>
      <w:r>
        <w:rPr>
          <w:b/>
          <w:bCs/>
        </w:rPr>
        <w:t xml:space="preserve">LoRA Projection Coverage.</w:t>
      </w:r>
      <w:r>
        <w:t xml:space="preserve"> </w:t>
      </w:r>
      <w:r>
        <w:t xml:space="preserve">Expanding LoRA coverage from attention projections alone (</w:t>
      </w:r>
      <m:oMath>
        <m:r>
          <m:t>q</m:t>
        </m:r>
        <m:r>
          <m:rPr>
            <m:sty m:val="p"/>
          </m:rPr>
          <m:t>,</m:t>
        </m:r>
        <m:r>
          <m:t>v</m:t>
        </m:r>
      </m:oMath>
      <w:r>
        <w:t xml:space="preserve">) to all seven linear projections (</w:t>
      </w:r>
      <m:oMath>
        <m:r>
          <m:t>q</m:t>
        </m:r>
        <m:r>
          <m:rPr>
            <m:sty m:val="p"/>
          </m:rPr>
          <m:t>,</m:t>
        </m:r>
        <m:r>
          <m:t>k</m:t>
        </m:r>
        <m:r>
          <m:rPr>
            <m:sty m:val="p"/>
          </m:rPr>
          <m:t>,</m:t>
        </m:r>
        <m:r>
          <m:t>v</m:t>
        </m:r>
        <m:r>
          <m:rPr>
            <m:sty m:val="p"/>
          </m:rPr>
          <m:t>,</m:t>
        </m:r>
        <m:r>
          <m:t>o</m:t>
        </m:r>
        <m:r>
          <m:rPr>
            <m:sty m:val="p"/>
          </m:rPr>
          <m:t>,</m:t>
        </m:r>
        <m:r>
          <m:rPr>
            <m:sty m:val="p"/>
          </m:rPr>
          <m:t>g</m:t>
        </m:r>
        <m:r>
          <m:rPr>
            <m:sty m:val="p"/>
          </m:rPr>
          <m:t>a</m:t>
        </m:r>
        <m:r>
          <m:rPr>
            <m:sty m:val="p"/>
          </m:rPr>
          <m:t>t</m:t>
        </m:r>
        <m:r>
          <m:rPr>
            <m:sty m:val="p"/>
          </m:rPr>
          <m:t>e</m:t>
        </m:r>
        <m:r>
          <m:rPr>
            <m:sty m:val="p"/>
          </m:rPr>
          <m:t>,</m:t>
        </m:r>
        <m:r>
          <m:rPr>
            <m:sty m:val="p"/>
          </m:rPr>
          <m:t>u</m:t>
        </m:r>
        <m:r>
          <m:rPr>
            <m:sty m:val="p"/>
          </m:rPr>
          <m:t>p</m:t>
        </m:r>
        <m:r>
          <m:rPr>
            <m:sty m:val="p"/>
          </m:rPr>
          <m:t>,</m:t>
        </m:r>
        <m:r>
          <m:rPr>
            <m:sty m:val="p"/>
          </m:rPr>
          <m:t>d</m:t>
        </m:r>
        <m:r>
          <m:rPr>
            <m:sty m:val="p"/>
          </m:rPr>
          <m:t>o</m:t>
        </m:r>
        <m:r>
          <m:rPr>
            <m:sty m:val="p"/>
          </m:rPr>
          <m:t>w</m:t>
        </m:r>
        <m:r>
          <m:rPr>
            <m:sty m:val="p"/>
          </m:rPr>
          <m:t>n</m:t>
        </m:r>
      </m:oMath>
      <w:r>
        <w:t xml:space="preserve">) produced the largest gain in the decoder study (+2.70 points on 1B, +4.56 points on 270M validation), indicating that the apparent cross-script deficit under partial LoRA was a parameter coverage artifact.</w:t>
      </w:r>
    </w:p>
    <w:p>
      <w:pPr>
        <w:pStyle w:val="BodyText"/>
      </w:pPr>
      <w:r>
        <w:rPr>
          <w:b/>
          <w:bCs/>
        </w:rPr>
        <w:t xml:space="preserve">Parameter Scaling and Minority Collapse.</w:t>
      </w:r>
      <w:r>
        <w:t xml:space="preserve"> </w:t>
      </w:r>
      <w:r>
        <w:t xml:space="preserve">The 270M model gives up 2.21 points of pooled intent macro-F</w:t>
      </w:r>
      <w:r>
        <w:rPr>
          <w:vertAlign w:val="subscript"/>
        </w:rPr>
        <w:t xml:space="preserve">1</w:t>
      </w:r>
      <w:r>
        <w:t xml:space="preserve"> </w:t>
      </w:r>
      <w:r>
        <w:t xml:space="preserve">to the 1B model (0.8414 against 0.8635), but collapses far harder on the minority target: on development data it reaches 0.5611 Negative-F</w:t>
      </w:r>
      <w:r>
        <w:rPr>
          <w:vertAlign w:val="subscript"/>
        </w:rPr>
        <w:t xml:space="preserve">1</w:t>
      </w:r>
      <w:r>
        <w:t xml:space="preserve"> </w:t>
      </w:r>
      <w:r>
        <w:t xml:space="preserve">against the 1B model’s 0.7098, a 14.87 point gap. Compressed capacity degrades disproportionately under severe label skew.</w:t>
      </w:r>
    </w:p>
    <w:p>
      <w:pPr>
        <w:pStyle w:val="BodyText"/>
      </w:pPr>
      <w:r>
        <w:rPr>
          <w:b/>
          <w:bCs/>
        </w:rPr>
        <w:t xml:space="preserve">Joint Multi-Task Architecture.</w:t>
      </w:r>
      <w:r>
        <w:t xml:space="preserve"> </w:t>
      </w:r>
      <w:r>
        <w:t xml:space="preserve">A single Gemma 3 1B backbone equipped with a shared classification head guided by task prefix prompts achieves 0.8673 on intent, 0.7048 on sentiment, and 0.8904 on priority on the frozen test set, matching single-task encoders on priority with 0% cross-task misrouting.</w:t>
      </w:r>
    </w:p>
    <w:bookmarkEnd w:id="26"/>
    <w:bookmarkStart w:id="27" w:name="f.-representation-probing-diagnostics"/>
    <w:p>
      <w:pPr>
        <w:pStyle w:val="Heading2"/>
      </w:pPr>
      <w:r>
        <w:t xml:space="preserve">F. Representation Probing Diagnostics</w:t>
      </w:r>
    </w:p>
    <w:p>
      <w:pPr>
        <w:pStyle w:val="FirstParagraph"/>
      </w:pPr>
      <w:r>
        <w:t xml:space="preserve">To isolate representation transfer we probed frozen backbones with a linear</w:t>
      </w:r>
      <w:r>
        <w:t xml:space="preserve"> </w:t>
      </w:r>
      <w:r>
        <w:t xml:space="preserve">classifier. Pretrained LaBSE scored 0.8015 on priority and 0.7822 on intent,</w:t>
      </w:r>
      <w:r>
        <w:t xml:space="preserve"> </w:t>
      </w:r>
      <w:r>
        <w:t xml:space="preserve">substantially below the classical TF–IDF baseline (0.8734 and 0.8308), which</w:t>
      </w:r>
      <w:r>
        <w:t xml:space="preserve"> </w:t>
      </w:r>
      <w:r>
        <w:t xml:space="preserve">demonstrates that frozen representations cannot be served without supervised</w:t>
      </w:r>
      <w:r>
        <w:t xml:space="preserve"> </w:t>
      </w:r>
      <w:r>
        <w:t xml:space="preserve">fine-tuning.</w:t>
      </w:r>
    </w:p>
    <w:bookmarkEnd w:id="27"/>
    <w:bookmarkEnd w:id="28"/>
    <w:bookmarkStart w:id="32" w:name="X7085a68c6d251d6638455a3776df09e51e402df"/>
    <w:p>
      <w:pPr>
        <w:pStyle w:val="Heading1"/>
      </w:pPr>
      <w:r>
        <w:t xml:space="preserve">V. Information Theoretic Posterior Combination</w:t>
      </w:r>
    </w:p>
    <w:bookmarkStart w:id="29" w:name="a.-quantifying-inter-label-dependence"/>
    <w:p>
      <w:pPr>
        <w:pStyle w:val="Heading2"/>
      </w:pPr>
      <w:r>
        <w:t xml:space="preserve">A. Quantifying Inter Label Dependence</w:t>
      </w:r>
    </w:p>
    <w:p>
      <w:pPr>
        <w:pStyle w:val="FirstParagraph"/>
      </w:pPr>
      <w:r>
        <w:t xml:space="preserve">Predicting intent, sentiment, and priority via independent output heads overlooks their joint statistical structure. Evaluating mutual information on training data (</w:t>
      </w:r>
      <m:oMath>
        <m:r>
          <m:t>n</m:t>
        </m:r>
        <m:r>
          <m:rPr>
            <m:sty m:val="p"/>
          </m:rPr>
          <m:t>=</m:t>
        </m:r>
        <m:r>
          <m:t>9</m:t>
        </m:r>
        <m:r>
          <m:rPr>
            <m:sty m:val="p"/>
          </m:rPr>
          <m:t>,</m:t>
        </m:r>
        <m:r>
          <m:t>998</m:t>
        </m:r>
      </m:oMath>
      <w:r>
        <w:t xml:space="preserve"> </w:t>
      </w:r>
      <w:r>
        <w:t xml:space="preserve">tickets, in nats) reveals strong asymmetric coupling: prior entropy</w:t>
      </w:r>
      <w:r>
        <w:t xml:space="preserve"> </w:t>
      </w:r>
      <m:oMath>
        <m:r>
          <m:t>H</m:t>
        </m:r>
        <m:r>
          <m:rPr>
            <m:sty m:val="p"/>
          </m:rPr>
          <m:t>(</m:t>
        </m:r>
        <m:r>
          <m:rPr>
            <m:sty m:val="p"/>
          </m:rPr>
          <m:t>p</m:t>
        </m:r>
        <m:r>
          <m:rPr>
            <m:sty m:val="p"/>
          </m:rPr>
          <m:t>r</m:t>
        </m:r>
        <m:r>
          <m:rPr>
            <m:sty m:val="p"/>
          </m:rPr>
          <m:t>i</m:t>
        </m:r>
        <m:r>
          <m:rPr>
            <m:sty m:val="p"/>
          </m:rPr>
          <m:t>o</m:t>
        </m:r>
        <m:r>
          <m:rPr>
            <m:sty m:val="p"/>
          </m:rPr>
          <m:t>)</m:t>
        </m:r>
        <m:r>
          <m:rPr>
            <m:sty m:val="p"/>
          </m:rPr>
          <m:t>=</m:t>
        </m:r>
        <m:r>
          <m:t>0.9333</m:t>
        </m:r>
      </m:oMath>
      <w:r>
        <w:t xml:space="preserve">;</w:t>
      </w:r>
      <w:r>
        <w:t xml:space="preserve"> </w:t>
      </w:r>
      <m:oMath>
        <m:r>
          <m:t>I</m:t>
        </m:r>
        <m:r>
          <m:rPr>
            <m:sty m:val="p"/>
          </m:rPr>
          <m:t>(</m:t>
        </m:r>
        <m:r>
          <m:rPr>
            <m:sty m:val="p"/>
          </m:rPr>
          <m:t>i</m:t>
        </m:r>
        <m:r>
          <m:rPr>
            <m:sty m:val="p"/>
          </m:rPr>
          <m:t>n</m:t>
        </m:r>
        <m:r>
          <m:rPr>
            <m:sty m:val="p"/>
          </m:rPr>
          <m:t>t</m:t>
        </m:r>
        <m:r>
          <m:rPr>
            <m:sty m:val="p"/>
          </m:rPr>
          <m:t>;</m:t>
        </m:r>
        <m:r>
          <m:rPr>
            <m:sty m:val="p"/>
          </m:rPr>
          <m:t>p</m:t>
        </m:r>
        <m:r>
          <m:rPr>
            <m:sty m:val="p"/>
          </m:rPr>
          <m:t>r</m:t>
        </m:r>
        <m:r>
          <m:rPr>
            <m:sty m:val="p"/>
          </m:rPr>
          <m:t>i</m:t>
        </m:r>
        <m:r>
          <m:rPr>
            <m:sty m:val="p"/>
          </m:rPr>
          <m:t>o</m:t>
        </m:r>
        <m:r>
          <m:rPr>
            <m:sty m:val="p"/>
          </m:rPr>
          <m:t>)</m:t>
        </m:r>
        <m:r>
          <m:rPr>
            <m:sty m:val="p"/>
          </m:rPr>
          <m:t>=</m:t>
        </m:r>
        <m:r>
          <m:t>0.7178</m:t>
        </m:r>
      </m:oMath>
      <w:r>
        <w:t xml:space="preserve"> </w:t>
      </w:r>
      <w:r>
        <w:t xml:space="preserve">(resolving 76.9% of priority entropy);</w:t>
      </w:r>
      <w:r>
        <w:t xml:space="preserve"> </w:t>
      </w:r>
      <m:oMath>
        <m:r>
          <m:t>I</m:t>
        </m:r>
        <m:r>
          <m:rPr>
            <m:sty m:val="p"/>
          </m:rPr>
          <m:t>(</m:t>
        </m:r>
        <m:r>
          <m:rPr>
            <m:sty m:val="p"/>
          </m:rPr>
          <m:t>s</m:t>
        </m:r>
        <m:r>
          <m:rPr>
            <m:sty m:val="p"/>
          </m:rPr>
          <m:t>e</m:t>
        </m:r>
        <m:r>
          <m:rPr>
            <m:sty m:val="p"/>
          </m:rPr>
          <m:t>n</m:t>
        </m:r>
        <m:r>
          <m:rPr>
            <m:sty m:val="p"/>
          </m:rPr>
          <m:t>t</m:t>
        </m:r>
        <m:r>
          <m:rPr>
            <m:sty m:val="p"/>
          </m:rPr>
          <m:t>;</m:t>
        </m:r>
        <m:r>
          <m:rPr>
            <m:sty m:val="p"/>
          </m:rPr>
          <m:t>p</m:t>
        </m:r>
        <m:r>
          <m:rPr>
            <m:sty m:val="p"/>
          </m:rPr>
          <m:t>r</m:t>
        </m:r>
        <m:r>
          <m:rPr>
            <m:sty m:val="p"/>
          </m:rPr>
          <m:t>i</m:t>
        </m:r>
        <m:r>
          <m:rPr>
            <m:sty m:val="p"/>
          </m:rPr>
          <m:t>o</m:t>
        </m:r>
        <m:r>
          <m:rPr>
            <m:sty m:val="p"/>
          </m:rPr>
          <m:t>)</m:t>
        </m:r>
        <m:r>
          <m:rPr>
            <m:sty m:val="p"/>
          </m:rPr>
          <m:t>=</m:t>
        </m:r>
        <m:r>
          <m:t>0.0172</m:t>
        </m:r>
      </m:oMath>
      <w:r>
        <w:t xml:space="preserve"> </w:t>
      </w:r>
      <w:r>
        <w:t xml:space="preserve">(1.8%); and</w:t>
      </w:r>
      <w:r>
        <w:t xml:space="preserve"> </w:t>
      </w:r>
      <m:oMath>
        <m:r>
          <m:t>I</m:t>
        </m:r>
        <m:r>
          <m:rPr>
            <m:sty m:val="p"/>
          </m:rPr>
          <m:t>(</m:t>
        </m:r>
        <m:r>
          <m:rPr>
            <m:sty m:val="p"/>
          </m:rPr>
          <m:t>s</m:t>
        </m:r>
        <m:r>
          <m:rPr>
            <m:sty m:val="p"/>
          </m:rPr>
          <m:t>e</m:t>
        </m:r>
        <m:r>
          <m:rPr>
            <m:sty m:val="p"/>
          </m:rPr>
          <m:t>n</m:t>
        </m:r>
        <m:r>
          <m:rPr>
            <m:sty m:val="p"/>
          </m:rPr>
          <m:t>t</m:t>
        </m:r>
        <m:r>
          <m:rPr>
            <m:sty m:val="p"/>
          </m:rPr>
          <m:t>;</m:t>
        </m:r>
        <m:r>
          <m:rPr>
            <m:sty m:val="p"/>
          </m:rPr>
          <m:t>p</m:t>
        </m:r>
        <m:r>
          <m:rPr>
            <m:sty m:val="p"/>
          </m:rPr>
          <m:t>r</m:t>
        </m:r>
        <m:r>
          <m:rPr>
            <m:sty m:val="p"/>
          </m:rPr>
          <m:t>i</m:t>
        </m:r>
        <m:r>
          <m:rPr>
            <m:sty m:val="p"/>
          </m:rPr>
          <m:t>o</m:t>
        </m:r>
        <m:r>
          <m:rPr>
            <m:sty m:val="p"/>
          </m:rPr>
          <m:t>∣</m:t>
        </m:r>
        <m:r>
          <m:rPr>
            <m:sty m:val="p"/>
          </m:rPr>
          <m:t>i</m:t>
        </m:r>
        <m:r>
          <m:rPr>
            <m:sty m:val="p"/>
          </m:rPr>
          <m:t>n</m:t>
        </m:r>
        <m:r>
          <m:rPr>
            <m:sty m:val="p"/>
          </m:rPr>
          <m:t>t</m:t>
        </m:r>
        <m:r>
          <m:rPr>
            <m:sty m:val="p"/>
          </m:rPr>
          <m:t>)</m:t>
        </m:r>
        <m:r>
          <m:rPr>
            <m:sty m:val="p"/>
          </m:rPr>
          <m:t>=</m:t>
        </m:r>
        <m:r>
          <m:t>0.0149</m:t>
        </m:r>
      </m:oMath>
      <w:r>
        <w:t xml:space="preserve"> </w:t>
      </w:r>
      <w:r>
        <w:t xml:space="preserve">(86.6% survives conditioning). Thus, intent provides a dominant, overlapping signal for priority, while sentiment acts as a sparse, non-redundant orthogonal adjustment. Fitting linear mixtures of the form</w:t>
      </w:r>
      <w:r>
        <w:t xml:space="preserve"> </w:t>
      </w:r>
      <m:oMath>
        <m:sSub>
          <m:e>
            <m:r>
              <m:t>w</m:t>
            </m:r>
          </m:e>
          <m:sub>
            <m:r>
              <m:t>P</m:t>
            </m:r>
          </m:sub>
        </m:sSub>
        <m:r>
          <m:t>P</m:t>
        </m:r>
        <m:r>
          <m:rPr>
            <m:sty m:val="p"/>
          </m:rPr>
          <m:t>(</m:t>
        </m:r>
        <m:r>
          <m:rPr>
            <m:sty m:val="p"/>
          </m:rPr>
          <m:t>p</m:t>
        </m:r>
        <m:r>
          <m:rPr>
            <m:sty m:val="p"/>
          </m:rPr>
          <m:t>r</m:t>
        </m:r>
        <m:r>
          <m:rPr>
            <m:sty m:val="p"/>
          </m:rPr>
          <m:t>i</m:t>
        </m:r>
        <m:r>
          <m:rPr>
            <m:sty m:val="p"/>
          </m:rPr>
          <m:t>o</m:t>
        </m:r>
        <m:r>
          <m:rPr>
            <m:sty m:val="p"/>
          </m:rPr>
          <m:t>)</m:t>
        </m:r>
        <m:r>
          <m:rPr>
            <m:sty m:val="p"/>
          </m:rPr>
          <m:t>+</m:t>
        </m:r>
        <m:sSub>
          <m:e>
            <m:r>
              <m:t>w</m:t>
            </m:r>
          </m:e>
          <m:sub>
            <m:r>
              <m:t>I</m:t>
            </m:r>
          </m:sub>
        </m:sSub>
        <m:r>
          <m:t>P</m:t>
        </m:r>
        <m:r>
          <m:rPr>
            <m:sty m:val="p"/>
          </m:rPr>
          <m:t>(</m:t>
        </m:r>
        <m:r>
          <m:rPr>
            <m:sty m:val="p"/>
          </m:rPr>
          <m:t>i</m:t>
        </m:r>
        <m:r>
          <m:rPr>
            <m:sty m:val="p"/>
          </m:rPr>
          <m:t>n</m:t>
        </m:r>
        <m:r>
          <m:rPr>
            <m:sty m:val="p"/>
          </m:rPr>
          <m:t>t</m:t>
        </m:r>
        <m:r>
          <m:rPr>
            <m:sty m:val="p"/>
          </m:rPr>
          <m:t>)</m:t>
        </m:r>
      </m:oMath>
      <w:r>
        <w:t xml:space="preserve"> </w:t>
      </w:r>
      <w:r>
        <w:t xml:space="preserve">induces collinearity, as weights sum redundant estimates of the same underlying event.</w:t>
      </w:r>
    </w:p>
    <w:bookmarkEnd w:id="29"/>
    <w:bookmarkStart w:id="30" w:name="X4de95b3ddea06055d601a36bfb970c07b972f09"/>
    <w:p>
      <w:pPr>
        <w:pStyle w:val="Heading2"/>
      </w:pPr>
      <w:r>
        <w:t xml:space="preserve">B. Candidate Combination Rules and Evaluation</w:t>
      </w:r>
    </w:p>
    <w:p>
      <w:pPr>
        <w:pStyle w:val="FirstParagraph"/>
      </w:pPr>
      <w:r>
        <w:t xml:space="preserve">We benchmark five probabilistic combination mechanisms on the frozen test split: (i) </w:t>
      </w:r>
      <w:r>
        <w:rPr>
          <w:i/>
          <w:iCs/>
        </w:rPr>
        <w:t xml:space="preserve">Marginal</w:t>
      </w:r>
      <w:r>
        <w:t xml:space="preserve">: direct priority head</w:t>
      </w:r>
      <w:r>
        <w:t xml:space="preserve"> </w:t>
      </w:r>
      <m:oMath>
        <m:sSub>
          <m:e>
            <m:r>
              <m:t>P</m:t>
            </m:r>
          </m:e>
          <m:sub>
            <m:r>
              <m:rPr>
                <m:sty m:val="p"/>
              </m:rPr>
              <m:t>h</m:t>
            </m:r>
            <m:r>
              <m:rPr>
                <m:sty m:val="p"/>
              </m:rPr>
              <m:t>e</m:t>
            </m:r>
            <m:r>
              <m:rPr>
                <m:sty m:val="p"/>
              </m:rPr>
              <m:t>a</m:t>
            </m:r>
            <m:r>
              <m:rPr>
                <m:sty m:val="p"/>
              </m:rPr>
              <m:t>d</m:t>
            </m:r>
          </m:sub>
        </m:sSub>
        <m:r>
          <m:rPr>
            <m:sty m:val="p"/>
          </m:rPr>
          <m:t>(</m:t>
        </m:r>
        <m:r>
          <m:rPr>
            <m:sty m:val="p"/>
          </m:rPr>
          <m:t>p</m:t>
        </m:r>
        <m:r>
          <m:rPr>
            <m:sty m:val="p"/>
          </m:rPr>
          <m:t>r</m:t>
        </m:r>
        <m:r>
          <m:rPr>
            <m:sty m:val="p"/>
          </m:rPr>
          <m:t>i</m:t>
        </m:r>
        <m:r>
          <m:rPr>
            <m:sty m:val="p"/>
          </m:rPr>
          <m:t>o</m:t>
        </m:r>
        <m:r>
          <m:rPr>
            <m:sty m:val="p"/>
          </m:rPr>
          <m:t>∣</m:t>
        </m:r>
        <m:r>
          <m:t>x</m:t>
        </m:r>
        <m:r>
          <m:rPr>
            <m:sty m:val="p"/>
          </m:rPr>
          <m:t>)</m:t>
        </m:r>
      </m:oMath>
      <w:r>
        <w:t xml:space="preserve">; (ii) </w:t>
      </w:r>
      <w:r>
        <w:rPr>
          <w:i/>
          <w:iCs/>
        </w:rPr>
        <w:t xml:space="preserve">Stacked Generalization</w:t>
      </w:r>
      <w:r>
        <w:t xml:space="preserve">: a multinomial logistic meta learner [25]; (iii) </w:t>
      </w:r>
      <w:r>
        <w:rPr>
          <w:i/>
          <w:iCs/>
        </w:rPr>
        <w:t xml:space="preserve">Intent Chain</w:t>
      </w:r>
      <w:r>
        <w:t xml:space="preserve">: a classifier chain [26] marginalizing over intent,</w:t>
      </w:r>
      <w:r>
        <w:t xml:space="preserve"> </w:t>
      </w:r>
      <m:oMath>
        <m:sSub>
          <m:e>
            <m:r>
              <m:t>P</m:t>
            </m:r>
          </m:e>
          <m:sub>
            <m:r>
              <m:rPr>
                <m:sty m:val="p"/>
              </m:rPr>
              <m:t>c</m:t>
            </m:r>
            <m:r>
              <m:rPr>
                <m:sty m:val="p"/>
              </m:rPr>
              <m:t>h</m:t>
            </m:r>
            <m:r>
              <m:rPr>
                <m:sty m:val="p"/>
              </m:rPr>
              <m:t>a</m:t>
            </m:r>
            <m:r>
              <m:rPr>
                <m:sty m:val="p"/>
              </m:rPr>
              <m:t>i</m:t>
            </m:r>
            <m:r>
              <m:rPr>
                <m:sty m:val="p"/>
              </m:rPr>
              <m:t>n</m:t>
            </m:r>
          </m:sub>
        </m:sSub>
        <m:r>
          <m:rPr>
            <m:sty m:val="p"/>
          </m:rPr>
          <m:t>(</m:t>
        </m:r>
        <m:r>
          <m:t>k</m:t>
        </m:r>
        <m:r>
          <m:rPr>
            <m:sty m:val="p"/>
          </m:rPr>
          <m:t>∣</m:t>
        </m:r>
        <m:r>
          <m:t>x</m:t>
        </m:r>
        <m:r>
          <m:rPr>
            <m:sty m:val="p"/>
          </m:rPr>
          <m:t>)</m:t>
        </m:r>
        <m:r>
          <m:rPr>
            <m:sty m:val="p"/>
          </m:rPr>
          <m:t>=</m:t>
        </m:r>
        <m:nary>
          <m:naryPr>
            <m:chr m:val="∑"/>
            <m:limLoc m:val="undOvr"/>
            <m:subHide m:val="off"/>
            <m:supHide m:val="off"/>
          </m:naryPr>
          <m:sub>
            <m:r>
              <m:t>i</m:t>
            </m:r>
            <m:r>
              <m:rPr>
                <m:sty m:val="p"/>
              </m:rPr>
              <m:t>=</m:t>
            </m:r>
            <m:r>
              <m:t>1</m:t>
            </m:r>
          </m:sub>
          <m:sup>
            <m:r>
              <m:t>77</m:t>
            </m:r>
          </m:sup>
          <m:e>
            <m:r>
              <m:t>P</m:t>
            </m:r>
          </m:e>
        </m:nary>
        <m:r>
          <m:rPr>
            <m:sty m:val="p"/>
          </m:rPr>
          <m:t>(</m:t>
        </m:r>
        <m:r>
          <m:rPr>
            <m:sty m:val="p"/>
          </m:rPr>
          <m:t>i</m:t>
        </m:r>
        <m:r>
          <m:rPr>
            <m:sty m:val="p"/>
          </m:rPr>
          <m:t>n</m:t>
        </m:r>
        <m:r>
          <m:rPr>
            <m:sty m:val="p"/>
          </m:rPr>
          <m:t>t</m:t>
        </m:r>
        <m:r>
          <m:rPr>
            <m:sty m:val="p"/>
          </m:rPr>
          <m:t>=</m:t>
        </m:r>
        <m:r>
          <m:t>i</m:t>
        </m:r>
        <m:r>
          <m:rPr>
            <m:sty m:val="p"/>
          </m:rPr>
          <m:t>∣</m:t>
        </m:r>
        <m:r>
          <m:t>x</m:t>
        </m:r>
        <m:r>
          <m:rPr>
            <m:sty m:val="p"/>
          </m:rPr>
          <m:t>)</m:t>
        </m:r>
        <m:r>
          <m:t> </m:t>
        </m:r>
        <m:r>
          <m:t>P</m:t>
        </m:r>
        <m:r>
          <m:rPr>
            <m:sty m:val="p"/>
          </m:rPr>
          <m:t>(</m:t>
        </m:r>
        <m:r>
          <m:rPr>
            <m:sty m:val="p"/>
          </m:rPr>
          <m:t>p</m:t>
        </m:r>
        <m:r>
          <m:rPr>
            <m:sty m:val="p"/>
          </m:rPr>
          <m:t>r</m:t>
        </m:r>
        <m:r>
          <m:rPr>
            <m:sty m:val="p"/>
          </m:rPr>
          <m:t>i</m:t>
        </m:r>
        <m:r>
          <m:rPr>
            <m:sty m:val="p"/>
          </m:rPr>
          <m:t>o</m:t>
        </m:r>
        <m:r>
          <m:rPr>
            <m:sty m:val="p"/>
          </m:rPr>
          <m:t>=</m:t>
        </m:r>
        <m:r>
          <m:t>k</m:t>
        </m:r>
        <m:r>
          <m:rPr>
            <m:sty m:val="p"/>
          </m:rPr>
          <m:t>∣</m:t>
        </m:r>
        <m:r>
          <m:rPr>
            <m:sty m:val="p"/>
          </m:rPr>
          <m:t>i</m:t>
        </m:r>
        <m:r>
          <m:rPr>
            <m:sty m:val="p"/>
          </m:rPr>
          <m:t>n</m:t>
        </m:r>
        <m:r>
          <m:rPr>
            <m:sty m:val="p"/>
          </m:rPr>
          <m:t>t</m:t>
        </m:r>
        <m:r>
          <m:rPr>
            <m:sty m:val="p"/>
          </m:rPr>
          <m:t>=</m:t>
        </m:r>
        <m:r>
          <m:t>i</m:t>
        </m:r>
        <m:r>
          <m:rPr>
            <m:sty m:val="p"/>
          </m:rPr>
          <m:t>)</m:t>
        </m:r>
      </m:oMath>
      <w:r>
        <w:t xml:space="preserve">, where contingency</w:t>
      </w:r>
      <w:r>
        <w:t xml:space="preserve"> </w:t>
      </w:r>
      <m:oMath>
        <m:r>
          <m:t>P</m:t>
        </m:r>
        <m:r>
          <m:rPr>
            <m:sty m:val="p"/>
          </m:rPr>
          <m:t>(</m:t>
        </m:r>
        <m:r>
          <m:rPr>
            <m:sty m:val="p"/>
          </m:rPr>
          <m:t>p</m:t>
        </m:r>
        <m:r>
          <m:rPr>
            <m:sty m:val="p"/>
          </m:rPr>
          <m:t>r</m:t>
        </m:r>
        <m:r>
          <m:rPr>
            <m:sty m:val="p"/>
          </m:rPr>
          <m:t>i</m:t>
        </m:r>
        <m:r>
          <m:rPr>
            <m:sty m:val="p"/>
          </m:rPr>
          <m:t>o</m:t>
        </m:r>
        <m:r>
          <m:rPr>
            <m:sty m:val="p"/>
          </m:rPr>
          <m:t>∣</m:t>
        </m:r>
        <m:r>
          <m:rPr>
            <m:sty m:val="p"/>
          </m:rPr>
          <m:t>i</m:t>
        </m:r>
        <m:r>
          <m:rPr>
            <m:sty m:val="p"/>
          </m:rPr>
          <m:t>n</m:t>
        </m:r>
        <m:r>
          <m:rPr>
            <m:sty m:val="p"/>
          </m:rPr>
          <m:t>t</m:t>
        </m:r>
        <m:r>
          <m:rPr>
            <m:sty m:val="p"/>
          </m:rPr>
          <m:t>)</m:t>
        </m:r>
      </m:oMath>
      <w:r>
        <w:t xml:space="preserve"> </w:t>
      </w:r>
      <w:r>
        <w:t xml:space="preserve">is estimated on training gold labels; (iv) </w:t>
      </w:r>
      <w:r>
        <w:rPr>
          <w:i/>
          <w:iCs/>
        </w:rPr>
        <w:t xml:space="preserve">Full Chain</w:t>
      </w:r>
      <w:r>
        <w:t xml:space="preserve">: conditioning priority jointly on intent and sentiment; and (v) </w:t>
      </w:r>
      <w:r>
        <w:rPr>
          <w:i/>
          <w:iCs/>
        </w:rPr>
        <w:t xml:space="preserve">Log Pool</w:t>
      </w:r>
      <w:r>
        <w:t xml:space="preserve">: the normalized geometric mean of the direct priority head and the intent chain:</w:t>
      </w:r>
    </w:p>
    <w:p>
      <w:pPr>
        <w:spacing w:before="60" w:after="60" w:line="240" w:lineRule="auto"/>
        <w:ind w:firstLine="0"/>
        <w:jc w:val="center"/>
      </w:pPr>
      <m:oMathPara>
        <m:oMathParaPr>
          <m:jc m:val="center"/>
        </m:oMathParaPr>
        <m:oMath>
          <m:sSub>
            <m:e>
              <m:r>
                <m:t>P</m:t>
              </m:r>
            </m:e>
            <m:sub>
              <m:r>
                <m:rPr>
                  <m:sty m:val="p"/>
                </m:rPr>
                <m:t>p</m:t>
              </m:r>
              <m:r>
                <m:rPr>
                  <m:sty m:val="p"/>
                </m:rPr>
                <m:t>o</m:t>
              </m:r>
              <m:r>
                <m:rPr>
                  <m:sty m:val="p"/>
                </m:rPr>
                <m:t>o</m:t>
              </m:r>
              <m:r>
                <m:rPr>
                  <m:sty m:val="p"/>
                </m:rPr>
                <m:t>l</m:t>
              </m:r>
            </m:sub>
          </m:sSub>
          <m:r>
            <m:rPr>
              <m:sty m:val="p"/>
            </m:rPr>
            <m:t>(</m:t>
          </m:r>
          <m:r>
            <m:t>k</m:t>
          </m:r>
          <m:r>
            <m:rPr>
              <m:sty m:val="p"/>
            </m:rPr>
            <m:t>∣</m:t>
          </m:r>
          <m:r>
            <m:t>x</m:t>
          </m:r>
          <m:r>
            <m:rPr>
              <m:sty m:val="p"/>
            </m:rPr>
            <m:t>)</m:t>
          </m:r>
          <m:r>
            <m:rPr>
              <m:sty m:val="p"/>
            </m:rPr>
            <m:t>∝</m:t>
          </m:r>
          <m:r>
            <m:rPr>
              <m:sty m:val="p"/>
            </m:rPr>
            <m:t>(</m:t>
          </m:r>
          <m:sSub>
            <m:e>
              <m:r>
                <m:t>P</m:t>
              </m:r>
            </m:e>
            <m:sub>
              <m:r>
                <m:rPr>
                  <m:sty m:val="p"/>
                </m:rPr>
                <m:t>h</m:t>
              </m:r>
              <m:r>
                <m:rPr>
                  <m:sty m:val="p"/>
                </m:rPr>
                <m:t>e</m:t>
              </m:r>
              <m:r>
                <m:rPr>
                  <m:sty m:val="p"/>
                </m:rPr>
                <m:t>a</m:t>
              </m:r>
              <m:r>
                <m:rPr>
                  <m:sty m:val="p"/>
                </m:rPr>
                <m:t>d</m:t>
              </m:r>
            </m:sub>
          </m:sSub>
          <m:r>
            <m:rPr>
              <m:sty m:val="p"/>
            </m:rPr>
            <m:t>(</m:t>
          </m:r>
          <m:r>
            <m:rPr>
              <m:sty m:val="p"/>
            </m:rPr>
            <m:t>p</m:t>
          </m:r>
          <m:r>
            <m:rPr>
              <m:sty m:val="p"/>
            </m:rPr>
            <m:t>r</m:t>
          </m:r>
          <m:r>
            <m:rPr>
              <m:sty m:val="p"/>
            </m:rPr>
            <m:t>i</m:t>
          </m:r>
          <m:r>
            <m:rPr>
              <m:sty m:val="p"/>
            </m:rPr>
            <m:t>o</m:t>
          </m:r>
          <m:r>
            <m:rPr>
              <m:sty m:val="p"/>
            </m:rPr>
            <m:t>=</m:t>
          </m:r>
          <m:r>
            <m:t>k</m:t>
          </m:r>
          <m:r>
            <m:rPr>
              <m:sty m:val="p"/>
            </m:rPr>
            <m:t>∣</m:t>
          </m:r>
          <m:r>
            <m:t>x</m:t>
          </m:r>
          <m:r>
            <m:rPr>
              <m:sty m:val="p"/>
            </m:rPr>
            <m:t>)</m:t>
          </m:r>
          <m:r>
            <m:t> </m:t>
          </m:r>
          <m:sSub>
            <m:e>
              <m:r>
                <m:t>P</m:t>
              </m:r>
            </m:e>
            <m:sub>
              <m:r>
                <m:rPr>
                  <m:sty m:val="p"/>
                </m:rPr>
                <m:t>c</m:t>
              </m:r>
              <m:r>
                <m:rPr>
                  <m:sty m:val="p"/>
                </m:rPr>
                <m:t>h</m:t>
              </m:r>
              <m:r>
                <m:rPr>
                  <m:sty m:val="p"/>
                </m:rPr>
                <m:t>a</m:t>
              </m:r>
              <m:r>
                <m:rPr>
                  <m:sty m:val="p"/>
                </m:rPr>
                <m:t>i</m:t>
              </m:r>
              <m:r>
                <m:rPr>
                  <m:sty m:val="p"/>
                </m:rPr>
                <m:t>n</m:t>
              </m:r>
            </m:sub>
          </m:sSub>
          <m:r>
            <m:rPr>
              <m:sty m:val="p"/>
            </m:rPr>
            <m:t>(</m:t>
          </m:r>
          <m:r>
            <m:t>k</m:t>
          </m:r>
          <m:r>
            <m:rPr>
              <m:sty m:val="p"/>
            </m:rPr>
            <m:t>∣</m:t>
          </m:r>
          <m:r>
            <m:t>x</m:t>
          </m:r>
          <m:r>
            <m:rPr>
              <m:sty m:val="p"/>
            </m:rPr>
            <m:t>)</m:t>
          </m:r>
          <m:sSup>
            <m:e>
              <m:r>
                <m:rPr>
                  <m:sty m:val="p"/>
                </m:rPr>
                <m:t>)</m:t>
              </m:r>
            </m:e>
            <m:sup>
              <m:r>
                <m:t>1</m:t>
              </m:r>
              <m:r>
                <m:rPr>
                  <m:sty m:val="p"/>
                </m:rPr>
                <m:t>/</m:t>
              </m:r>
              <m:r>
                <m:t>2</m:t>
              </m:r>
            </m:sup>
          </m:sSup>
          <m:r>
            <m:rPr>
              <m:sty m:val="p"/>
            </m:rPr>
            <m:t>   (1)</m:t>
          </m:r>
        </m:oMath>
      </m:oMathPara>
    </w:p>
    <w:p>
      <w:pPr>
        <w:pStyle w:val="FirstParagraph"/>
      </w:pPr>
      <w:r>
        <w:t xml:space="preserve">Logarithmic opinion pooling aggregates dependent experts sharing background information without linear double counting.</w:t>
      </w:r>
    </w:p>
    <w:p>
      <w:pPr>
        <w:pStyle w:val="TableCaption"/>
      </w:pPr>
      <w:r>
        <w:t xml:space="preserve">Table V. Priority combination rules on the frozen test split.</w:t>
      </w:r>
    </w:p>
    <w:tbl>
      <w:tblPr>
        <w:tblCellMar>
          <w:top w:w="15" w:type="dxa"/>
          <w:bottom w:w="15" w:type="dxa"/>
          <w:left w:w="20" w:type="dxa"/>
          <w:right w:w="20" w:type="dxa"/>
        </w:tblCellMar>
        <w:tblStyle w:val="Table"/>
        <w:tblW w:w="4960" w:type="dxa"/>
        <w:tblLook w:firstRow="1" w:lastRow="0" w:firstColumn="0" w:lastColumn="0" w:noHBand="0" w:noVBand="0" w:val="0020"/>
        <w:tblCaption w:val="Table V. Priority combination rules on the frozen test split."/>
        <w:tblLayout w:type="fixed"/>
      </w:tblPr>
      <w:tblGrid>
        <w:gridCol w:w="3360"/>
        <w:gridCol w:w="800"/>
        <w:gridCol w:w="800"/>
      </w:tblGrid>
      <w:tr>
        <w:trPr>
          <w:tblHeader w:val="on"/>
        </w:trPr>
        <w:tc>
          <w:tcPr>
            <w:tcW w:type="dxa" w:w="3360"/>
            <w:tcMar>
              <w:top w:w="0" w:type="dxa"/>
              <w:bottom w:w="0" w:type="dxa"/>
              <w:left w:w="0" w:type="dxa"/>
              <w:right w:w="0" w:type="dxa"/>
            </w:tcMar>
          </w:tcPr>
          <w:p>
            <w:pPr>
              <w:pStyle w:val="Compact"/>
              <w:jc w:val="left"/>
              <w:keepNext/>
            </w:pPr>
            <w:r>
              <w:t xml:space="preserve">Combination Rule</w:t>
            </w:r>
          </w:p>
        </w:tc>
        <w:tc>
          <w:tcPr>
            <w:tcW w:type="dxa" w:w="800"/>
            <w:tcMar>
              <w:top w:w="0" w:type="dxa"/>
              <w:bottom w:w="0" w:type="dxa"/>
              <w:left w:w="0" w:type="dxa"/>
              <w:right w:w="0" w:type="dxa"/>
            </w:tcMar>
          </w:tcPr>
          <w:p>
            <w:pPr>
              <w:pStyle w:val="Compact"/>
              <w:jc w:val="right"/>
              <w:keepNext/>
            </w:pPr>
            <w:r>
              <w:t xml:space="preserve">Log Loss</w:t>
            </w:r>
          </w:p>
        </w:tc>
        <w:tc>
          <w:tcPr>
            <w:tcW w:type="dxa" w:w="800"/>
            <w:tcMar>
              <w:top w:w="0" w:type="dxa"/>
              <w:bottom w:w="0" w:type="dxa"/>
              <w:left w:w="0" w:type="dxa"/>
              <w:right w:w="0" w:type="dxa"/>
            </w:tcMar>
          </w:tcPr>
          <w:p>
            <w:pPr>
              <w:pStyle w:val="Compact"/>
              <w:jc w:val="right"/>
              <w:keepNext/>
            </w:pPr>
            <w:r>
              <w:t xml:space="preserve">macro-F</w:t>
            </w:r>
            <w:r>
              <w:rPr>
                <w:vertAlign w:val="subscript"/>
              </w:rPr>
              <w:t xml:space="preserve">1</w:t>
            </w:r>
          </w:p>
        </w:tc>
      </w:tr>
      <w:tr>
        <w:tc>
          <w:tcPr>
            <w:tcW w:type="dxa" w:w="3360"/>
            <w:tcMar>
              <w:top w:w="0" w:type="dxa"/>
              <w:bottom w:w="0" w:type="dxa"/>
              <w:left w:w="0" w:type="dxa"/>
              <w:right w:w="0" w:type="dxa"/>
            </w:tcMar>
          </w:tcPr>
          <w:p>
            <w:pPr>
              <w:pStyle w:val="Compact"/>
              <w:jc w:val="left"/>
            </w:pPr>
            <w:r>
              <w:t xml:space="preserve">Marginal (priority head alone)</w:t>
            </w:r>
          </w:p>
        </w:tc>
        <w:tc>
          <w:tcPr>
            <w:tcW w:type="dxa" w:w="800"/>
            <w:tcMar>
              <w:top w:w="0" w:type="dxa"/>
              <w:bottom w:w="0" w:type="dxa"/>
              <w:left w:w="0" w:type="dxa"/>
              <w:right w:w="0" w:type="dxa"/>
            </w:tcMar>
          </w:tcPr>
          <w:p>
            <w:pPr>
              <w:pStyle w:val="Compact"/>
              <w:jc w:val="right"/>
            </w:pPr>
            <w:r>
              <w:t xml:space="preserve">0.3697</w:t>
            </w:r>
          </w:p>
        </w:tc>
        <w:tc>
          <w:tcPr>
            <w:tcW w:type="dxa" w:w="800"/>
            <w:tcMar>
              <w:top w:w="0" w:type="dxa"/>
              <w:bottom w:w="0" w:type="dxa"/>
              <w:left w:w="0" w:type="dxa"/>
              <w:right w:w="0" w:type="dxa"/>
            </w:tcMar>
          </w:tcPr>
          <w:p>
            <w:pPr>
              <w:pStyle w:val="Compact"/>
              <w:jc w:val="right"/>
            </w:pPr>
            <w:r>
              <w:t xml:space="preserve">0.8901</w:t>
            </w:r>
          </w:p>
        </w:tc>
      </w:tr>
      <w:tr>
        <w:tc>
          <w:tcPr>
            <w:tcW w:type="dxa" w:w="3360"/>
            <w:tcMar>
              <w:top w:w="0" w:type="dxa"/>
              <w:bottom w:w="0" w:type="dxa"/>
              <w:left w:w="0" w:type="dxa"/>
              <w:right w:w="0" w:type="dxa"/>
            </w:tcMar>
          </w:tcPr>
          <w:p>
            <w:pPr>
              <w:pStyle w:val="Compact"/>
              <w:jc w:val="left"/>
            </w:pPr>
            <w:r>
              <w:t xml:space="preserve">Stacked generalization [25]</w:t>
            </w:r>
          </w:p>
        </w:tc>
        <w:tc>
          <w:tcPr>
            <w:tcW w:type="dxa" w:w="800"/>
            <w:tcMar>
              <w:top w:w="0" w:type="dxa"/>
              <w:bottom w:w="0" w:type="dxa"/>
              <w:left w:w="0" w:type="dxa"/>
              <w:right w:w="0" w:type="dxa"/>
            </w:tcMar>
          </w:tcPr>
          <w:p>
            <w:pPr>
              <w:pStyle w:val="Compact"/>
              <w:jc w:val="right"/>
            </w:pPr>
            <w:r>
              <w:t xml:space="preserve">0.3333</w:t>
            </w:r>
          </w:p>
        </w:tc>
        <w:tc>
          <w:tcPr>
            <w:tcW w:type="dxa" w:w="800"/>
            <w:tcMar>
              <w:top w:w="0" w:type="dxa"/>
              <w:bottom w:w="0" w:type="dxa"/>
              <w:left w:w="0" w:type="dxa"/>
              <w:right w:w="0" w:type="dxa"/>
            </w:tcMar>
          </w:tcPr>
          <w:p>
            <w:pPr>
              <w:pStyle w:val="Compact"/>
              <w:jc w:val="right"/>
            </w:pPr>
            <w:r>
              <w:t xml:space="preserve">0.8914</w:t>
            </w:r>
          </w:p>
        </w:tc>
      </w:tr>
      <w:tr>
        <w:tc>
          <w:tcPr>
            <w:tcW w:type="dxa" w:w="3360"/>
            <w:tcMar>
              <w:top w:w="0" w:type="dxa"/>
              <w:bottom w:w="0" w:type="dxa"/>
              <w:left w:w="0" w:type="dxa"/>
              <w:right w:w="0" w:type="dxa"/>
            </w:tcMar>
          </w:tcPr>
          <w:p>
            <w:pPr>
              <w:pStyle w:val="Compact"/>
              <w:jc w:val="left"/>
            </w:pPr>
            <w:r>
              <w:t xml:space="preserve">Intent chain [26]</w:t>
            </w:r>
          </w:p>
        </w:tc>
        <w:tc>
          <w:tcPr>
            <w:tcW w:type="dxa" w:w="800"/>
            <w:tcMar>
              <w:top w:w="0" w:type="dxa"/>
              <w:bottom w:w="0" w:type="dxa"/>
              <w:left w:w="0" w:type="dxa"/>
              <w:right w:w="0" w:type="dxa"/>
            </w:tcMar>
          </w:tcPr>
          <w:p>
            <w:pPr>
              <w:pStyle w:val="Compact"/>
              <w:jc w:val="right"/>
            </w:pPr>
            <w:r>
              <w:t xml:space="preserve">0.3160</w:t>
            </w:r>
          </w:p>
        </w:tc>
        <w:tc>
          <w:tcPr>
            <w:tcW w:type="dxa" w:w="800"/>
            <w:tcMar>
              <w:top w:w="0" w:type="dxa"/>
              <w:bottom w:w="0" w:type="dxa"/>
              <w:left w:w="0" w:type="dxa"/>
              <w:right w:w="0" w:type="dxa"/>
            </w:tcMar>
          </w:tcPr>
          <w:p>
            <w:pPr>
              <w:pStyle w:val="Compact"/>
              <w:jc w:val="right"/>
            </w:pPr>
            <w:r>
              <w:t xml:space="preserve">0.8742</w:t>
            </w:r>
          </w:p>
        </w:tc>
      </w:tr>
      <w:tr>
        <w:tc>
          <w:tcPr>
            <w:tcW w:type="dxa" w:w="3360"/>
            <w:tcMar>
              <w:top w:w="0" w:type="dxa"/>
              <w:bottom w:w="0" w:type="dxa"/>
              <w:left w:w="0" w:type="dxa"/>
              <w:right w:w="0" w:type="dxa"/>
            </w:tcMar>
          </w:tcPr>
          <w:p>
            <w:pPr>
              <w:pStyle w:val="Compact"/>
              <w:jc w:val="left"/>
            </w:pPr>
            <w:r>
              <w:t xml:space="preserve">Full chain (intent + sentiment)</w:t>
            </w:r>
          </w:p>
        </w:tc>
        <w:tc>
          <w:tcPr>
            <w:tcW w:type="dxa" w:w="800"/>
            <w:tcMar>
              <w:top w:w="0" w:type="dxa"/>
              <w:bottom w:w="0" w:type="dxa"/>
              <w:left w:w="0" w:type="dxa"/>
              <w:right w:w="0" w:type="dxa"/>
            </w:tcMar>
          </w:tcPr>
          <w:p>
            <w:pPr>
              <w:pStyle w:val="Compact"/>
              <w:jc w:val="right"/>
            </w:pPr>
            <w:r>
              <w:t xml:space="preserve">0.3111</w:t>
            </w:r>
          </w:p>
        </w:tc>
        <w:tc>
          <w:tcPr>
            <w:tcW w:type="dxa" w:w="800"/>
            <w:tcMar>
              <w:top w:w="0" w:type="dxa"/>
              <w:bottom w:w="0" w:type="dxa"/>
              <w:left w:w="0" w:type="dxa"/>
              <w:right w:w="0" w:type="dxa"/>
            </w:tcMar>
          </w:tcPr>
          <w:p>
            <w:pPr>
              <w:pStyle w:val="Compact"/>
              <w:jc w:val="right"/>
            </w:pPr>
            <w:r>
              <w:t xml:space="preserve">0.8749</w:t>
            </w:r>
          </w:p>
        </w:tc>
      </w:tr>
      <w:tr>
        <w:tc>
          <w:tcPr>
            <w:tcW w:type="dxa" w:w="3360"/>
            <w:tcMar>
              <w:top w:w="0" w:type="dxa"/>
              <w:bottom w:w="0" w:type="dxa"/>
              <w:left w:w="0" w:type="dxa"/>
              <w:right w:w="0" w:type="dxa"/>
            </w:tcMar>
          </w:tcPr>
          <w:p>
            <w:pPr>
              <w:pStyle w:val="Compact"/>
              <w:jc w:val="left"/>
            </w:pPr>
            <w:r>
              <w:rPr>
                <w:b/>
                <w:bCs/>
              </w:rPr>
              <w:t xml:space="preserve">Log pool (head</w:t>
            </w:r>
            <w:r>
              <w:rPr>
                <w:b/>
                <w:bCs/>
              </w:rPr>
              <w:t xml:space="preserve"> </w:t>
            </w:r>
            <m:oMath>
              <m:r>
                <m:rPr>
                  <m:sty m:val="p"/>
                </m:rPr>
                <m:t>×</m:t>
              </m:r>
            </m:oMath>
            <w:r>
              <w:rPr>
                <w:b/>
                <w:bCs/>
              </w:rPr>
              <w:t xml:space="preserve"> </w:t>
            </w:r>
            <w:r>
              <w:rPr>
                <w:b/>
                <w:bCs/>
              </w:rPr>
              <w:t xml:space="preserve">intent chain)</w:t>
            </w:r>
          </w:p>
        </w:tc>
        <w:tc>
          <w:tcPr>
            <w:tcW w:type="dxa" w:w="800"/>
            <w:tcMar>
              <w:top w:w="0" w:type="dxa"/>
              <w:bottom w:w="0" w:type="dxa"/>
              <w:left w:w="0" w:type="dxa"/>
              <w:right w:w="0" w:type="dxa"/>
            </w:tcMar>
          </w:tcPr>
          <w:p>
            <w:pPr>
              <w:pStyle w:val="Compact"/>
              <w:jc w:val="right"/>
            </w:pPr>
            <w:r>
              <w:rPr>
                <w:b/>
                <w:bCs/>
              </w:rPr>
              <w:t xml:space="preserve">0.2683</w:t>
            </w:r>
          </w:p>
        </w:tc>
        <w:tc>
          <w:tcPr>
            <w:tcW w:type="dxa" w:w="800"/>
            <w:tcMar>
              <w:top w:w="0" w:type="dxa"/>
              <w:bottom w:w="0" w:type="dxa"/>
              <w:left w:w="0" w:type="dxa"/>
              <w:right w:w="0" w:type="dxa"/>
            </w:tcMar>
          </w:tcPr>
          <w:p>
            <w:pPr>
              <w:pStyle w:val="Compact"/>
              <w:jc w:val="right"/>
            </w:pPr>
            <w:r>
              <w:rPr>
                <w:b/>
                <w:bCs/>
              </w:rPr>
              <w:t xml:space="preserve">0.8983</w:t>
            </w:r>
          </w:p>
        </w:tc>
      </w:tr>
    </w:tbl>
    <w:p>
      <w:pPr>
        <w:pStyle w:val="BodyText"/>
      </w:pPr>
      <w:r>
        <w:t xml:space="preserve">Selection is governed by multiclass log loss (cross entropy) to ensure calibrated continuous posteriors for downstream queue scheduling (Table V). Equal weight log pooling attains the lowest log loss (0.2683) and highest macro-F</w:t>
      </w:r>
      <w:r>
        <w:rPr>
          <w:vertAlign w:val="subscript"/>
        </w:rPr>
        <w:t xml:space="preserve">1</w:t>
      </w:r>
      <w:r>
        <w:t xml:space="preserve"> </w:t>
      </w:r>
      <w:r>
        <w:t xml:space="preserve">(0.8983), reducing log loss by 27.4% over the standalone priority head (0.3697) and effectively resolving label collinearity.</w:t>
      </w:r>
    </w:p>
    <w:bookmarkEnd w:id="30"/>
    <w:bookmarkStart w:id="31" w:name="X47ed5ad4646017b9f8f309b5caad4bc51789778"/>
    <w:p>
      <w:pPr>
        <w:pStyle w:val="Heading2"/>
      </w:pPr>
      <w:r>
        <w:t xml:space="preserve">C. The Calibration Trap in Operational Ordering</w:t>
      </w:r>
    </w:p>
    <w:p>
      <w:pPr>
        <w:pStyle w:val="FirstParagraph"/>
      </w:pPr>
      <w:r>
        <w:t xml:space="preserve">On development data, fine-tuned LaBSE exhibits an Expected Calibration Error (ECE) of 0.0658. Post hoc temperature scaling [27] reduces ECE to 0.0192. However, examining temperature scaled posteriors for operational ranking reveals a critical trade off: temperature scaling pulls logits toward uniform entropy, compressing the dynamic range that differentiates urgent incidents from routine inquiries. While post hoc calibration optimizes population level probability reliability, it diminishes score separation across distinct priority tiers. Because dispatch ordering relies on ranking separation rather than population level marginal calibration, we emit uncalibrated pooled posteriors.</w:t>
      </w:r>
    </w:p>
    <w:bookmarkEnd w:id="31"/>
    <w:bookmarkEnd w:id="32"/>
    <w:bookmarkStart w:id="35" w:name="vi.-dynamic-urgency-scoring-and-dispatch"/>
    <w:p>
      <w:pPr>
        <w:pStyle w:val="Heading1"/>
      </w:pPr>
      <w:r>
        <w:t xml:space="preserve">VI. Dynamic Urgency Scoring and Dispatch</w:t>
      </w:r>
    </w:p>
    <w:bookmarkStart w:id="33" w:name="X2433847fe4e4c5cc3674b4df2231ceb674b8bb2"/>
    <w:p>
      <w:pPr>
        <w:pStyle w:val="Heading2"/>
      </w:pPr>
      <w:r>
        <w:t xml:space="preserve">A. Formulation of the Ticket Urgency Score</w:t>
      </w:r>
    </w:p>
    <w:p>
      <w:pPr>
        <w:pStyle w:val="FirstParagraph"/>
      </w:pPr>
      <w:r>
        <w:t xml:space="preserve">The dynamic queue ordering mechanism translates continuous posteriors and elapsed waiting time into an operational priority scalar. For waiting ticket</w:t>
      </w:r>
      <w:r>
        <w:t xml:space="preserve"> </w:t>
      </w:r>
      <m:oMath>
        <m:r>
          <m:t>t</m:t>
        </m:r>
      </m:oMath>
      <w:r>
        <w:t xml:space="preserve"> </w:t>
      </w:r>
      <w:r>
        <w:t xml:space="preserve">evaluated at dispatch time</w:t>
      </w:r>
      <w:r>
        <w:t xml:space="preserve"> </w:t>
      </w:r>
      <m:oMath>
        <m:r>
          <m:t>τ</m:t>
        </m:r>
      </m:oMath>
      <w:r>
        <w:t xml:space="preserve">, the Ticket Urgency Score</w:t>
      </w:r>
      <w:r>
        <w:t xml:space="preserve"> </w:t>
      </w:r>
      <m:oMath>
        <m:r>
          <m:t>U</m:t>
        </m:r>
        <m:r>
          <m:rPr>
            <m:sty m:val="p"/>
          </m:rPr>
          <m:t>(</m:t>
        </m:r>
        <m:r>
          <m:t>t</m:t>
        </m:r>
        <m:r>
          <m:rPr>
            <m:sty m:val="p"/>
          </m:rPr>
          <m:t>,</m:t>
        </m:r>
        <m:r>
          <m:t>τ</m:t>
        </m:r>
        <m:r>
          <m:rPr>
            <m:sty m:val="p"/>
          </m:rPr>
          <m:t>)</m:t>
        </m:r>
      </m:oMath>
      <w:r>
        <w:t xml:space="preserve"> </w:t>
      </w:r>
      <w:r>
        <w:t xml:space="preserve">couples intrinsic severity</w:t>
      </w:r>
      <w:r>
        <w:t xml:space="preserve"> </w:t>
      </w:r>
      <m:oMath>
        <m:r>
          <m:t>S</m:t>
        </m:r>
        <m:r>
          <m:rPr>
            <m:sty m:val="p"/>
          </m:rPr>
          <m:t>(</m:t>
        </m:r>
        <m:r>
          <m:t>t</m:t>
        </m:r>
        <m:r>
          <m:rPr>
            <m:sty m:val="p"/>
          </m:rPr>
          <m:t>)</m:t>
        </m:r>
      </m:oMath>
      <w:r>
        <w:t xml:space="preserve"> </w:t>
      </w:r>
      <w:r>
        <w:t xml:space="preserve">with multiplicative aging:</w:t>
      </w:r>
    </w:p>
    <w:p>
      <w:pPr>
        <w:spacing w:before="60" w:after="60" w:line="240" w:lineRule="auto"/>
        <w:ind w:firstLine="0"/>
        <w:jc w:val="center"/>
      </w:pPr>
      <m:oMathPara>
        <m:oMathParaPr>
          <m:jc m:val="center"/>
        </m:oMathParaPr>
        <m:oMath>
          <m:r>
            <m:t>U</m:t>
          </m:r>
          <m:r>
            <m:rPr>
              <m:sty m:val="p"/>
            </m:rPr>
            <m:t>(</m:t>
          </m:r>
          <m:r>
            <m:t>t</m:t>
          </m:r>
          <m:r>
            <m:rPr>
              <m:sty m:val="p"/>
            </m:rPr>
            <m:t>,</m:t>
          </m:r>
          <m:r>
            <m:t>τ</m:t>
          </m:r>
          <m:r>
            <m:rPr>
              <m:sty m:val="p"/>
            </m:rPr>
            <m:t>)</m:t>
          </m:r>
          <m:r>
            <m:rPr>
              <m:sty m:val="p"/>
            </m:rPr>
            <m:t>=</m:t>
          </m:r>
          <m:r>
            <m:t>S</m:t>
          </m:r>
          <m:r>
            <m:rPr>
              <m:sty m:val="p"/>
            </m:rPr>
            <m:t>(</m:t>
          </m:r>
          <m:r>
            <m:t>t</m:t>
          </m:r>
          <m:r>
            <m:rPr>
              <m:sty m:val="p"/>
            </m:rPr>
            <m:t>)</m:t>
          </m:r>
          <m:r>
            <m:t> </m:t>
          </m:r>
          <m:d>
            <m:dPr>
              <m:begChr m:val="("/>
              <m:sepChr m:val=""/>
              <m:endChr m:val=")"/>
              <m:grow/>
            </m:dPr>
            <m:e>
              <m:r>
                <m:t>1</m:t>
              </m:r>
              <m:r>
                <m:rPr>
                  <m:sty m:val="p"/>
                </m:rPr>
                <m:t>+</m:t>
              </m:r>
              <m:r>
                <m:t>α</m:t>
              </m:r>
              <m:r>
                <m:t> </m:t>
              </m:r>
              <m:r>
                <m:t>a</m:t>
              </m:r>
              <m:r>
                <m:rPr>
                  <m:sty m:val="p"/>
                </m:rPr>
                <m:t>(</m:t>
              </m:r>
              <m:r>
                <m:t>t</m:t>
              </m:r>
              <m:r>
                <m:rPr>
                  <m:sty m:val="p"/>
                </m:rPr>
                <m:t>,</m:t>
              </m:r>
              <m:r>
                <m:t>τ</m:t>
              </m:r>
              <m:r>
                <m:rPr>
                  <m:sty m:val="p"/>
                </m:rPr>
                <m:t>)</m:t>
              </m:r>
            </m:e>
          </m:d>
          <m:r>
            <m:rPr>
              <m:sty m:val="p"/>
            </m:rPr>
            <m:t>,</m:t>
          </m:r>
          <m:r>
            <m:t> </m:t>
          </m:r>
          <m:r>
            <m:t>a</m:t>
          </m:r>
          <m:r>
            <m:rPr>
              <m:sty m:val="p"/>
            </m:rPr>
            <m:t>(</m:t>
          </m:r>
          <m:r>
            <m:t>t</m:t>
          </m:r>
          <m:r>
            <m:rPr>
              <m:sty m:val="p"/>
            </m:rPr>
            <m:t>,</m:t>
          </m:r>
          <m:r>
            <m:t>τ</m:t>
          </m:r>
          <m:r>
            <m:rPr>
              <m:sty m:val="p"/>
            </m:rPr>
            <m:t>)</m:t>
          </m:r>
          <m:r>
            <m:rPr>
              <m:sty m:val="p"/>
            </m:rPr>
            <m:t>=</m:t>
          </m:r>
          <m:f>
            <m:fPr>
              <m:type m:val="bar"/>
            </m:fPr>
            <m:num>
              <m:r>
                <m:t>τ</m:t>
              </m:r>
              <m:r>
                <m:rPr>
                  <m:sty m:val="p"/>
                </m:rPr>
                <m:t>−</m:t>
              </m:r>
              <m:r>
                <m:rPr>
                  <m:sty m:val="p"/>
                </m:rPr>
                <m:t>a</m:t>
              </m:r>
              <m:r>
                <m:rPr>
                  <m:sty m:val="p"/>
                </m:rPr>
                <m:t>r</m:t>
              </m:r>
              <m:r>
                <m:rPr>
                  <m:sty m:val="p"/>
                </m:rPr>
                <m:t>r</m:t>
              </m:r>
              <m:r>
                <m:rPr>
                  <m:sty m:val="p"/>
                </m:rPr>
                <m:t>i</m:t>
              </m:r>
              <m:r>
                <m:rPr>
                  <m:sty m:val="p"/>
                </m:rPr>
                <m:t>v</m:t>
              </m:r>
              <m:r>
                <m:rPr>
                  <m:sty m:val="p"/>
                </m:rPr>
                <m:t>a</m:t>
              </m:r>
              <m:r>
                <m:rPr>
                  <m:sty m:val="p"/>
                </m:rPr>
                <m:t>l</m:t>
              </m:r>
              <m:r>
                <m:rPr>
                  <m:sty m:val="p"/>
                </m:rPr>
                <m:t>(</m:t>
              </m:r>
              <m:r>
                <m:t>t</m:t>
              </m:r>
              <m:r>
                <m:rPr>
                  <m:sty m:val="p"/>
                </m:rPr>
                <m:t>)</m:t>
              </m:r>
            </m:num>
            <m:den>
              <m:sSub>
                <m:e>
                  <m:r>
                    <m:t>D</m:t>
                  </m:r>
                </m:e>
                <m:sub>
                  <m:r>
                    <m:t>k</m:t>
                  </m:r>
                </m:sub>
              </m:sSub>
            </m:den>
          </m:f>
          <m:r>
            <m:rPr>
              <m:sty m:val="p"/>
            </m:rPr>
            <m:t>   (2)</m:t>
          </m:r>
        </m:oMath>
      </m:oMathPara>
    </w:p>
    <w:p>
      <w:pPr>
        <w:spacing w:before="60" w:after="60" w:line="240" w:lineRule="auto"/>
        <w:ind w:firstLine="0"/>
        <w:jc w:val="center"/>
      </w:pPr>
      <m:oMathPara>
        <m:oMathParaPr>
          <m:jc m:val="center"/>
        </m:oMathParaPr>
        <m:oMath>
          <m:r>
            <m:t>S</m:t>
          </m:r>
          <m:r>
            <m:rPr>
              <m:sty m:val="p"/>
            </m:rPr>
            <m:t>(</m:t>
          </m:r>
          <m:r>
            <m:t>t</m:t>
          </m:r>
          <m:r>
            <m:rPr>
              <m:sty m:val="p"/>
            </m:rPr>
            <m:t>)</m:t>
          </m:r>
          <m:r>
            <m:rPr>
              <m:sty m:val="p"/>
            </m:rPr>
            <m:t>=</m:t>
          </m:r>
          <m:sSub>
            <m:e>
              <m:r>
                <m:t>w</m:t>
              </m:r>
            </m:e>
            <m:sub>
              <m:r>
                <m:t>P</m:t>
              </m:r>
            </m:sub>
          </m:sSub>
          <m:r>
            <m:t> </m:t>
          </m:r>
          <m:acc>
            <m:accPr>
              <m:chr m:val="̂"/>
            </m:accPr>
            <m:e>
              <m:r>
                <m:rPr>
                  <m:scr m:val="double-struck"/>
                  <m:sty m:val="p"/>
                </m:rPr>
                <m:t>E</m:t>
              </m:r>
            </m:e>
          </m:acc>
          <m:r>
            <m:rPr>
              <m:sty m:val="p"/>
            </m:rPr>
            <m:t>[</m:t>
          </m:r>
          <m:r>
            <m:rPr>
              <m:sty m:val="p"/>
            </m:rPr>
            <m:t>s</m:t>
          </m:r>
          <m:r>
            <m:rPr>
              <m:sty m:val="p"/>
            </m:rPr>
            <m:t>e</m:t>
          </m:r>
          <m:r>
            <m:rPr>
              <m:sty m:val="p"/>
            </m:rPr>
            <m:t>v</m:t>
          </m:r>
          <m:r>
            <m:rPr>
              <m:sty m:val="p"/>
            </m:rPr>
            <m:t>∣</m:t>
          </m:r>
          <m:r>
            <m:t>t</m:t>
          </m:r>
          <m:r>
            <m:rPr>
              <m:sty m:val="p"/>
            </m:rPr>
            <m:t>]</m:t>
          </m:r>
          <m:r>
            <m:rPr>
              <m:sty m:val="p"/>
            </m:rPr>
            <m:t>+</m:t>
          </m:r>
          <m:sSub>
            <m:e>
              <m:r>
                <m:t>w</m:t>
              </m:r>
            </m:e>
            <m:sub>
              <m:r>
                <m:t>S</m:t>
              </m:r>
            </m:sub>
          </m:sSub>
          <m:r>
            <m:t> </m:t>
          </m:r>
          <m:acc>
            <m:accPr>
              <m:chr m:val="̂"/>
            </m:accPr>
            <m:e>
              <m:r>
                <m:t>P</m:t>
              </m:r>
            </m:e>
          </m:acc>
          <m:r>
            <m:rPr>
              <m:sty m:val="p"/>
            </m:rPr>
            <m:t>(</m:t>
          </m:r>
          <m:r>
            <m:rPr>
              <m:sty m:val="p"/>
            </m:rPr>
            <m:t>N</m:t>
          </m:r>
          <m:r>
            <m:rPr>
              <m:sty m:val="p"/>
            </m:rPr>
            <m:t>e</m:t>
          </m:r>
          <m:r>
            <m:rPr>
              <m:sty m:val="p"/>
            </m:rPr>
            <m:t>g</m:t>
          </m:r>
          <m:r>
            <m:rPr>
              <m:sty m:val="p"/>
            </m:rPr>
            <m:t>∣</m:t>
          </m:r>
          <m:r>
            <m:t>t</m:t>
          </m:r>
          <m:r>
            <m:rPr>
              <m:sty m:val="p"/>
            </m:rPr>
            <m:t>)</m:t>
          </m:r>
          <m:r>
            <m:rPr>
              <m:sty m:val="p"/>
            </m:rPr>
            <m:t>+</m:t>
          </m:r>
          <m:sSub>
            <m:e>
              <m:r>
                <m:t>w</m:t>
              </m:r>
            </m:e>
            <m:sub>
              <m:r>
                <m:t>I</m:t>
              </m:r>
            </m:sub>
          </m:sSub>
          <m:r>
            <m:t> </m:t>
          </m:r>
          <m:r>
            <m:t>κ</m:t>
          </m:r>
          <m:r>
            <m:rPr>
              <m:sty m:val="p"/>
            </m:rPr>
            <m:t>(</m:t>
          </m:r>
          <m:acc>
            <m:accPr>
              <m:chr m:val="̂"/>
            </m:accPr>
            <m:e>
              <m:r>
                <m:t>ı</m:t>
              </m:r>
            </m:e>
          </m:acc>
          <m:r>
            <m:rPr>
              <m:sty m:val="p"/>
            </m:rPr>
            <m:t>(</m:t>
          </m:r>
          <m:r>
            <m:t>t</m:t>
          </m:r>
          <m:r>
            <m:rPr>
              <m:sty m:val="p"/>
            </m:rPr>
            <m:t>)</m:t>
          </m:r>
          <m:r>
            <m:rPr>
              <m:sty m:val="p"/>
            </m:rPr>
            <m:t>)</m:t>
          </m:r>
          <m:r>
            <m:rPr>
              <m:sty m:val="p"/>
            </m:rPr>
            <m:t>   (3)</m:t>
          </m:r>
        </m:oMath>
      </m:oMathPara>
    </w:p>
    <w:p>
      <w:pPr>
        <w:pStyle w:val="FirstParagraph"/>
      </w:pPr>
      <w:r>
        <w:t xml:space="preserve">subject to simplex weights</w:t>
      </w:r>
      <w:r>
        <w:t xml:space="preserve"> </w:t>
      </w:r>
      <m:oMath>
        <m:sSub>
          <m:e>
            <m:r>
              <m:t>w</m:t>
            </m:r>
          </m:e>
          <m:sub>
            <m:r>
              <m:t>P</m:t>
            </m:r>
          </m:sub>
        </m:sSub>
        <m:r>
          <m:rPr>
            <m:sty m:val="p"/>
          </m:rPr>
          <m:t>,</m:t>
        </m:r>
        <m:sSub>
          <m:e>
            <m:r>
              <m:t>w</m:t>
            </m:r>
          </m:e>
          <m:sub>
            <m:r>
              <m:t>S</m:t>
            </m:r>
          </m:sub>
        </m:sSub>
        <m:r>
          <m:rPr>
            <m:sty m:val="p"/>
          </m:rPr>
          <m:t>,</m:t>
        </m:r>
        <m:sSub>
          <m:e>
            <m:r>
              <m:t>w</m:t>
            </m:r>
          </m:e>
          <m:sub>
            <m:r>
              <m:t>I</m:t>
            </m:r>
          </m:sub>
        </m:sSub>
        <m:r>
          <m:rPr>
            <m:sty m:val="p"/>
          </m:rPr>
          <m:t>≥</m:t>
        </m:r>
        <m:r>
          <m:t>0</m:t>
        </m:r>
      </m:oMath>
      <w:r>
        <w:t xml:space="preserve">,</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aging coefficient</w:t>
      </w:r>
      <w:r>
        <w:t xml:space="preserve"> </w:t>
      </w:r>
      <m:oMath>
        <m:r>
          <m:t>α</m:t>
        </m:r>
        <m:r>
          <m:rPr>
            <m:sty m:val="p"/>
          </m:rPr>
          <m:t>≥</m:t>
        </m:r>
        <m:r>
          <m:t>0</m:t>
        </m:r>
      </m:oMath>
      <w:r>
        <w:t xml:space="preserve">, and class response deadline</w:t>
      </w:r>
      <w:r>
        <w:t xml:space="preserve"> </w:t>
      </w:r>
      <m:oMath>
        <m:sSub>
          <m:e>
            <m:r>
              <m:t>D</m:t>
            </m:r>
          </m:e>
          <m:sub>
            <m:r>
              <m:t>k</m:t>
            </m:r>
          </m:sub>
        </m:sSub>
      </m:oMath>
      <w:r>
        <w:t xml:space="preserve">.</w:t>
      </w:r>
    </w:p>
    <w:p>
      <w:pPr>
        <w:pStyle w:val="BodyText"/>
      </w:pPr>
      <w:r>
        <w:t xml:space="preserve">Equation (2) integrates three principles:</w:t>
      </w:r>
      <w:r>
        <w:t xml:space="preserve"> </w:t>
      </w:r>
      <w:r>
        <w:t xml:space="preserve">(i) </w:t>
      </w:r>
      <w:r>
        <w:rPr>
          <w:b/>
          <w:bCs/>
        </w:rPr>
        <w:t xml:space="preserve">Continuous Expected Severity</w:t>
      </w:r>
      <w:r>
        <w:t xml:space="preserve">: Rather than discrete argmax assignment, expected severity</w:t>
      </w:r>
      <w:r>
        <w:t xml:space="preserve"> </w:t>
      </w:r>
      <m:oMath>
        <m:acc>
          <m:accPr>
            <m:chr m:val="̂"/>
          </m:accPr>
          <m:e>
            <m:r>
              <m:rPr>
                <m:scr m:val="double-struck"/>
                <m:sty m:val="p"/>
              </m:rPr>
              <m:t>E</m:t>
            </m:r>
          </m:e>
        </m:acc>
        <m:r>
          <m:rPr>
            <m:sty m:val="p"/>
          </m:rPr>
          <m:t>[</m:t>
        </m:r>
        <m:r>
          <m:rPr>
            <m:sty m:val="p"/>
          </m:rPr>
          <m:t>s</m:t>
        </m:r>
        <m:r>
          <m:rPr>
            <m:sty m:val="p"/>
          </m:rPr>
          <m:t>e</m:t>
        </m:r>
        <m:r>
          <m:rPr>
            <m:sty m:val="p"/>
          </m:rPr>
          <m:t>v</m:t>
        </m:r>
        <m:r>
          <m:rPr>
            <m:sty m:val="p"/>
          </m:rPr>
          <m:t>∣</m:t>
        </m:r>
        <m:r>
          <m:t>t</m:t>
        </m:r>
        <m:r>
          <m:rPr>
            <m:sty m:val="p"/>
          </m:rPr>
          <m:t>]</m:t>
        </m:r>
        <m:r>
          <m:rPr>
            <m:sty m:val="p"/>
          </m:rPr>
          <m:t>=</m:t>
        </m:r>
        <m:nary>
          <m:naryPr>
            <m:chr m:val="∑"/>
            <m:limLoc m:val="undOvr"/>
            <m:subHide m:val="off"/>
            <m:supHide m:val="on"/>
          </m:naryPr>
          <m:sub>
            <m:r>
              <m:t>k</m:t>
            </m:r>
          </m:sub>
          <m:sup>
            <m:r>
              <m:t>​</m:t>
            </m:r>
          </m:sup>
          <m:e>
            <m:sSub>
              <m:e>
                <m:acc>
                  <m:accPr>
                    <m:chr m:val="̂"/>
                  </m:accPr>
                  <m:e>
                    <m:r>
                      <m:t>p</m:t>
                    </m:r>
                  </m:e>
                </m:acc>
              </m:e>
              <m:sub>
                <m:r>
                  <m:t>k</m:t>
                </m:r>
              </m:sub>
            </m:sSub>
          </m:e>
        </m:nary>
        <m:r>
          <m:rPr>
            <m:sty m:val="p"/>
          </m:rPr>
          <m:t>(</m:t>
        </m:r>
        <m:r>
          <m:t>t</m:t>
        </m:r>
        <m:r>
          <m:rPr>
            <m:sty m:val="p"/>
          </m:rPr>
          <m:t>)</m:t>
        </m:r>
        <m:r>
          <m:t> </m:t>
        </m:r>
        <m:sSub>
          <m:e>
            <m:r>
              <m:rPr>
                <m:sty m:val="p"/>
              </m:rPr>
              <m:t>s</m:t>
            </m:r>
            <m:r>
              <m:rPr>
                <m:sty m:val="p"/>
              </m:rPr>
              <m:t>e</m:t>
            </m:r>
            <m:r>
              <m:rPr>
                <m:sty m:val="p"/>
              </m:rPr>
              <m:t>v</m:t>
            </m:r>
          </m:e>
          <m:sub>
            <m:r>
              <m:t>k</m:t>
            </m:r>
          </m:sub>
        </m:sSub>
      </m:oMath>
      <w:r>
        <w:t xml:space="preserve"> </w:t>
      </w:r>
      <w:r>
        <w:t xml:space="preserve">over</w:t>
      </w:r>
      <w:r>
        <w:t xml:space="preserve"> </w:t>
      </w:r>
      <m:oMath>
        <m:r>
          <m:rPr>
            <m:sty m:val="p"/>
          </m:rPr>
          <m:t>s</m:t>
        </m:r>
        <m:r>
          <m:rPr>
            <m:sty m:val="p"/>
          </m:rPr>
          <m:t>e</m:t>
        </m:r>
        <m:r>
          <m:rPr>
            <m:sty m:val="p"/>
          </m:rPr>
          <m:t>v</m:t>
        </m:r>
        <m:r>
          <m:rPr>
            <m:sty m:val="p"/>
          </m:rPr>
          <m:t>=</m:t>
        </m:r>
        <m:r>
          <m:rPr>
            <m:sty m:val="p"/>
          </m:rPr>
          <m:t>(</m:t>
        </m:r>
        <m:r>
          <m:t>0</m:t>
        </m:r>
        <m:r>
          <m:rPr>
            <m:sty m:val="p"/>
          </m:rPr>
          <m:t>,</m:t>
        </m:r>
        <m:r>
          <m:t>0.5</m:t>
        </m:r>
        <m:r>
          <m:rPr>
            <m:sty m:val="p"/>
          </m:rPr>
          <m:t>,</m:t>
        </m:r>
        <m:r>
          <m:t>1.0</m:t>
        </m:r>
        <m:r>
          <m:rPr>
            <m:sty m:val="p"/>
          </m:rPr>
          <m:t>)</m:t>
        </m:r>
      </m:oMath>
      <w:r>
        <w:t xml:space="preserve"> </w:t>
      </w:r>
      <w:r>
        <w:t xml:space="preserve">smoothly separates confident Low tickets (</w:t>
      </w:r>
      <m:oMath>
        <m:r>
          <m:t>S</m:t>
        </m:r>
        <m:r>
          <m:rPr>
            <m:sty m:val="p"/>
          </m:rPr>
          <m:t>≈</m:t>
        </m:r>
        <m:r>
          <m:t>0</m:t>
        </m:r>
      </m:oMath>
      <w:r>
        <w:t xml:space="preserve">) from borderline 0.51/0.49 ties (</w:t>
      </w:r>
      <m:oMath>
        <m:r>
          <m:t>S</m:t>
        </m:r>
        <m:r>
          <m:rPr>
            <m:sty m:val="p"/>
          </m:rPr>
          <m:t>≈</m:t>
        </m:r>
        <m:r>
          <m:t>0.25</m:t>
        </m:r>
      </m:oMath>
      <w:r>
        <w:t xml:space="preserve">), preventing premature dispatch of uncertain items.</w:t>
      </w:r>
      <w:r>
        <w:t xml:space="preserve"> </w:t>
      </w:r>
      <w:r>
        <w:t xml:space="preserve">(ii) </w:t>
      </w:r>
      <w:r>
        <w:rPr>
          <w:b/>
          <w:bCs/>
        </w:rPr>
        <w:t xml:space="preserve">Empirical Intent Criticality Prior</w:t>
      </w:r>
      <w:r>
        <w:t xml:space="preserve">: The prior</w:t>
      </w:r>
      <w:r>
        <w:t xml:space="preserve"> </w:t>
      </w:r>
      <m:oMath>
        <m:r>
          <m:t>κ</m:t>
        </m:r>
        <m:r>
          <m:rPr>
            <m:sty m:val="p"/>
          </m:rPr>
          <m:t>(</m:t>
        </m:r>
        <m:r>
          <m:t>i</m:t>
        </m:r>
        <m:r>
          <m:rPr>
            <m:sty m:val="p"/>
          </m:rPr>
          <m:t>)</m:t>
        </m:r>
        <m:r>
          <m:rPr>
            <m:sty m:val="p"/>
          </m:rPr>
          <m:t>=</m:t>
        </m:r>
        <m:acc>
          <m:accPr>
            <m:chr m:val="̂"/>
          </m:accPr>
          <m:e>
            <m:r>
              <m:t>P</m:t>
            </m:r>
          </m:e>
        </m:acc>
        <m:r>
          <m:rPr>
            <m:sty m:val="p"/>
          </m:rPr>
          <m:t>(</m:t>
        </m:r>
        <m:r>
          <m:rPr>
            <m:sty m:val="p"/>
          </m:rPr>
          <m:t>H</m:t>
        </m:r>
        <m:r>
          <m:rPr>
            <m:sty m:val="p"/>
          </m:rPr>
          <m:t>i</m:t>
        </m:r>
        <m:r>
          <m:rPr>
            <m:sty m:val="p"/>
          </m:rPr>
          <m:t>g</m:t>
        </m:r>
        <m:r>
          <m:rPr>
            <m:sty m:val="p"/>
          </m:rPr>
          <m:t>h</m:t>
        </m:r>
        <m:r>
          <m:rPr>
            <m:sty m:val="p"/>
          </m:rPr>
          <m:t>∣</m:t>
        </m:r>
        <m:r>
          <m:rPr>
            <m:sty m:val="p"/>
          </m:rPr>
          <m:t>i</m:t>
        </m:r>
        <m:r>
          <m:rPr>
            <m:sty m:val="p"/>
          </m:rPr>
          <m:t>n</m:t>
        </m:r>
        <m:r>
          <m:rPr>
            <m:sty m:val="p"/>
          </m:rPr>
          <m:t>t</m:t>
        </m:r>
        <m:r>
          <m:rPr>
            <m:sty m:val="p"/>
          </m:rPr>
          <m:t>=</m:t>
        </m:r>
        <m:r>
          <m:t>i</m:t>
        </m:r>
        <m:r>
          <m:rPr>
            <m:sty m:val="p"/>
          </m:rPr>
          <m:t>)</m:t>
        </m:r>
      </m:oMath>
      <w:r>
        <w:t xml:space="preserve"> </w:t>
      </w:r>
      <w:r>
        <w:t xml:space="preserve">measures historical escalation risk on training data. Critical intents (e.g., lost or compromised card, where</w:t>
      </w:r>
      <w:r>
        <w:t xml:space="preserve"> </w:t>
      </w:r>
      <m:oMath>
        <m:r>
          <m:t>κ</m:t>
        </m:r>
        <m:r>
          <m:rPr>
            <m:sty m:val="p"/>
          </m:rPr>
          <m:t>≈</m:t>
        </m:r>
        <m:r>
          <m:t>1.0</m:t>
        </m:r>
      </m:oMath>
      <w:r>
        <w:t xml:space="preserve">) guarantee high urgency even when customer wording appears calm.</w:t>
      </w:r>
      <w:r>
        <w:t xml:space="preserve"> </w:t>
      </w:r>
      <w:r>
        <w:t xml:space="preserve">(iii) </w:t>
      </w:r>
      <w:r>
        <w:rPr>
          <w:b/>
          <w:bCs/>
        </w:rPr>
        <w:t xml:space="preserve">Multiplicative Relative Aging</w:t>
      </w:r>
      <w:r>
        <w:t xml:space="preserve">: Normalizing wait time by class SLA</w:t>
      </w:r>
      <w:r>
        <w:t xml:space="preserve"> </w:t>
      </w:r>
      <m:oMath>
        <m:sSub>
          <m:e>
            <m:r>
              <m:t>D</m:t>
            </m:r>
          </m:e>
          <m:sub>
            <m:r>
              <m:t>k</m:t>
            </m:r>
          </m:sub>
        </m:sSub>
        <m:r>
          <m:rPr>
            <m:sty m:val="p"/>
          </m:rPr>
          <m:t>∈</m:t>
        </m:r>
        <m:r>
          <m:rPr>
            <m:sty m:val="p"/>
          </m:rPr>
          <m:t>{</m:t>
        </m:r>
        <m:r>
          <m:t>30</m:t>
        </m:r>
        <m:r>
          <m:rPr>
            <m:sty m:val="p"/>
          </m:rPr>
          <m:t>,</m:t>
        </m:r>
        <m:r>
          <m:t>120</m:t>
        </m:r>
        <m:r>
          <m:rPr>
            <m:sty m:val="p"/>
          </m:rPr>
          <m:t>,</m:t>
        </m:r>
        <m:r>
          <m:t>480</m:t>
        </m:r>
        <m:r>
          <m:rPr>
            <m:sty m:val="p"/>
          </m:rPr>
          <m:t>}</m:t>
        </m:r>
      </m:oMath>
      <w:r>
        <w:t xml:space="preserve"> </w:t>
      </w:r>
      <w:r>
        <w:t xml:space="preserve">minutes ensures aging scales with intrinsic severity. Long waiting Low tickets accelerate as</w:t>
      </w:r>
      <w:r>
        <w:t xml:space="preserve"> </w:t>
      </w:r>
      <m:oMath>
        <m:r>
          <m:t>a</m:t>
        </m:r>
        <m:r>
          <m:rPr>
            <m:sty m:val="p"/>
          </m:rPr>
          <m:t>(</m:t>
        </m:r>
        <m:r>
          <m:t>t</m:t>
        </m:r>
        <m:r>
          <m:rPr>
            <m:sty m:val="p"/>
          </m:rPr>
          <m:t>,</m:t>
        </m:r>
        <m:r>
          <m:t>τ</m:t>
        </m:r>
        <m:r>
          <m:rPr>
            <m:sty m:val="p"/>
          </m:rPr>
          <m:t>)</m:t>
        </m:r>
        <m:r>
          <m:rPr>
            <m:sty m:val="p"/>
          </m:rPr>
          <m:t>→</m:t>
        </m:r>
        <m:r>
          <m:t>1</m:t>
        </m:r>
      </m:oMath>
      <w:r>
        <w:t xml:space="preserve">, eventually overtaking fresh Medium inquiries to structurally eliminate starvation. A discrete form of this idea appears in [2], where a citizen complaint waiting past a fixed threshold is promoted one tier; Eq. (2) replaces that single step with a continuous accrual normalized by the class deadline.</w:t>
      </w:r>
    </w:p>
    <w:bookmarkEnd w:id="33"/>
    <w:bookmarkStart w:id="34" w:name="b.-parameter-fitting-and-signal-ablation"/>
    <w:p>
      <w:pPr>
        <w:pStyle w:val="Heading2"/>
      </w:pPr>
      <w:r>
        <w:t xml:space="preserve">B. Parameter Fitting and Signal Ablation</w:t>
      </w:r>
    </w:p>
    <w:p>
      <w:pPr>
        <w:pStyle w:val="FirstParagraph"/>
      </w:pPr>
      <w:r>
        <w:t xml:space="preserve">Grid search on the development set over the 3 simplex (0.05 resolution) and exponential</w:t>
      </w:r>
      <w:r>
        <w:t xml:space="preserve"> </w:t>
      </w:r>
      <m:oMath>
        <m:r>
          <m:t>α</m:t>
        </m:r>
      </m:oMath>
      <w:r>
        <w:t xml:space="preserve"> </w:t>
      </w:r>
      <w:r>
        <w:t xml:space="preserve">yields optimal weights</w:t>
      </w:r>
      <w:r>
        <w:t xml:space="preserve"> </w:t>
      </w:r>
      <m:oMath>
        <m:r>
          <m:t>w</m:t>
        </m:r>
        <m:r>
          <m:rPr>
            <m:sty m:val="p"/>
          </m:rPr>
          <m:t>=</m:t>
        </m:r>
        <m:r>
          <m:rPr>
            <m:sty m:val="p"/>
          </m:rPr>
          <m:t>(</m:t>
        </m:r>
        <m:r>
          <m:t>0.80</m:t>
        </m:r>
        <m:r>
          <m:rPr>
            <m:sty m:val="p"/>
          </m:rPr>
          <m:t>,</m:t>
        </m:r>
        <m:r>
          <m:t>0.10</m:t>
        </m:r>
        <m:r>
          <m:rPr>
            <m:sty m:val="p"/>
          </m:rPr>
          <m:t>,</m:t>
        </m:r>
        <m:r>
          <m:t>0.10</m:t>
        </m:r>
        <m:r>
          <m:rPr>
            <m:sty m:val="p"/>
          </m:rPr>
          <m:t>)</m:t>
        </m:r>
      </m:oMath>
      <w:r>
        <w:t xml:space="preserve"> </w:t>
      </w:r>
      <w:r>
        <w:t xml:space="preserve">and</w:t>
      </w:r>
      <w:r>
        <w:t xml:space="preserve"> </w:t>
      </w:r>
      <m:oMath>
        <m:r>
          <m:t>α</m:t>
        </m:r>
        <m:r>
          <m:rPr>
            <m:sty m:val="p"/>
          </m:rPr>
          <m:t>=</m:t>
        </m:r>
        <m:r>
          <m:t>16</m:t>
        </m:r>
      </m:oMath>
      <w:r>
        <w:t xml:space="preserve">. The optimization landscape is stable: 71 of 231 simplex points lie within 5% of optimal holding cost across</w:t>
      </w:r>
      <w:r>
        <w:t xml:space="preserve"> </w:t>
      </w:r>
      <m:oMath>
        <m:sSub>
          <m:e>
            <m:r>
              <m:t>w</m:t>
            </m:r>
          </m:e>
          <m:sub>
            <m:r>
              <m:t>P</m:t>
            </m:r>
          </m:sub>
        </m:sSub>
        <m:r>
          <m:rPr>
            <m:sty m:val="p"/>
          </m:rPr>
          <m:t>∈</m:t>
        </m:r>
        <m:r>
          <m:rPr>
            <m:sty m:val="p"/>
          </m:rPr>
          <m:t>[</m:t>
        </m:r>
        <m:r>
          <m:t>0.10</m:t>
        </m:r>
        <m:r>
          <m:rPr>
            <m:sty m:val="p"/>
          </m:rPr>
          <m:t>,</m:t>
        </m:r>
        <m:r>
          <m:t>0.90</m:t>
        </m:r>
        <m:r>
          <m:rPr>
            <m:sty m:val="p"/>
          </m:rPr>
          <m:t>]</m:t>
        </m:r>
      </m:oMath>
      <w:r>
        <w:t xml:space="preserve">, reflecting the strong informational overlap between intent and priority identified in Section V. Component ablation on development gold sets confirms that grounding priority in the empirical intent prior</w:t>
      </w:r>
      <w:r>
        <w:t xml:space="preserve"> </w:t>
      </w:r>
      <m:oMath>
        <m:r>
          <m:t>κ</m:t>
        </m:r>
        <m:r>
          <m:rPr>
            <m:sty m:val="p"/>
          </m:rPr>
          <m:t>(</m:t>
        </m:r>
        <m:r>
          <m:t>i</m:t>
        </m:r>
        <m:r>
          <m:rPr>
            <m:sty m:val="p"/>
          </m:rPr>
          <m:t>)</m:t>
        </m:r>
      </m:oMath>
      <w:r>
        <w:t xml:space="preserve"> </w:t>
      </w:r>
      <w:r>
        <w:t xml:space="preserve">shields critical accounts from false-negative omissions, while the sentiment adjustment</w:t>
      </w:r>
      <w:r>
        <w:t xml:space="preserve"> </w:t>
      </w:r>
      <m:oMath>
        <m:sSub>
          <m:e>
            <m:r>
              <m:t>w</m:t>
            </m:r>
          </m:e>
          <m:sub>
            <m:r>
              <m:t>S</m:t>
            </m:r>
          </m:sub>
        </m:sSub>
      </m:oMath>
      <w:r>
        <w:t xml:space="preserve"> </w:t>
      </w:r>
      <w:r>
        <w:t xml:space="preserve">selectively elevates frustrated customers within their priority tier without destabilizing overall queue ordering.</w:t>
      </w:r>
    </w:p>
    <w:bookmarkEnd w:id="34"/>
    <w:bookmarkEnd w:id="35"/>
    <w:bookmarkStart w:id="36" w:name="vii.-limitations"/>
    <w:p>
      <w:pPr>
        <w:pStyle w:val="Heading1"/>
      </w:pPr>
      <w:r>
        <w:t xml:space="preserve">VII. Limitations</w:t>
      </w:r>
    </w:p>
    <w:p>
      <w:pPr>
        <w:pStyle w:val="FirstParagraph"/>
      </w:pPr>
      <w:r>
        <w:t xml:space="preserve">Every reported score measures agreement with LLM generated silver labels whose accuracy against human judgment is bounded by our 500 ticket gold validation ceiling (0.7931 Negative-F</w:t>
      </w:r>
      <w:r>
        <w:rPr>
          <w:vertAlign w:val="subscript"/>
        </w:rPr>
        <w:t xml:space="preserve">1</w:t>
      </w:r>
      <w:r>
        <w:t xml:space="preserve">,</w:t>
      </w:r>
      <w:r>
        <w:t xml:space="preserve"> </w:t>
      </w:r>
      <m:oMath>
        <m:r>
          <m:t>κ</m:t>
        </m:r>
        <m:r>
          <m:rPr>
            <m:sty m:val="p"/>
          </m:rPr>
          <m:t>=</m:t>
        </m:r>
        <m:r>
          <m:t>0.780</m:t>
        </m:r>
      </m:oMath>
      <w:r>
        <w:t xml:space="preserve">), while priority tiers carry unadjudicated silver noise in the rare High class (9.8%). Labeling</w:t>
      </w:r>
      <w:r>
        <w:t xml:space="preserve"> </w:t>
      </w:r>
      <w:r>
        <w:t xml:space="preserve">prompts were authored and evaluated solely on English source text and copied identically across tracks,</w:t>
      </w:r>
      <w:r>
        <w:t xml:space="preserve"> </w:t>
      </w:r>
      <w:r>
        <w:t xml:space="preserve">overlooking language specific nuances in how urgency and grievance are expressed natively. The corpus expands from English BANKING77 via automated translation pipelines; translated queries inherit Western banking concepts (such as virtual card provisioning) that diverge from South Asian retail payment ecosystems, and cannot fully replicate the organic code-mixing, colloquial idioms, and non-standard phonetic spelling native to Sinhala, Tamil, Singlish, and Tanglish customer chat. All models were tuned on development data and opened the frozen test partition once as benchmark comparisons rather than field generalization guarantees. The prior evidence we build on is also thicker for Sinhala than for Tamil: we found no Tamil-English word-level code-mixed study of comparable rigour to [6], so the Tamil and Tanglish tracks are less well grounded in prior work than their Sinhala counterparts, and the 312</w:t>
      </w:r>
      <m:oMath>
        <m:r>
          <m:rPr>
            <m:sty m:val="p"/>
          </m:rPr>
          <m:t>×</m:t>
        </m:r>
      </m:oMath>
      <w:r>
        <w:t xml:space="preserve"> </w:t>
      </w:r>
      <w:r>
        <w:t xml:space="preserve">romanization penalty reported in [7] is intrinsic perplexity on decoder-only models rather than encoder classification accuracy, so it motivates rather than predicts the gaps we measure. Finally, post hoc temperature scaling optimizes ECE by compressing logit variance, demonstrating that conventional probability calibration trades off directly against score separation in operational dispatch.</w:t>
      </w:r>
    </w:p>
    <w:bookmarkEnd w:id="36"/>
    <w:bookmarkStart w:id="37" w:name="viii.-conclusion"/>
    <w:p>
      <w:pPr>
        <w:pStyle w:val="Heading1"/>
      </w:pPr>
      <w:r>
        <w:t xml:space="preserve">VIII. Conclusion</w:t>
      </w:r>
    </w:p>
    <w:p>
      <w:pPr>
        <w:pStyle w:val="FirstParagraph"/>
      </w:pPr>
      <w:r>
        <w:t xml:space="preserve">This paper contributed a five-track multilingual support ticket corpus carrying</w:t>
      </w:r>
      <w:r>
        <w:t xml:space="preserve"> </w:t>
      </w:r>
      <w:r>
        <w:t xml:space="preserve">intent, sentiment, and priority labels, a cross-script benchmark of four model</w:t>
      </w:r>
      <w:r>
        <w:t xml:space="preserve"> </w:t>
      </w:r>
      <w:r>
        <w:t xml:space="preserve">families on all three targets, and a measurement of the statistical dependence</w:t>
      </w:r>
      <w:r>
        <w:t xml:space="preserve"> </w:t>
      </w:r>
      <w:r>
        <w:t xml:space="preserve">between the targets.</w:t>
      </w:r>
    </w:p>
    <w:p>
      <w:pPr>
        <w:pStyle w:val="BodyText"/>
      </w:pPr>
      <w:r>
        <w:t xml:space="preserve">Fine-tuned LaBSE gives the best pooled intent macro-F</w:t>
      </w:r>
      <w:r>
        <w:rPr>
          <w:vertAlign w:val="subscript"/>
        </w:rPr>
        <w:t xml:space="preserve">1</w:t>
      </w:r>
      <w:r>
        <w:t xml:space="preserve"> </w:t>
      </w:r>
      <w:r>
        <w:t xml:space="preserve">(0.8835 against 0.8308</w:t>
      </w:r>
      <w:r>
        <w:t xml:space="preserve"> </w:t>
      </w:r>
      <w:r>
        <w:t xml:space="preserve">for the strongest classical baseline), a margin significant under both paired</w:t>
      </w:r>
      <w:r>
        <w:t xml:space="preserve"> </w:t>
      </w:r>
      <w:r>
        <w:t xml:space="preserve">bootstrap and McNemar tests. On sentiment and priority the four encoders, the</w:t>
      </w:r>
      <w:r>
        <w:t xml:space="preserve"> </w:t>
      </w:r>
      <w:r>
        <w:t xml:space="preserve">three Gemma 3 1B configurations and the classical SVM fall inside one another’s</w:t>
      </w:r>
      <w:r>
        <w:t xml:space="preserve"> </w:t>
      </w:r>
      <w:r>
        <w:t xml:space="preserve">intervals — pooled Negative-F</w:t>
      </w:r>
      <w:r>
        <w:rPr>
          <w:vertAlign w:val="subscript"/>
        </w:rPr>
        <w:t xml:space="preserve">1</w:t>
      </w:r>
      <w:r>
        <w:t xml:space="preserve"> </w:t>
      </w:r>
      <w:r>
        <w:t xml:space="preserve">spans 0.679 to 0.714 and pooled priority 0.872 to</w:t>
      </w:r>
      <w:r>
        <w:t xml:space="preserve"> </w:t>
      </w:r>
      <w:r>
        <w:t xml:space="preserve">0.890, with the best priority score belonging to a decoder. So we claim no</w:t>
      </w:r>
      <w:r>
        <w:t xml:space="preserve"> </w:t>
      </w:r>
      <w:r>
        <w:t xml:space="preserve">architectural advantage on those targets. The dominant source of variation is</w:t>
      </w:r>
      <w:r>
        <w:t xml:space="preserve"> </w:t>
      </w:r>
      <w:r>
        <w:t xml:space="preserve">script rather than architecture: romanized Tanglish costs every model 14 to 32</w:t>
      </w:r>
      <w:r>
        <w:t xml:space="preserve"> </w:t>
      </w:r>
      <w:r>
        <w:t xml:space="preserve">points of intent macro-F</w:t>
      </w:r>
      <w:r>
        <w:rPr>
          <w:vertAlign w:val="subscript"/>
        </w:rPr>
        <w:t xml:space="preserve">1</w:t>
      </w:r>
      <w:r>
        <w:t xml:space="preserve"> </w:t>
      </w:r>
      <w:r>
        <w:t xml:space="preserve">relative to English, and MuRIL, which ranks last on</w:t>
      </w:r>
      <w:r>
        <w:t xml:space="preserve"> </w:t>
      </w:r>
      <w:r>
        <w:t xml:space="preserve">pooled intent, has both the smallest romanization gap and the best absolute</w:t>
      </w:r>
      <w:r>
        <w:t xml:space="preserve"> </w:t>
      </w:r>
      <w:r>
        <w:t xml:space="preserve">Tanglish score on all three tasks. Measuring inter-label mutual information</w:t>
      </w:r>
      <w:r>
        <w:t xml:space="preserve"> </w:t>
      </w:r>
      <w:r>
        <w:t xml:space="preserve">showed that intent explains 76.9% of priority entropy, and an equal-weight</w:t>
      </w:r>
      <w:r>
        <w:t xml:space="preserve"> </w:t>
      </w:r>
      <w:r>
        <w:t xml:space="preserve">logarithmic pool of the direct priority head and an intent-conditioned chain</w:t>
      </w:r>
      <w:r>
        <w:t xml:space="preserve"> </w:t>
      </w:r>
      <w:r>
        <w:t xml:space="preserve">cuts log loss by 27.4% where a linear mixture of the same estimates is</w:t>
      </w:r>
      <w:r>
        <w:t xml:space="preserve"> </w:t>
      </w:r>
      <w:r>
        <w:t xml:space="preserve">collinear by construction.</w:t>
      </w:r>
    </w:p>
    <w:bookmarkEnd w:id="37"/>
    <w:bookmarkStart w:id="38" w:name="acknowledgment"/>
    <w:p>
      <w:pPr>
        <w:pStyle w:val="Heading1"/>
      </w:pPr>
      <w:r>
        <w:t xml:space="preserve">Acknowledgment</w:t>
      </w:r>
    </w:p>
    <w:p>
      <w:pPr>
        <w:pStyle w:val="FirstParagraph"/>
      </w:pPr>
      <w:r>
        <w:t xml:space="preserve">In accordance with the conference policy on AI-generated</w:t>
      </w:r>
      <w:r>
        <w:t xml:space="preserve"> </w:t>
      </w:r>
      <w:r>
        <w:t xml:space="preserve">text, Parts of this manuscript were drafted with a large language</w:t>
      </w:r>
      <w:r>
        <w:t xml:space="preserve"> </w:t>
      </w:r>
      <w:r>
        <w:t xml:space="preserve">model (Claude Opus 5) from author-</w:t>
      </w:r>
      <w:r>
        <w:t xml:space="preserve"> </w:t>
      </w:r>
      <w:r>
        <w:t xml:space="preserve">supplied results, outlines, and notes. Google Gemini (3.6</w:t>
      </w:r>
      <w:r>
        <w:t xml:space="preserve"> </w:t>
      </w:r>
      <w:r>
        <w:t xml:space="preserve">Flash) was used to produce the non-English corpus renderings</w:t>
      </w:r>
      <w:r>
        <w:t xml:space="preserve"> </w:t>
      </w:r>
      <w:r>
        <w:t xml:space="preserve">and the sentiment and priority labels described in Section III;</w:t>
      </w:r>
      <w:r>
        <w:t xml:space="preserve"> </w:t>
      </w:r>
      <w:r>
        <w:t xml:space="preserve">this use forms part of the reported methodology rather than the</w:t>
      </w:r>
      <w:r>
        <w:t xml:space="preserve"> </w:t>
      </w:r>
      <w:r>
        <w:t xml:space="preserve">manuscript writing. No AI system generated the experimental</w:t>
      </w:r>
      <w:r>
        <w:t xml:space="preserve"> </w:t>
      </w:r>
      <w:r>
        <w:t xml:space="preserve">results, numerical values, or tables. The authors reviewed the</w:t>
      </w:r>
      <w:r>
        <w:t xml:space="preserve"> </w:t>
      </w:r>
      <w:r>
        <w:t xml:space="preserve">AI-assisted material and take responsibility for the accuracy</w:t>
      </w:r>
      <w:r>
        <w:t xml:space="preserve"> </w:t>
      </w:r>
      <w:r>
        <w:t xml:space="preserve">and integrity of the manuscript.</w:t>
      </w:r>
    </w:p>
    <w:bookmarkEnd w:id="38"/>
    <w:bookmarkStart w:id="39" w:name="references"/>
    <w:p>
      <w:pPr>
        <w:pStyle w:val="Heading1"/>
      </w:pPr>
      <w:r>
        <w:t xml:space="preserve">References</w:t>
      </w:r>
    </w:p>
    <w:p>
      <w:pPr>
        <w:spacing w:before="0" w:after="0" w:line="180" w:lineRule="exact"/>
        <w:ind w:left="200" w:hanging="200"/>
        <w:jc w:val="both"/>
        <w:rPr>
          <w:sz w:val="16"/>
        </w:rPr>
      </w:pPr>
      <w:r>
        <w:rPr>
          <w:sz w:val="16"/>
        </w:rPr>
        <w:t xml:space="preserve">[1]</w:t>
      </w:r>
      <w:r>
        <w:rPr>
          <w:sz w:val="16"/>
        </w:rPr>
        <w:t xml:space="preserve"> </w:t>
      </w:r>
      <w:r>
        <w:rPr>
          <w:sz w:val="16"/>
        </w:rPr>
        <w:t xml:space="preserve">S. Arya,</w:t>
      </w:r>
      <w:r>
        <w:rPr>
          <w:sz w:val="16"/>
        </w:rPr>
        <w:t xml:space="preserve"> </w:t>
      </w:r>
      <w:r>
        <w:rPr>
          <w:sz w:val="16"/>
        </w:rPr>
        <w:t xml:space="preserve">“Bank customer complaint classification using machine learning and</w:t>
      </w:r>
      <w:r>
        <w:rPr>
          <w:sz w:val="16"/>
        </w:rPr>
        <w:t xml:space="preserve"> </w:t>
      </w:r>
      <w:r>
        <w:rPr>
          <w:sz w:val="16"/>
        </w:rPr>
        <w:t xml:space="preserve">deep learning models,”</w:t>
      </w:r>
      <w:r>
        <w:rPr>
          <w:sz w:val="16"/>
        </w:rPr>
        <w:t xml:space="preserve"> </w:t>
      </w:r>
      <w:r>
        <w:rPr>
          <w:sz w:val="16"/>
          <w:i/>
          <w:iCs/>
        </w:rPr>
        <w:t xml:space="preserve">International Journal for Research Trends and</w:t>
      </w:r>
      <w:r>
        <w:rPr>
          <w:sz w:val="16"/>
          <w:i/>
          <w:iCs/>
        </w:rPr>
        <w:t xml:space="preserve"> </w:t>
      </w:r>
      <w:r>
        <w:rPr>
          <w:sz w:val="16"/>
          <w:i/>
          <w:iCs/>
        </w:rPr>
        <w:t xml:space="preserve">Innovation (IJRTI)</w:t>
      </w:r>
      <w:r>
        <w:rPr>
          <w:sz w:val="16"/>
        </w:rPr>
        <w:t xml:space="preserve">, vol. 11, no. 2, Feb. 2026.</w:t>
      </w:r>
    </w:p>
    <w:p>
      <w:pPr>
        <w:spacing w:before="0" w:after="0" w:line="180" w:lineRule="exact"/>
        <w:ind w:left="200" w:hanging="200"/>
        <w:jc w:val="both"/>
        <w:rPr>
          <w:sz w:val="16"/>
        </w:rPr>
      </w:pPr>
      <w:r>
        <w:rPr>
          <w:sz w:val="16"/>
        </w:rPr>
        <w:t xml:space="preserve">[2]</w:t>
      </w:r>
      <w:r>
        <w:rPr>
          <w:sz w:val="16"/>
        </w:rPr>
        <w:t xml:space="preserve"> </w:t>
      </w:r>
      <w:r>
        <w:rPr>
          <w:sz w:val="16"/>
        </w:rPr>
        <w:t xml:space="preserve">K. V. Deshmukh and S. S. Shiravale,</w:t>
      </w:r>
      <w:r>
        <w:rPr>
          <w:sz w:val="16"/>
        </w:rPr>
        <w:t xml:space="preserve"> </w:t>
      </w:r>
      <w:r>
        <w:rPr>
          <w:sz w:val="16"/>
        </w:rPr>
        <w:t xml:space="preserve">“Priority based sentiment analysis for</w:t>
      </w:r>
      <w:r>
        <w:rPr>
          <w:sz w:val="16"/>
        </w:rPr>
        <w:t xml:space="preserve"> </w:t>
      </w:r>
      <w:r>
        <w:rPr>
          <w:sz w:val="16"/>
        </w:rPr>
        <w:t xml:space="preserve">quick response to citizen complaints,”</w:t>
      </w:r>
      <w:r>
        <w:rPr>
          <w:sz w:val="16"/>
        </w:rPr>
        <w:t xml:space="preserve"> </w:t>
      </w:r>
      <w:r>
        <w:rPr>
          <w:sz w:val="16"/>
        </w:rPr>
        <w:t xml:space="preserve">in</w:t>
      </w:r>
      <w:r>
        <w:rPr>
          <w:sz w:val="16"/>
        </w:rPr>
        <w:t xml:space="preserve"> </w:t>
      </w:r>
      <w:r>
        <w:rPr>
          <w:sz w:val="16"/>
          <w:i/>
          <w:iCs/>
        </w:rPr>
        <w:t xml:space="preserve">Proc. IEEE Int. Conf. for</w:t>
      </w:r>
      <w:r>
        <w:rPr>
          <w:sz w:val="16"/>
          <w:i/>
          <w:iCs/>
        </w:rPr>
        <w:t xml:space="preserve"> </w:t>
      </w:r>
      <w:r>
        <w:rPr>
          <w:sz w:val="16"/>
          <w:i/>
          <w:iCs/>
        </w:rPr>
        <w:t xml:space="preserve">Convergence in Technology (I2CT)</w:t>
      </w:r>
      <w:r>
        <w:rPr>
          <w:sz w:val="16"/>
        </w:rPr>
        <w:t xml:space="preserve">, 2019.</w:t>
      </w:r>
    </w:p>
    <w:p>
      <w:pPr>
        <w:spacing w:before="0" w:after="0" w:line="180" w:lineRule="exact"/>
        <w:ind w:left="200" w:hanging="200"/>
        <w:jc w:val="both"/>
        <w:rPr>
          <w:sz w:val="16"/>
        </w:rPr>
      </w:pPr>
      <w:r>
        <w:rPr>
          <w:sz w:val="16"/>
        </w:rPr>
        <w:t xml:space="preserve">[3]</w:t>
      </w:r>
      <w:r>
        <w:rPr>
          <w:sz w:val="16"/>
        </w:rPr>
        <w:t xml:space="preserve"> </w:t>
      </w:r>
      <w:r>
        <w:rPr>
          <w:sz w:val="16"/>
        </w:rPr>
        <w:t xml:space="preserve">L. Kleinrock,</w:t>
      </w:r>
      <w:r>
        <w:rPr>
          <w:sz w:val="16"/>
        </w:rPr>
        <w:t xml:space="preserve"> </w:t>
      </w:r>
      <w:r>
        <w:rPr>
          <w:sz w:val="16"/>
        </w:rPr>
        <w:t xml:space="preserve">“A delay dependent queue discipline,”</w:t>
      </w:r>
      <w:r>
        <w:rPr>
          <w:sz w:val="16"/>
        </w:rPr>
        <w:t xml:space="preserve"> </w:t>
      </w:r>
      <w:r>
        <w:rPr>
          <w:sz w:val="16"/>
          <w:i/>
          <w:iCs/>
        </w:rPr>
        <w:t xml:space="preserve">Naval Research</w:t>
      </w:r>
      <w:r>
        <w:rPr>
          <w:sz w:val="16"/>
          <w:i/>
          <w:iCs/>
        </w:rPr>
        <w:t xml:space="preserve"> </w:t>
      </w:r>
      <w:r>
        <w:rPr>
          <w:sz w:val="16"/>
          <w:i/>
          <w:iCs/>
        </w:rPr>
        <w:t xml:space="preserve">Logistics Quarterly</w:t>
      </w:r>
      <w:r>
        <w:rPr>
          <w:sz w:val="16"/>
        </w:rPr>
        <w:t xml:space="preserve">, vol. 11, no. 3-4, pp. 329–341, 1964.</w:t>
      </w:r>
    </w:p>
    <w:p>
      <w:pPr>
        <w:spacing w:before="0" w:after="0" w:line="180" w:lineRule="exact"/>
        <w:ind w:left="200" w:hanging="200"/>
        <w:jc w:val="both"/>
        <w:rPr>
          <w:sz w:val="16"/>
        </w:rPr>
      </w:pPr>
      <w:r>
        <w:rPr>
          <w:sz w:val="16"/>
        </w:rPr>
        <w:t xml:space="preserve">[4]</w:t>
      </w:r>
      <w:r>
        <w:rPr>
          <w:sz w:val="16"/>
        </w:rPr>
        <w:t xml:space="preserve"> </w:t>
      </w:r>
      <w:r>
        <w:rPr>
          <w:sz w:val="16"/>
        </w:rPr>
        <w:t xml:space="preserve">D. A. Stanford, P. Taylor, and I. Ziedins,</w:t>
      </w:r>
      <w:r>
        <w:rPr>
          <w:sz w:val="16"/>
        </w:rPr>
        <w:t xml:space="preserve"> </w:t>
      </w:r>
      <w:r>
        <w:rPr>
          <w:sz w:val="16"/>
        </w:rPr>
        <w:t xml:space="preserve">“Waiting time distributions in the</w:t>
      </w:r>
      <w:r>
        <w:rPr>
          <w:sz w:val="16"/>
        </w:rPr>
        <w:t xml:space="preserve"> </w:t>
      </w:r>
      <w:r>
        <w:rPr>
          <w:sz w:val="16"/>
        </w:rPr>
        <w:t xml:space="preserve">accumulating priority queue,”</w:t>
      </w:r>
      <w:r>
        <w:rPr>
          <w:sz w:val="16"/>
        </w:rPr>
        <w:t xml:space="preserve"> </w:t>
      </w:r>
      <w:r>
        <w:rPr>
          <w:sz w:val="16"/>
          <w:i/>
          <w:iCs/>
        </w:rPr>
        <w:t xml:space="preserve">Queueing Systems</w:t>
      </w:r>
      <w:r>
        <w:rPr>
          <w:sz w:val="16"/>
        </w:rPr>
        <w:t xml:space="preserve">, vol. 77, no. 3, pp.</w:t>
      </w:r>
      <w:r>
        <w:rPr>
          <w:sz w:val="16"/>
        </w:rPr>
        <w:t xml:space="preserve"> </w:t>
      </w:r>
      <w:r>
        <w:rPr>
          <w:sz w:val="16"/>
        </w:rPr>
        <w:t xml:space="preserve">297–330, 2014.</w:t>
      </w:r>
    </w:p>
    <w:p>
      <w:pPr>
        <w:spacing w:before="0" w:after="0" w:line="180" w:lineRule="exact"/>
        <w:ind w:left="200" w:hanging="200"/>
        <w:jc w:val="both"/>
        <w:rPr>
          <w:sz w:val="16"/>
        </w:rPr>
      </w:pPr>
      <w:r>
        <w:rPr>
          <w:sz w:val="16"/>
        </w:rPr>
        <w:t xml:space="preserve">[5]</w:t>
      </w:r>
      <w:r>
        <w:rPr>
          <w:sz w:val="16"/>
        </w:rPr>
        <w:t xml:space="preserve"> </w:t>
      </w:r>
      <w:r>
        <w:rPr>
          <w:sz w:val="16"/>
        </w:rPr>
        <w:t xml:space="preserve">N. T. Argon and S. Ziya,</w:t>
      </w:r>
      <w:r>
        <w:rPr>
          <w:sz w:val="16"/>
        </w:rPr>
        <w:t xml:space="preserve"> </w:t>
      </w:r>
      <w:r>
        <w:rPr>
          <w:sz w:val="16"/>
        </w:rPr>
        <w:t xml:space="preserve">“Priority assignment under imperfect information on</w:t>
      </w:r>
      <w:r>
        <w:rPr>
          <w:sz w:val="16"/>
        </w:rPr>
        <w:t xml:space="preserve"> </w:t>
      </w:r>
      <w:r>
        <w:rPr>
          <w:sz w:val="16"/>
        </w:rPr>
        <w:t xml:space="preserve">customer type identities,”</w:t>
      </w:r>
      <w:r>
        <w:rPr>
          <w:sz w:val="16"/>
        </w:rPr>
        <w:t xml:space="preserve"> </w:t>
      </w:r>
      <w:r>
        <w:rPr>
          <w:sz w:val="16"/>
          <w:i/>
          <w:iCs/>
        </w:rPr>
        <w:t xml:space="preserve">Manufacturing &amp; Service Operations</w:t>
      </w:r>
      <w:r>
        <w:rPr>
          <w:sz w:val="16"/>
          <w:i/>
          <w:iCs/>
        </w:rPr>
        <w:t xml:space="preserve"> </w:t>
      </w:r>
      <w:r>
        <w:rPr>
          <w:sz w:val="16"/>
          <w:i/>
          <w:iCs/>
        </w:rPr>
        <w:t xml:space="preserve">Management</w:t>
      </w:r>
      <w:r>
        <w:rPr>
          <w:sz w:val="16"/>
        </w:rPr>
        <w:t xml:space="preserve">, vol. 11, no. 4, pp. 674–693, 2009.</w:t>
      </w:r>
    </w:p>
    <w:p>
      <w:pPr>
        <w:spacing w:before="0" w:after="0" w:line="180" w:lineRule="exact"/>
        <w:ind w:left="200" w:hanging="200"/>
        <w:jc w:val="both"/>
        <w:rPr>
          <w:sz w:val="16"/>
        </w:rPr>
      </w:pPr>
      <w:r>
        <w:rPr>
          <w:sz w:val="16"/>
        </w:rPr>
        <w:t xml:space="preserve">[6]</w:t>
      </w:r>
      <w:r>
        <w:rPr>
          <w:sz w:val="16"/>
        </w:rPr>
        <w:t xml:space="preserve"> </w:t>
      </w:r>
      <w:r>
        <w:rPr>
          <w:sz w:val="16"/>
        </w:rPr>
        <w:t xml:space="preserve">J. R. I. Smith,</w:t>
      </w:r>
      <w:r>
        <w:rPr>
          <w:sz w:val="16"/>
        </w:rPr>
        <w:t xml:space="preserve"> </w:t>
      </w:r>
      <w:r>
        <w:rPr>
          <w:sz w:val="16"/>
        </w:rPr>
        <w:t xml:space="preserve">“</w:t>
      </w:r>
      <w:r>
        <w:rPr>
          <w:sz w:val="16"/>
        </w:rPr>
        <w:t xml:space="preserve">S</w:t>
      </w:r>
      <w:r>
        <w:rPr>
          <w:sz w:val="16"/>
        </w:rPr>
        <w:t xml:space="preserve">inhala-</w:t>
      </w:r>
      <w:r>
        <w:rPr>
          <w:sz w:val="16"/>
        </w:rPr>
        <w:t xml:space="preserve">E</w:t>
      </w:r>
      <w:r>
        <w:rPr>
          <w:sz w:val="16"/>
        </w:rPr>
        <w:t xml:space="preserve">nglish language detection in code-mixed data,”</w:t>
      </w:r>
      <w:r>
        <w:rPr>
          <w:sz w:val="16"/>
        </w:rPr>
        <w:t xml:space="preserve"> </w:t>
      </w:r>
      <w:r>
        <w:rPr>
          <w:sz w:val="16"/>
        </w:rPr>
        <w:t xml:space="preserve">Master’s thesis, University of Moratuwa, Dept. of Computer Science and</w:t>
      </w:r>
      <w:r>
        <w:rPr>
          <w:sz w:val="16"/>
        </w:rPr>
        <w:t xml:space="preserve"> </w:t>
      </w:r>
      <w:r>
        <w:rPr>
          <w:sz w:val="16"/>
        </w:rPr>
        <w:t xml:space="preserve">Engineering, Apr. 2020.</w:t>
      </w:r>
    </w:p>
    <w:p>
      <w:pPr>
        <w:spacing w:before="0" w:after="0" w:line="180" w:lineRule="exact"/>
        <w:ind w:left="200" w:hanging="200"/>
        <w:jc w:val="both"/>
        <w:rPr>
          <w:sz w:val="16"/>
        </w:rPr>
      </w:pPr>
      <w:r>
        <w:rPr>
          <w:sz w:val="16"/>
        </w:rPr>
        <w:t xml:space="preserve">[7]</w:t>
      </w:r>
      <w:r>
        <w:rPr>
          <w:sz w:val="16"/>
        </w:rPr>
        <w:t xml:space="preserve"> </w:t>
      </w:r>
      <w:r>
        <w:rPr>
          <w:sz w:val="16"/>
        </w:rPr>
        <w:t xml:space="preserve">M. Rajapakse and R. Weerasinghe,</w:t>
      </w:r>
      <w:r>
        <w:rPr>
          <w:sz w:val="16"/>
        </w:rPr>
        <w:t xml:space="preserve"> </w:t>
      </w:r>
      <w:r>
        <w:rPr>
          <w:sz w:val="16"/>
        </w:rPr>
        <w:t xml:space="preserve">“Script sensitivity: Benchmarking language</w:t>
      </w:r>
      <w:r>
        <w:rPr>
          <w:sz w:val="16"/>
        </w:rPr>
        <w:t xml:space="preserve"> </w:t>
      </w:r>
      <w:r>
        <w:rPr>
          <w:sz w:val="16"/>
        </w:rPr>
        <w:t xml:space="preserve">models on</w:t>
      </w:r>
      <w:r>
        <w:rPr>
          <w:sz w:val="16"/>
        </w:rPr>
        <w:t xml:space="preserve"> </w:t>
      </w:r>
      <w:r>
        <w:rPr>
          <w:sz w:val="16"/>
        </w:rPr>
        <w:t xml:space="preserve">U</w:t>
      </w:r>
      <w:r>
        <w:rPr>
          <w:sz w:val="16"/>
        </w:rPr>
        <w:t xml:space="preserve">nicode,</w:t>
      </w:r>
      <w:r>
        <w:rPr>
          <w:sz w:val="16"/>
        </w:rPr>
        <w:t xml:space="preserve"> </w:t>
      </w:r>
      <w:r>
        <w:rPr>
          <w:sz w:val="16"/>
        </w:rPr>
        <w:t xml:space="preserve">R</w:t>
      </w:r>
      <w:r>
        <w:rPr>
          <w:sz w:val="16"/>
        </w:rPr>
        <w:t xml:space="preserve">omanized and mixed-script</w:t>
      </w:r>
      <w:r>
        <w:rPr>
          <w:sz w:val="16"/>
        </w:rPr>
        <w:t xml:space="preserve"> </w:t>
      </w:r>
      <w:r>
        <w:rPr>
          <w:sz w:val="16"/>
        </w:rPr>
        <w:t xml:space="preserve">S</w:t>
      </w:r>
      <w:r>
        <w:rPr>
          <w:sz w:val="16"/>
        </w:rPr>
        <w:t xml:space="preserve">inhala,”</w:t>
      </w:r>
      <w:r>
        <w:rPr>
          <w:sz w:val="16"/>
        </w:rPr>
        <w:t xml:space="preserve"> </w:t>
      </w:r>
      <w:r>
        <w:rPr>
          <w:sz w:val="16"/>
        </w:rPr>
        <w:t xml:space="preserve">arXiv:2601.14958, 2026.</w:t>
      </w:r>
    </w:p>
    <w:p>
      <w:pPr>
        <w:spacing w:before="0" w:after="0" w:line="180" w:lineRule="exact"/>
        <w:ind w:left="200" w:hanging="200"/>
        <w:jc w:val="both"/>
        <w:rPr>
          <w:sz w:val="16"/>
        </w:rPr>
      </w:pPr>
      <w:r>
        <w:rPr>
          <w:sz w:val="16"/>
        </w:rPr>
        <w:t xml:space="preserve">[8]</w:t>
      </w:r>
      <w:r>
        <w:rPr>
          <w:sz w:val="16"/>
        </w:rPr>
        <w:t xml:space="preserve"> </w:t>
      </w:r>
      <w:r>
        <w:rPr>
          <w:sz w:val="16"/>
        </w:rPr>
        <w:t xml:space="preserve">I. Casanueva, T. Tem</w:t>
      </w:r>
      <w:r>
        <w:rPr>
          <w:sz w:val="16"/>
        </w:rPr>
        <w:t xml:space="preserve">č</w:t>
      </w:r>
      <w:r>
        <w:rPr>
          <w:sz w:val="16"/>
        </w:rPr>
        <w:t xml:space="preserve">inas, D. Gerz, M. Henderson, and I. Vuli</w:t>
      </w:r>
      <w:r>
        <w:rPr>
          <w:sz w:val="16"/>
        </w:rPr>
        <w:t xml:space="preserve">ć</w:t>
      </w:r>
      <w:r>
        <w:rPr>
          <w:sz w:val="16"/>
        </w:rPr>
        <w:t xml:space="preserve">,</w:t>
      </w:r>
      <w:r>
        <w:rPr>
          <w:sz w:val="16"/>
        </w:rPr>
        <w:t xml:space="preserve"> </w:t>
      </w:r>
      <w:r>
        <w:rPr>
          <w:sz w:val="16"/>
        </w:rPr>
        <w:t xml:space="preserve">“Efficient intent detection with dual sentence encoders,”</w:t>
      </w:r>
      <w:r>
        <w:rPr>
          <w:sz w:val="16"/>
        </w:rPr>
        <w:t xml:space="preserve"> </w:t>
      </w:r>
      <w:r>
        <w:rPr>
          <w:sz w:val="16"/>
        </w:rPr>
        <w:t xml:space="preserve">in</w:t>
      </w:r>
      <w:r>
        <w:rPr>
          <w:sz w:val="16"/>
        </w:rPr>
        <w:t xml:space="preserve"> </w:t>
      </w:r>
      <w:r>
        <w:rPr>
          <w:sz w:val="16"/>
          <w:i/>
          <w:iCs/>
        </w:rPr>
        <w:t xml:space="preserve">Proc. 2nd Workshop on Natural Language Processing for Conversational AI</w:t>
      </w:r>
      <w:r>
        <w:rPr>
          <w:sz w:val="16"/>
        </w:rPr>
        <w:t xml:space="preserve">. Association for Computational Linguistics, 2020,</w:t>
      </w:r>
      <w:r>
        <w:rPr>
          <w:sz w:val="16"/>
        </w:rPr>
        <w:t xml:space="preserve"> </w:t>
      </w:r>
      <w:r>
        <w:rPr>
          <w:sz w:val="16"/>
        </w:rPr>
        <w:t xml:space="preserve">pp. 38–45.</w:t>
      </w:r>
    </w:p>
    <w:p>
      <w:pPr>
        <w:spacing w:before="0" w:after="0" w:line="180" w:lineRule="exact"/>
        <w:ind w:left="200" w:hanging="200"/>
        <w:jc w:val="both"/>
        <w:rPr>
          <w:sz w:val="16"/>
        </w:rPr>
      </w:pPr>
      <w:r>
        <w:rPr>
          <w:sz w:val="16"/>
        </w:rPr>
        <w:t xml:space="preserve">[9]</w:t>
      </w:r>
      <w:r>
        <w:rPr>
          <w:sz w:val="16"/>
        </w:rPr>
        <w:t xml:space="preserve"> </w:t>
      </w:r>
      <w:r>
        <w:rPr>
          <w:sz w:val="16"/>
        </w:rPr>
        <w:t xml:space="preserve">A. Conneau, K. Khandelwal, N. Goyal, V. Chaudhary, G. Wenzek, F. Guzm</w:t>
      </w:r>
      <w:r>
        <w:rPr>
          <w:sz w:val="16"/>
        </w:rPr>
        <w:t xml:space="preserve">á</w:t>
      </w:r>
      <w:r>
        <w:rPr>
          <w:sz w:val="16"/>
        </w:rPr>
        <w:t xml:space="preserve">n,</w:t>
      </w:r>
      <w:r>
        <w:rPr>
          <w:sz w:val="16"/>
        </w:rPr>
        <w:t xml:space="preserve"> </w:t>
      </w:r>
      <w:r>
        <w:rPr>
          <w:sz w:val="16"/>
        </w:rPr>
        <w:t xml:space="preserve">E. Grave, M. Ott, L. Zettlemoyer, and V. Stoyanov,</w:t>
      </w:r>
      <w:r>
        <w:rPr>
          <w:sz w:val="16"/>
        </w:rPr>
        <w:t xml:space="preserve"> </w:t>
      </w:r>
      <w:r>
        <w:rPr>
          <w:sz w:val="16"/>
        </w:rPr>
        <w:t xml:space="preserve">“Unsupervised</w:t>
      </w:r>
      <w:r>
        <w:rPr>
          <w:sz w:val="16"/>
        </w:rPr>
        <w:t xml:space="preserve"> </w:t>
      </w:r>
      <w:r>
        <w:rPr>
          <w:sz w:val="16"/>
        </w:rPr>
        <w:t xml:space="preserve">cross-lingual representation learning at scale,”</w:t>
      </w:r>
      <w:r>
        <w:rPr>
          <w:sz w:val="16"/>
        </w:rPr>
        <w:t xml:space="preserve"> </w:t>
      </w:r>
      <w:r>
        <w:rPr>
          <w:sz w:val="16"/>
        </w:rPr>
        <w:t xml:space="preserve">in</w:t>
      </w:r>
      <w:r>
        <w:rPr>
          <w:sz w:val="16"/>
        </w:rPr>
        <w:t xml:space="preserve"> </w:t>
      </w:r>
      <w:r>
        <w:rPr>
          <w:sz w:val="16"/>
          <w:i/>
          <w:iCs/>
        </w:rPr>
        <w:t xml:space="preserve">Proc. 58th Annual</w:t>
      </w:r>
      <w:r>
        <w:rPr>
          <w:sz w:val="16"/>
          <w:i/>
          <w:iCs/>
        </w:rPr>
        <w:t xml:space="preserve"> </w:t>
      </w:r>
      <w:r>
        <w:rPr>
          <w:sz w:val="16"/>
          <w:i/>
          <w:iCs/>
        </w:rPr>
        <w:t xml:space="preserve">Meeting of the Association for Computational Linguistics</w:t>
      </w:r>
      <w:r>
        <w:rPr>
          <w:sz w:val="16"/>
        </w:rPr>
        <w:t xml:space="preserve">. Association for Computational Linguistics, 2020, pp.</w:t>
      </w:r>
      <w:r>
        <w:rPr>
          <w:sz w:val="16"/>
        </w:rPr>
        <w:t xml:space="preserve"> </w:t>
      </w:r>
      <w:r>
        <w:rPr>
          <w:sz w:val="16"/>
        </w:rPr>
        <w:t xml:space="preserve">8440–8451.</w:t>
      </w:r>
    </w:p>
    <w:p>
      <w:pPr>
        <w:spacing w:before="0" w:after="0" w:line="180" w:lineRule="exact"/>
        <w:ind w:left="200" w:hanging="200"/>
        <w:jc w:val="both"/>
        <w:rPr>
          <w:sz w:val="16"/>
        </w:rPr>
      </w:pPr>
      <w:r>
        <w:rPr>
          <w:sz w:val="16"/>
        </w:rPr>
        <w:t xml:space="preserve">[10]</w:t>
      </w:r>
      <w:r>
        <w:rPr>
          <w:sz w:val="16"/>
        </w:rPr>
        <w:t xml:space="preserve"> </w:t>
      </w:r>
      <w:r>
        <w:rPr>
          <w:sz w:val="16"/>
        </w:rPr>
        <w:t xml:space="preserve">M. Marone, O. Weller, W. Fleshman, E. Yang, D. Lawrie, and B. Van Durme,</w:t>
      </w:r>
      <w:r>
        <w:rPr>
          <w:sz w:val="16"/>
        </w:rPr>
        <w:t xml:space="preserve"> </w:t>
      </w:r>
      <w:r>
        <w:rPr>
          <w:sz w:val="16"/>
        </w:rPr>
        <w:t xml:space="preserve">“</w:t>
      </w:r>
      <w:r>
        <w:rPr>
          <w:sz w:val="16"/>
        </w:rPr>
        <w:t xml:space="preserve">mmBERT</w:t>
      </w:r>
      <w:r>
        <w:rPr>
          <w:sz w:val="16"/>
        </w:rPr>
        <w:t xml:space="preserve">: A modern multilingual encoder with annealed language learning,”</w:t>
      </w:r>
      <w:r>
        <w:rPr>
          <w:sz w:val="16"/>
        </w:rPr>
        <w:t xml:space="preserve"> </w:t>
      </w:r>
      <w:r>
        <w:rPr>
          <w:sz w:val="16"/>
        </w:rPr>
        <w:t xml:space="preserve">arXiv:2509.06888, 2025.</w:t>
      </w:r>
    </w:p>
    <w:p>
      <w:pPr>
        <w:spacing w:before="0" w:after="0" w:line="180" w:lineRule="exact"/>
        <w:ind w:left="200" w:hanging="200"/>
        <w:jc w:val="both"/>
        <w:rPr>
          <w:sz w:val="16"/>
        </w:rPr>
      </w:pPr>
      <w:r>
        <w:rPr>
          <w:sz w:val="16"/>
        </w:rPr>
        <w:t xml:space="preserve">[11]</w:t>
      </w:r>
      <w:r>
        <w:rPr>
          <w:sz w:val="16"/>
        </w:rPr>
        <w:t xml:space="preserve"> </w:t>
      </w:r>
      <w:r>
        <w:rPr>
          <w:sz w:val="16"/>
        </w:rPr>
        <w:t xml:space="preserve">S. Khanuja, D. Bansal, S. Mehtani, S. Khosla, A. Dey, B. Gopalan, D. K. Margam,</w:t>
      </w:r>
      <w:r>
        <w:rPr>
          <w:sz w:val="16"/>
        </w:rPr>
        <w:t xml:space="preserve"> </w:t>
      </w:r>
      <w:r>
        <w:rPr>
          <w:sz w:val="16"/>
        </w:rPr>
        <w:t xml:space="preserve">P. Aggarwal, R. T. Nagipogu, S. Dave, S. Gupta, S. C. B. Gali,</w:t>
      </w:r>
      <w:r>
        <w:rPr>
          <w:sz w:val="16"/>
        </w:rPr>
        <w:t xml:space="preserve"> </w:t>
      </w:r>
      <w:r>
        <w:rPr>
          <w:sz w:val="16"/>
        </w:rPr>
        <w:t xml:space="preserve">V. Subramanian, and P. Talukdar,</w:t>
      </w:r>
      <w:r>
        <w:rPr>
          <w:sz w:val="16"/>
        </w:rPr>
        <w:t xml:space="preserve"> </w:t>
      </w:r>
      <w:r>
        <w:rPr>
          <w:sz w:val="16"/>
        </w:rPr>
        <w:t xml:space="preserve">“</w:t>
      </w:r>
      <w:r>
        <w:rPr>
          <w:sz w:val="16"/>
        </w:rPr>
        <w:t xml:space="preserve">MuRIL</w:t>
      </w:r>
      <w:r>
        <w:rPr>
          <w:sz w:val="16"/>
        </w:rPr>
        <w:t xml:space="preserve">: Multilingual representations for</w:t>
      </w:r>
      <w:r>
        <w:rPr>
          <w:sz w:val="16"/>
        </w:rPr>
        <w:t xml:space="preserve"> </w:t>
      </w:r>
      <w:r>
        <w:rPr>
          <w:sz w:val="16"/>
        </w:rPr>
        <w:t xml:space="preserve">I</w:t>
      </w:r>
      <w:r>
        <w:rPr>
          <w:sz w:val="16"/>
        </w:rPr>
        <w:t xml:space="preserve">ndian languages,”</w:t>
      </w:r>
      <w:r>
        <w:rPr>
          <w:sz w:val="16"/>
        </w:rPr>
        <w:t xml:space="preserve"> </w:t>
      </w:r>
      <w:r>
        <w:rPr>
          <w:sz w:val="16"/>
        </w:rPr>
        <w:t xml:space="preserve">arXiv:2103.10730, 2021.</w:t>
      </w:r>
    </w:p>
    <w:p>
      <w:pPr>
        <w:spacing w:before="0" w:after="0" w:line="180" w:lineRule="exact"/>
        <w:ind w:left="200" w:hanging="200"/>
        <w:jc w:val="both"/>
        <w:rPr>
          <w:sz w:val="16"/>
        </w:rPr>
      </w:pPr>
      <w:r>
        <w:rPr>
          <w:sz w:val="16"/>
        </w:rPr>
        <w:t xml:space="preserve">[12]</w:t>
      </w:r>
      <w:r>
        <w:rPr>
          <w:sz w:val="16"/>
        </w:rPr>
        <w:t xml:space="preserve"> </w:t>
      </w:r>
      <w:r>
        <w:rPr>
          <w:sz w:val="16"/>
        </w:rPr>
        <w:t xml:space="preserve">F. Feng, Y. Yang, D. Cer, N. Arivazhagan, and W. Wang,</w:t>
      </w:r>
      <w:r>
        <w:rPr>
          <w:sz w:val="16"/>
        </w:rPr>
        <w:t xml:space="preserve"> </w:t>
      </w:r>
      <w:r>
        <w:rPr>
          <w:sz w:val="16"/>
        </w:rPr>
        <w:t xml:space="preserve">“Language-agnostic</w:t>
      </w:r>
      <w:r>
        <w:rPr>
          <w:sz w:val="16"/>
        </w:rPr>
        <w:t xml:space="preserve"> </w:t>
      </w:r>
      <w:r>
        <w:rPr>
          <w:sz w:val="16"/>
        </w:rPr>
        <w:t xml:space="preserve">BERT</w:t>
      </w:r>
      <w:r>
        <w:rPr>
          <w:sz w:val="16"/>
        </w:rPr>
        <w:t xml:space="preserve"> </w:t>
      </w:r>
      <w:r>
        <w:rPr>
          <w:sz w:val="16"/>
        </w:rPr>
        <w:t xml:space="preserve">sentence embedding,”</w:t>
      </w:r>
      <w:r>
        <w:rPr>
          <w:sz w:val="16"/>
        </w:rPr>
        <w:t xml:space="preserve"> </w:t>
      </w:r>
      <w:r>
        <w:rPr>
          <w:sz w:val="16"/>
        </w:rPr>
        <w:t xml:space="preserve">in</w:t>
      </w:r>
      <w:r>
        <w:rPr>
          <w:sz w:val="16"/>
        </w:rPr>
        <w:t xml:space="preserve"> </w:t>
      </w:r>
      <w:r>
        <w:rPr>
          <w:sz w:val="16"/>
          <w:i/>
          <w:iCs/>
        </w:rPr>
        <w:t xml:space="preserve">Proc. 60th Annual Meeting of the</w:t>
      </w:r>
      <w:r>
        <w:rPr>
          <w:sz w:val="16"/>
          <w:i/>
          <w:iCs/>
        </w:rPr>
        <w:t xml:space="preserve"> </w:t>
      </w:r>
      <w:r>
        <w:rPr>
          <w:sz w:val="16"/>
          <w:i/>
          <w:iCs/>
        </w:rPr>
        <w:t xml:space="preserve">Association for Computational Linguistics (Volume 1: Long Papers)</w:t>
      </w:r>
      <w:r>
        <w:rPr>
          <w:sz w:val="16"/>
        </w:rPr>
        <w:t xml:space="preserve">. Association for Computational Linguistics, 2022,</w:t>
      </w:r>
      <w:r>
        <w:rPr>
          <w:sz w:val="16"/>
        </w:rPr>
        <w:t xml:space="preserve"> </w:t>
      </w:r>
      <w:r>
        <w:rPr>
          <w:sz w:val="16"/>
        </w:rPr>
        <w:t xml:space="preserve">pp. 878–891.</w:t>
      </w:r>
    </w:p>
    <w:p>
      <w:pPr>
        <w:spacing w:before="0" w:after="0" w:line="180" w:lineRule="exact"/>
        <w:ind w:left="200" w:hanging="200"/>
        <w:jc w:val="both"/>
        <w:rPr>
          <w:sz w:val="16"/>
        </w:rPr>
      </w:pPr>
      <w:r>
        <w:rPr>
          <w:sz w:val="16"/>
        </w:rPr>
        <w:t xml:space="preserve">[13]</w:t>
      </w:r>
      <w:r>
        <w:rPr>
          <w:sz w:val="16"/>
        </w:rPr>
        <w:t xml:space="preserve"> </w:t>
      </w:r>
      <w:r>
        <w:rPr>
          <w:sz w:val="16"/>
        </w:rPr>
        <w:t xml:space="preserve">Gemma Team</w:t>
      </w:r>
      <w:r>
        <w:rPr>
          <w:sz w:val="16"/>
        </w:rPr>
        <w:t xml:space="preserve">,</w:t>
      </w:r>
      <w:r>
        <w:rPr>
          <w:sz w:val="16"/>
        </w:rPr>
        <w:t xml:space="preserve"> </w:t>
      </w:r>
      <w:r>
        <w:rPr>
          <w:sz w:val="16"/>
        </w:rPr>
        <w:t xml:space="preserve">“Gemma 3 technical report,”</w:t>
      </w:r>
      <w:r>
        <w:rPr>
          <w:sz w:val="16"/>
        </w:rPr>
        <w:t xml:space="preserve"> </w:t>
      </w:r>
      <w:r>
        <w:rPr>
          <w:sz w:val="16"/>
        </w:rPr>
        <w:t xml:space="preserve">arXiv:2503.19786, 2025.</w:t>
      </w:r>
    </w:p>
    <w:p>
      <w:pPr>
        <w:spacing w:before="0" w:after="0" w:line="180" w:lineRule="exact"/>
        <w:ind w:left="200" w:hanging="200"/>
        <w:jc w:val="both"/>
        <w:rPr>
          <w:sz w:val="16"/>
        </w:rPr>
      </w:pPr>
      <w:r>
        <w:rPr>
          <w:sz w:val="16"/>
        </w:rPr>
        <w:t xml:space="preserve">[14]</w:t>
      </w:r>
      <w:r>
        <w:rPr>
          <w:sz w:val="16"/>
        </w:rPr>
        <w:t xml:space="preserve"> </w:t>
      </w:r>
      <w:r>
        <w:rPr>
          <w:sz w:val="16"/>
        </w:rPr>
        <w:t xml:space="preserve">N. de Silva,</w:t>
      </w:r>
      <w:r>
        <w:rPr>
          <w:sz w:val="16"/>
        </w:rPr>
        <w:t xml:space="preserve"> </w:t>
      </w:r>
      <w:r>
        <w:rPr>
          <w:sz w:val="16"/>
        </w:rPr>
        <w:t xml:space="preserve">“Survey on publicly available</w:t>
      </w:r>
      <w:r>
        <w:rPr>
          <w:sz w:val="16"/>
        </w:rPr>
        <w:t xml:space="preserve"> </w:t>
      </w:r>
      <w:r>
        <w:rPr>
          <w:sz w:val="16"/>
        </w:rPr>
        <w:t xml:space="preserve">S</w:t>
      </w:r>
      <w:r>
        <w:rPr>
          <w:sz w:val="16"/>
        </w:rPr>
        <w:t xml:space="preserve">inhala natural language</w:t>
      </w:r>
      <w:r>
        <w:rPr>
          <w:sz w:val="16"/>
        </w:rPr>
        <w:t xml:space="preserve"> </w:t>
      </w:r>
      <w:r>
        <w:rPr>
          <w:sz w:val="16"/>
        </w:rPr>
        <w:t xml:space="preserve">processing tools and research,”</w:t>
      </w:r>
      <w:r>
        <w:rPr>
          <w:sz w:val="16"/>
        </w:rPr>
        <w:t xml:space="preserve"> </w:t>
      </w:r>
      <w:r>
        <w:rPr>
          <w:sz w:val="16"/>
        </w:rPr>
        <w:t xml:space="preserve">arXiv:1906.02358, 2019.</w:t>
      </w:r>
    </w:p>
    <w:p>
      <w:pPr>
        <w:spacing w:before="0" w:after="0" w:line="180" w:lineRule="exact"/>
        <w:ind w:left="200" w:hanging="200"/>
        <w:jc w:val="both"/>
        <w:rPr>
          <w:sz w:val="16"/>
        </w:rPr>
      </w:pPr>
      <w:r>
        <w:rPr>
          <w:sz w:val="16"/>
        </w:rPr>
        <w:t xml:space="preserve">[15]</w:t>
      </w:r>
      <w:r>
        <w:rPr>
          <w:sz w:val="16"/>
        </w:rPr>
        <w:t xml:space="preserve"> </w:t>
      </w:r>
      <w:r>
        <w:rPr>
          <w:sz w:val="16"/>
        </w:rPr>
        <w:t xml:space="preserve">H. Rathnayake, J. Sumanapala, R. Rukshani, and S. Ranathunga,</w:t>
      </w:r>
      <w:r>
        <w:rPr>
          <w:sz w:val="16"/>
        </w:rPr>
        <w:t xml:space="preserve"> </w:t>
      </w:r>
      <w:r>
        <w:rPr>
          <w:sz w:val="16"/>
        </w:rPr>
        <w:t xml:space="preserve">“Adapter based</w:t>
      </w:r>
      <w:r>
        <w:rPr>
          <w:sz w:val="16"/>
        </w:rPr>
        <w:t xml:space="preserve"> </w:t>
      </w:r>
      <w:r>
        <w:rPr>
          <w:sz w:val="16"/>
        </w:rPr>
        <w:t xml:space="preserve">fine-tuning of pre-trained multilingual language models for code-mixed and</w:t>
      </w:r>
      <w:r>
        <w:rPr>
          <w:sz w:val="16"/>
        </w:rPr>
        <w:t xml:space="preserve"> </w:t>
      </w:r>
      <w:r>
        <w:rPr>
          <w:sz w:val="16"/>
        </w:rPr>
        <w:t xml:space="preserve">code-switched text classification,”</w:t>
      </w:r>
      <w:r>
        <w:rPr>
          <w:sz w:val="16"/>
        </w:rPr>
        <w:t xml:space="preserve"> </w:t>
      </w:r>
      <w:r>
        <w:rPr>
          <w:sz w:val="16"/>
          <w:i/>
          <w:iCs/>
        </w:rPr>
        <w:t xml:space="preserve">Research Square</w:t>
      </w:r>
      <w:r>
        <w:rPr>
          <w:sz w:val="16"/>
        </w:rPr>
        <w:t xml:space="preserve">, 2022, doi:</w:t>
      </w:r>
      <w:r>
        <w:rPr>
          <w:sz w:val="16"/>
        </w:rPr>
        <w:t xml:space="preserve"> </w:t>
      </w:r>
      <w:r>
        <w:rPr>
          <w:sz w:val="16"/>
        </w:rPr>
        <w:t xml:space="preserve">10.21203/rs.3.rs-1564359/v2.</w:t>
      </w:r>
    </w:p>
    <w:p>
      <w:pPr>
        <w:spacing w:before="0" w:after="0" w:line="180" w:lineRule="exact"/>
        <w:ind w:left="200" w:hanging="200"/>
        <w:jc w:val="both"/>
        <w:rPr>
          <w:sz w:val="16"/>
        </w:rPr>
      </w:pPr>
      <w:r>
        <w:rPr>
          <w:sz w:val="16"/>
        </w:rPr>
        <w:t xml:space="preserve">[16]</w:t>
      </w:r>
      <w:r>
        <w:rPr>
          <w:sz w:val="16"/>
        </w:rPr>
        <w:t xml:space="preserve"> </w:t>
      </w:r>
      <w:r>
        <w:rPr>
          <w:sz w:val="16"/>
        </w:rPr>
        <w:t xml:space="preserve">W. P. U. Senevirathna, F. A. Rizvi, A. M. N. H. Adhikari, D. Kasthurirathna,</w:t>
      </w:r>
      <w:r>
        <w:rPr>
          <w:sz w:val="16"/>
        </w:rPr>
        <w:t xml:space="preserve"> </w:t>
      </w:r>
      <w:r>
        <w:rPr>
          <w:sz w:val="16"/>
        </w:rPr>
        <w:t xml:space="preserve">T. Navojith, and L. Abeywardhana,</w:t>
      </w:r>
      <w:r>
        <w:rPr>
          <w:sz w:val="16"/>
        </w:rPr>
        <w:t xml:space="preserve"> </w:t>
      </w:r>
      <w:r>
        <w:rPr>
          <w:sz w:val="16"/>
        </w:rPr>
        <w:t xml:space="preserve">“Enhancing multilingual sentiment analysis</w:t>
      </w:r>
      <w:r>
        <w:rPr>
          <w:sz w:val="16"/>
        </w:rPr>
        <w:t xml:space="preserve"> </w:t>
      </w:r>
      <w:r>
        <w:rPr>
          <w:sz w:val="16"/>
        </w:rPr>
        <w:t xml:space="preserve">with explainability for</w:t>
      </w:r>
      <w:r>
        <w:rPr>
          <w:sz w:val="16"/>
        </w:rPr>
        <w:t xml:space="preserve"> </w:t>
      </w:r>
      <w:r>
        <w:rPr>
          <w:sz w:val="16"/>
        </w:rPr>
        <w:t xml:space="preserve">S</w:t>
      </w:r>
      <w:r>
        <w:rPr>
          <w:sz w:val="16"/>
        </w:rPr>
        <w:t xml:space="preserve">inhala,</w:t>
      </w:r>
      <w:r>
        <w:rPr>
          <w:sz w:val="16"/>
        </w:rPr>
        <w:t xml:space="preserve"> </w:t>
      </w:r>
      <w:r>
        <w:rPr>
          <w:sz w:val="16"/>
        </w:rPr>
        <w:t xml:space="preserve">E</w:t>
      </w:r>
      <w:r>
        <w:rPr>
          <w:sz w:val="16"/>
        </w:rPr>
        <w:t xml:space="preserve">nglish, and code-mixed content,”</w:t>
      </w:r>
      <w:r>
        <w:rPr>
          <w:sz w:val="16"/>
        </w:rPr>
        <w:t xml:space="preserve"> </w:t>
      </w:r>
      <w:r>
        <w:rPr>
          <w:sz w:val="16"/>
        </w:rPr>
        <w:t xml:space="preserve">arXiv:2504.13545, 2025.</w:t>
      </w:r>
    </w:p>
    <w:p>
      <w:pPr>
        <w:spacing w:before="0" w:after="0" w:line="180" w:lineRule="exact"/>
        <w:ind w:left="200" w:hanging="200"/>
        <w:jc w:val="both"/>
        <w:rPr>
          <w:sz w:val="16"/>
        </w:rPr>
      </w:pPr>
      <w:r>
        <w:rPr>
          <w:sz w:val="16"/>
        </w:rPr>
        <w:t xml:space="preserve">[17]</w:t>
      </w:r>
      <w:r>
        <w:rPr>
          <w:sz w:val="16"/>
        </w:rPr>
        <w:t xml:space="preserve"> </w:t>
      </w:r>
      <w:r>
        <w:rPr>
          <w:sz w:val="16"/>
        </w:rPr>
        <w:t xml:space="preserve">H. W. K. Aravinda, R. Sirajudeen, S. Karunathilake, N. de Silva, R. Kaur, A. S.</w:t>
      </w:r>
      <w:r>
        <w:rPr>
          <w:sz w:val="16"/>
        </w:rPr>
        <w:t xml:space="preserve"> </w:t>
      </w:r>
      <w:r>
        <w:rPr>
          <w:sz w:val="16"/>
        </w:rPr>
        <w:t xml:space="preserve">Bhankhar, and S. Ranathunga,</w:t>
      </w:r>
      <w:r>
        <w:rPr>
          <w:sz w:val="16"/>
        </w:rPr>
        <w:t xml:space="preserve"> </w:t>
      </w:r>
      <w:r>
        <w:rPr>
          <w:sz w:val="16"/>
        </w:rPr>
        <w:t xml:space="preserve">“</w:t>
      </w:r>
      <w:r>
        <w:rPr>
          <w:sz w:val="16"/>
        </w:rPr>
        <w:t xml:space="preserve">SinLlama</w:t>
      </w:r>
      <w:r>
        <w:rPr>
          <w:sz w:val="16"/>
        </w:rPr>
        <w:t xml:space="preserve">: A large language model for</w:t>
      </w:r>
      <w:r>
        <w:rPr>
          <w:sz w:val="16"/>
        </w:rPr>
        <w:t xml:space="preserve"> </w:t>
      </w:r>
      <w:r>
        <w:rPr>
          <w:sz w:val="16"/>
        </w:rPr>
        <w:t xml:space="preserve">S</w:t>
      </w:r>
      <w:r>
        <w:rPr>
          <w:sz w:val="16"/>
        </w:rPr>
        <w:t xml:space="preserve">inhala,”</w:t>
      </w:r>
      <w:r>
        <w:rPr>
          <w:sz w:val="16"/>
        </w:rPr>
        <w:t xml:space="preserve"> </w:t>
      </w:r>
      <w:r>
        <w:rPr>
          <w:sz w:val="16"/>
        </w:rPr>
        <w:t xml:space="preserve">arXiv:2508.09115, 2025.</w:t>
      </w:r>
    </w:p>
    <w:p>
      <w:pPr>
        <w:spacing w:before="0" w:after="0" w:line="180" w:lineRule="exact"/>
        <w:ind w:left="200" w:hanging="200"/>
        <w:jc w:val="both"/>
        <w:rPr>
          <w:sz w:val="16"/>
        </w:rPr>
      </w:pPr>
      <w:r>
        <w:rPr>
          <w:sz w:val="16"/>
        </w:rPr>
        <w:t xml:space="preserve">[18]</w:t>
      </w:r>
      <w:r>
        <w:rPr>
          <w:sz w:val="16"/>
        </w:rPr>
        <w:t xml:space="preserve"> </w:t>
      </w:r>
      <w:r>
        <w:rPr>
          <w:sz w:val="16"/>
        </w:rPr>
        <w:t xml:space="preserve">I. Bandaranayake and H. Usoof,</w:t>
      </w:r>
      <w:r>
        <w:rPr>
          <w:sz w:val="16"/>
        </w:rPr>
        <w:t xml:space="preserve"> </w:t>
      </w:r>
      <w:r>
        <w:rPr>
          <w:sz w:val="16"/>
        </w:rPr>
        <w:t xml:space="preserve">“Sentiment analysis of</w:t>
      </w:r>
      <w:r>
        <w:rPr>
          <w:sz w:val="16"/>
        </w:rPr>
        <w:t xml:space="preserve"> </w:t>
      </w:r>
      <w:r>
        <w:rPr>
          <w:sz w:val="16"/>
        </w:rPr>
        <w:t xml:space="preserve">S</w:t>
      </w:r>
      <w:r>
        <w:rPr>
          <w:sz w:val="16"/>
        </w:rPr>
        <w:t xml:space="preserve">inhala news comments</w:t>
      </w:r>
      <w:r>
        <w:rPr>
          <w:sz w:val="16"/>
        </w:rPr>
        <w:t xml:space="preserve"> </w:t>
      </w:r>
      <w:r>
        <w:rPr>
          <w:sz w:val="16"/>
        </w:rPr>
        <w:t xml:space="preserve">using transformers,”</w:t>
      </w:r>
      <w:r>
        <w:rPr>
          <w:sz w:val="16"/>
        </w:rPr>
        <w:t xml:space="preserve"> </w:t>
      </w:r>
      <w:r>
        <w:rPr>
          <w:sz w:val="16"/>
        </w:rPr>
        <w:t xml:space="preserve">in</w:t>
      </w:r>
      <w:r>
        <w:rPr>
          <w:sz w:val="16"/>
        </w:rPr>
        <w:t xml:space="preserve"> </w:t>
      </w:r>
      <w:r>
        <w:rPr>
          <w:sz w:val="16"/>
          <w:i/>
          <w:iCs/>
        </w:rPr>
        <w:t xml:space="preserve">Proc. First Workshop on NLP for Indo-Aryan</w:t>
      </w:r>
      <w:r>
        <w:rPr>
          <w:sz w:val="16"/>
          <w:i/>
          <w:iCs/>
        </w:rPr>
        <w:t xml:space="preserve"> </w:t>
      </w:r>
      <w:r>
        <w:rPr>
          <w:sz w:val="16"/>
          <w:i/>
          <w:iCs/>
        </w:rPr>
        <w:t xml:space="preserve">and Dravidian Languages (IndoNLP)</w:t>
      </w:r>
      <w:r>
        <w:rPr>
          <w:sz w:val="16"/>
        </w:rPr>
        <w:t xml:space="preserve">.</w:t>
      </w:r>
      <w:r>
        <w:rPr>
          <w:sz w:val="16"/>
        </w:rPr>
        <w:t xml:space="preserve"> </w:t>
      </w:r>
      <w:r>
        <w:rPr>
          <w:sz w:val="16"/>
        </w:rPr>
        <w:t xml:space="preserve">Association for Computational Linguistics, 2025, pp. 74–82.</w:t>
      </w:r>
    </w:p>
    <w:p>
      <w:pPr>
        <w:spacing w:before="0" w:after="0" w:line="180" w:lineRule="exact"/>
        <w:ind w:left="200" w:hanging="200"/>
        <w:jc w:val="both"/>
        <w:rPr>
          <w:sz w:val="16"/>
        </w:rPr>
      </w:pPr>
      <w:r>
        <w:rPr>
          <w:sz w:val="16"/>
        </w:rPr>
        <w:t xml:space="preserve">[19]</w:t>
      </w:r>
      <w:r>
        <w:rPr>
          <w:sz w:val="16"/>
        </w:rPr>
        <w:t xml:space="preserve"> </w:t>
      </w:r>
      <w:r>
        <w:rPr>
          <w:sz w:val="16"/>
        </w:rPr>
        <w:t xml:space="preserve">T. G. D. K. Sumanathilaka,</w:t>
      </w:r>
      <w:r>
        <w:rPr>
          <w:sz w:val="16"/>
        </w:rPr>
        <w:t xml:space="preserve"> </w:t>
      </w:r>
      <w:r>
        <w:rPr>
          <w:sz w:val="16"/>
        </w:rPr>
        <w:t xml:space="preserve">“</w:t>
      </w:r>
      <w:r>
        <w:rPr>
          <w:sz w:val="16"/>
        </w:rPr>
        <w:t xml:space="preserve">R</w:t>
      </w:r>
      <w:r>
        <w:rPr>
          <w:sz w:val="16"/>
        </w:rPr>
        <w:t xml:space="preserve">omanized</w:t>
      </w:r>
      <w:r>
        <w:rPr>
          <w:sz w:val="16"/>
        </w:rPr>
        <w:t xml:space="preserve"> </w:t>
      </w:r>
      <w:r>
        <w:rPr>
          <w:sz w:val="16"/>
        </w:rPr>
        <w:t xml:space="preserve">S</w:t>
      </w:r>
      <w:r>
        <w:rPr>
          <w:sz w:val="16"/>
        </w:rPr>
        <w:t xml:space="preserve">inhala to</w:t>
      </w:r>
      <w:r>
        <w:rPr>
          <w:sz w:val="16"/>
        </w:rPr>
        <w:t xml:space="preserve"> </w:t>
      </w:r>
      <w:r>
        <w:rPr>
          <w:sz w:val="16"/>
        </w:rPr>
        <w:t xml:space="preserve">S</w:t>
      </w:r>
      <w:r>
        <w:rPr>
          <w:sz w:val="16"/>
        </w:rPr>
        <w:t xml:space="preserve">inhala reverse</w:t>
      </w:r>
      <w:r>
        <w:rPr>
          <w:sz w:val="16"/>
        </w:rPr>
        <w:t xml:space="preserve"> </w:t>
      </w:r>
      <w:r>
        <w:rPr>
          <w:sz w:val="16"/>
        </w:rPr>
        <w:t xml:space="preserve">transliteration using a hybrid approach,”</w:t>
      </w:r>
      <w:r>
        <w:rPr>
          <w:sz w:val="16"/>
        </w:rPr>
        <w:t xml:space="preserve"> </w:t>
      </w:r>
      <w:r>
        <w:rPr>
          <w:sz w:val="16"/>
        </w:rPr>
        <w:t xml:space="preserve">Master’s thesis, University of</w:t>
      </w:r>
      <w:r>
        <w:rPr>
          <w:sz w:val="16"/>
        </w:rPr>
        <w:t xml:space="preserve"> </w:t>
      </w:r>
      <w:r>
        <w:rPr>
          <w:sz w:val="16"/>
        </w:rPr>
        <w:t xml:space="preserve">Colombo School of Computing, 2022.</w:t>
      </w:r>
    </w:p>
    <w:p>
      <w:pPr>
        <w:spacing w:before="0" w:after="0" w:line="180" w:lineRule="exact"/>
        <w:ind w:left="200" w:hanging="200"/>
        <w:jc w:val="both"/>
        <w:rPr>
          <w:sz w:val="16"/>
        </w:rPr>
      </w:pPr>
      <w:r>
        <w:rPr>
          <w:sz w:val="16"/>
        </w:rPr>
        <w:t xml:space="preserve">[20]</w:t>
      </w:r>
      <w:r>
        <w:rPr>
          <w:sz w:val="16"/>
        </w:rPr>
        <w:t xml:space="preserve"> </w:t>
      </w:r>
      <w:r>
        <w:rPr>
          <w:sz w:val="16"/>
        </w:rPr>
        <w:t xml:space="preserve">S. Perera, L. P. Jayakodi, T. G. D. K. Sumanathilaka, and I. Anuradha,</w:t>
      </w:r>
      <w:r>
        <w:rPr>
          <w:sz w:val="16"/>
        </w:rPr>
        <w:t xml:space="preserve"> </w:t>
      </w:r>
      <w:r>
        <w:rPr>
          <w:sz w:val="16"/>
        </w:rPr>
        <w:t xml:space="preserve">“</w:t>
      </w:r>
      <w:r>
        <w:rPr>
          <w:sz w:val="16"/>
        </w:rPr>
        <w:t xml:space="preserve">IndoNLP</w:t>
      </w:r>
      <w:r>
        <w:rPr>
          <w:sz w:val="16"/>
        </w:rPr>
        <w:t xml:space="preserve"> </w:t>
      </w:r>
      <w:r>
        <w:rPr>
          <w:sz w:val="16"/>
        </w:rPr>
        <w:t xml:space="preserve">2025 shared task:</w:t>
      </w:r>
      <w:r>
        <w:rPr>
          <w:sz w:val="16"/>
        </w:rPr>
        <w:t xml:space="preserve"> </w:t>
      </w:r>
      <w:r>
        <w:rPr>
          <w:sz w:val="16"/>
        </w:rPr>
        <w:t xml:space="preserve">R</w:t>
      </w:r>
      <w:r>
        <w:rPr>
          <w:sz w:val="16"/>
        </w:rPr>
        <w:t xml:space="preserve">omanized</w:t>
      </w:r>
      <w:r>
        <w:rPr>
          <w:sz w:val="16"/>
        </w:rPr>
        <w:t xml:space="preserve"> </w:t>
      </w:r>
      <w:r>
        <w:rPr>
          <w:sz w:val="16"/>
        </w:rPr>
        <w:t xml:space="preserve">S</w:t>
      </w:r>
      <w:r>
        <w:rPr>
          <w:sz w:val="16"/>
        </w:rPr>
        <w:t xml:space="preserve">inhala to</w:t>
      </w:r>
      <w:r>
        <w:rPr>
          <w:sz w:val="16"/>
        </w:rPr>
        <w:t xml:space="preserve"> </w:t>
      </w:r>
      <w:r>
        <w:rPr>
          <w:sz w:val="16"/>
        </w:rPr>
        <w:t xml:space="preserve">S</w:t>
      </w:r>
      <w:r>
        <w:rPr>
          <w:sz w:val="16"/>
        </w:rPr>
        <w:t xml:space="preserve">inhala reverse</w:t>
      </w:r>
      <w:r>
        <w:rPr>
          <w:sz w:val="16"/>
        </w:rPr>
        <w:t xml:space="preserve"> </w:t>
      </w:r>
      <w:r>
        <w:rPr>
          <w:sz w:val="16"/>
        </w:rPr>
        <w:t xml:space="preserve">transliteration using</w:t>
      </w:r>
      <w:r>
        <w:rPr>
          <w:sz w:val="16"/>
        </w:rPr>
        <w:t xml:space="preserve"> </w:t>
      </w:r>
      <w:r>
        <w:rPr>
          <w:sz w:val="16"/>
        </w:rPr>
        <w:t xml:space="preserve">BERT</w:t>
      </w:r>
      <w:r>
        <w:rPr>
          <w:sz w:val="16"/>
        </w:rPr>
        <w:t xml:space="preserve">,”</w:t>
      </w:r>
      <w:r>
        <w:rPr>
          <w:sz w:val="16"/>
        </w:rPr>
        <w:t xml:space="preserve"> </w:t>
      </w:r>
      <w:r>
        <w:rPr>
          <w:sz w:val="16"/>
        </w:rPr>
        <w:t xml:space="preserve">in</w:t>
      </w:r>
      <w:r>
        <w:rPr>
          <w:sz w:val="16"/>
        </w:rPr>
        <w:t xml:space="preserve"> </w:t>
      </w:r>
      <w:r>
        <w:rPr>
          <w:sz w:val="16"/>
          <w:i/>
          <w:iCs/>
        </w:rPr>
        <w:t xml:space="preserve">Proc. First Workshop on NLP for</w:t>
      </w:r>
      <w:r>
        <w:rPr>
          <w:sz w:val="16"/>
          <w:i/>
          <w:iCs/>
        </w:rPr>
        <w:t xml:space="preserve"> </w:t>
      </w:r>
      <w:r>
        <w:rPr>
          <w:sz w:val="16"/>
          <w:i/>
          <w:iCs/>
        </w:rPr>
        <w:t xml:space="preserve">Indo-Aryan and Dravidian Languages (IndoNLP)</w:t>
      </w:r>
      <w:r>
        <w:rPr>
          <w:sz w:val="16"/>
        </w:rPr>
        <w:t xml:space="preserve">. Association for Computational Linguistics, 2025, pp. 135–140.</w:t>
      </w:r>
    </w:p>
    <w:p>
      <w:pPr>
        <w:spacing w:before="0" w:after="0" w:line="180" w:lineRule="exact"/>
        <w:ind w:left="200" w:hanging="200"/>
        <w:jc w:val="both"/>
        <w:rPr>
          <w:sz w:val="16"/>
        </w:rPr>
      </w:pPr>
      <w:r>
        <w:rPr>
          <w:sz w:val="16"/>
        </w:rPr>
        <w:t xml:space="preserve">[21]</w:t>
      </w:r>
      <w:r>
        <w:rPr>
          <w:sz w:val="16"/>
        </w:rPr>
        <w:t xml:space="preserve"> </w:t>
      </w:r>
      <w:r>
        <w:rPr>
          <w:sz w:val="16"/>
        </w:rPr>
        <w:t xml:space="preserve">D. Sumanathilaka, S. Perera, S. Dharmasiri, M. Athukorala, A. D. Herath,</w:t>
      </w:r>
      <w:r>
        <w:rPr>
          <w:sz w:val="16"/>
        </w:rPr>
        <w:t xml:space="preserve"> </w:t>
      </w:r>
      <w:r>
        <w:rPr>
          <w:sz w:val="16"/>
        </w:rPr>
        <w:t xml:space="preserve">R. Dias, P. Gamage, R. Weerasinghe, and Y. H. P. P. Priyadarshana,</w:t>
      </w:r>
      <w:r>
        <w:rPr>
          <w:sz w:val="16"/>
        </w:rPr>
        <w:t xml:space="preserve"> </w:t>
      </w:r>
      <w:r>
        <w:rPr>
          <w:sz w:val="16"/>
        </w:rPr>
        <w:t xml:space="preserve">“</w:t>
      </w:r>
      <w:r>
        <w:rPr>
          <w:sz w:val="16"/>
        </w:rPr>
        <w:t xml:space="preserve">Swa-bhasha</w:t>
      </w:r>
      <w:r>
        <w:rPr>
          <w:sz w:val="16"/>
        </w:rPr>
        <w:t xml:space="preserve"> </w:t>
      </w:r>
      <w:r>
        <w:rPr>
          <w:sz w:val="16"/>
        </w:rPr>
        <w:t xml:space="preserve">resource hub:</w:t>
      </w:r>
      <w:r>
        <w:rPr>
          <w:sz w:val="16"/>
        </w:rPr>
        <w:t xml:space="preserve"> </w:t>
      </w:r>
      <w:r>
        <w:rPr>
          <w:sz w:val="16"/>
        </w:rPr>
        <w:t xml:space="preserve">R</w:t>
      </w:r>
      <w:r>
        <w:rPr>
          <w:sz w:val="16"/>
        </w:rPr>
        <w:t xml:space="preserve">omanized</w:t>
      </w:r>
      <w:r>
        <w:rPr>
          <w:sz w:val="16"/>
        </w:rPr>
        <w:t xml:space="preserve"> </w:t>
      </w:r>
      <w:r>
        <w:rPr>
          <w:sz w:val="16"/>
        </w:rPr>
        <w:t xml:space="preserve">S</w:t>
      </w:r>
      <w:r>
        <w:rPr>
          <w:sz w:val="16"/>
        </w:rPr>
        <w:t xml:space="preserve">inhala to</w:t>
      </w:r>
      <w:r>
        <w:rPr>
          <w:sz w:val="16"/>
        </w:rPr>
        <w:t xml:space="preserve"> </w:t>
      </w:r>
      <w:r>
        <w:rPr>
          <w:sz w:val="16"/>
        </w:rPr>
        <w:t xml:space="preserve">S</w:t>
      </w:r>
      <w:r>
        <w:rPr>
          <w:sz w:val="16"/>
        </w:rPr>
        <w:t xml:space="preserve">inhala</w:t>
      </w:r>
      <w:r>
        <w:rPr>
          <w:sz w:val="16"/>
        </w:rPr>
        <w:t xml:space="preserve"> </w:t>
      </w:r>
      <w:r>
        <w:rPr>
          <w:sz w:val="16"/>
        </w:rPr>
        <w:t xml:space="preserve">transliteration systems and data resources,”</w:t>
      </w:r>
      <w:r>
        <w:rPr>
          <w:sz w:val="16"/>
        </w:rPr>
        <w:t xml:space="preserve"> </w:t>
      </w:r>
      <w:r>
        <w:rPr>
          <w:sz w:val="16"/>
        </w:rPr>
        <w:t xml:space="preserve">arXiv:2507.09245, 2026.</w:t>
      </w:r>
    </w:p>
    <w:p>
      <w:pPr>
        <w:spacing w:before="0" w:after="0" w:line="180" w:lineRule="exact"/>
        <w:ind w:left="200" w:hanging="200"/>
        <w:jc w:val="both"/>
        <w:rPr>
          <w:sz w:val="16"/>
        </w:rPr>
      </w:pPr>
      <w:r>
        <w:rPr>
          <w:sz w:val="16"/>
        </w:rPr>
        <w:t xml:space="preserve">[22]</w:t>
      </w:r>
      <w:r>
        <w:rPr>
          <w:sz w:val="16"/>
        </w:rPr>
        <w:t xml:space="preserve"> </w:t>
      </w:r>
      <w:r>
        <w:rPr>
          <w:sz w:val="16"/>
        </w:rPr>
        <w:t xml:space="preserve">C. G. Northcutt, A. Athalye, and J. Mueller,</w:t>
      </w:r>
      <w:r>
        <w:rPr>
          <w:sz w:val="16"/>
        </w:rPr>
        <w:t xml:space="preserve"> </w:t>
      </w:r>
      <w:r>
        <w:rPr>
          <w:sz w:val="16"/>
        </w:rPr>
        <w:t xml:space="preserve">“Pervasive label errors in test</w:t>
      </w:r>
      <w:r>
        <w:rPr>
          <w:sz w:val="16"/>
        </w:rPr>
        <w:t xml:space="preserve"> </w:t>
      </w:r>
      <w:r>
        <w:rPr>
          <w:sz w:val="16"/>
        </w:rPr>
        <w:t xml:space="preserve">sets destabilize machine learning benchmarks,”</w:t>
      </w:r>
      <w:r>
        <w:rPr>
          <w:sz w:val="16"/>
        </w:rPr>
        <w:t xml:space="preserve"> </w:t>
      </w:r>
      <w:r>
        <w:rPr>
          <w:sz w:val="16"/>
        </w:rPr>
        <w:t xml:space="preserve">in</w:t>
      </w:r>
      <w:r>
        <w:rPr>
          <w:sz w:val="16"/>
        </w:rPr>
        <w:t xml:space="preserve"> </w:t>
      </w:r>
      <w:r>
        <w:rPr>
          <w:sz w:val="16"/>
          <w:i/>
          <w:iCs/>
        </w:rPr>
        <w:t xml:space="preserve">Proceedings of the</w:t>
      </w:r>
      <w:r>
        <w:rPr>
          <w:sz w:val="16"/>
          <w:i/>
          <w:iCs/>
        </w:rPr>
        <w:t xml:space="preserve"> </w:t>
      </w:r>
      <w:r>
        <w:rPr>
          <w:sz w:val="16"/>
          <w:i/>
          <w:iCs/>
        </w:rPr>
        <w:t xml:space="preserve">Neural Information Processing Systems Track on Datasets and Benchmarks</w:t>
      </w:r>
      <w:r>
        <w:rPr>
          <w:sz w:val="16"/>
        </w:rPr>
        <w:t xml:space="preserve">,</w:t>
      </w:r>
      <w:r>
        <w:rPr>
          <w:sz w:val="16"/>
        </w:rPr>
        <w:t xml:space="preserve"> </w:t>
      </w:r>
      <w:r>
        <w:rPr>
          <w:sz w:val="16"/>
        </w:rPr>
        <w:t xml:space="preserve">2021.</w:t>
      </w:r>
    </w:p>
    <w:p>
      <w:pPr>
        <w:spacing w:before="0" w:after="0" w:line="180" w:lineRule="exact"/>
        <w:ind w:left="200" w:hanging="200"/>
        <w:jc w:val="both"/>
        <w:rPr>
          <w:sz w:val="16"/>
        </w:rPr>
      </w:pPr>
      <w:r>
        <w:rPr>
          <w:sz w:val="16"/>
        </w:rPr>
        <w:t xml:space="preserve">[23]</w:t>
      </w:r>
      <w:r>
        <w:rPr>
          <w:sz w:val="16"/>
        </w:rPr>
        <w:t xml:space="preserve"> </w:t>
      </w:r>
      <w:r>
        <w:rPr>
          <w:sz w:val="16"/>
        </w:rPr>
        <w:t xml:space="preserve">D. R. Cox and W. L. Smith,</w:t>
      </w:r>
      <w:r>
        <w:rPr>
          <w:sz w:val="16"/>
        </w:rPr>
        <w:t xml:space="preserve"> </w:t>
      </w:r>
      <w:r>
        <w:rPr>
          <w:sz w:val="16"/>
          <w:i/>
          <w:iCs/>
        </w:rPr>
        <w:t xml:space="preserve">Queues</w:t>
      </w:r>
      <w:r>
        <w:rPr>
          <w:sz w:val="16"/>
        </w:rPr>
        <w:t xml:space="preserve">. London: Methuen / Chapman and Hall, 1961.</w:t>
      </w:r>
    </w:p>
    <w:p>
      <w:pPr>
        <w:spacing w:before="0" w:after="0" w:line="180" w:lineRule="exact"/>
        <w:ind w:left="200" w:hanging="200"/>
        <w:jc w:val="both"/>
        <w:rPr>
          <w:sz w:val="16"/>
        </w:rPr>
      </w:pPr>
      <w:r>
        <w:rPr>
          <w:sz w:val="16"/>
        </w:rPr>
        <w:t xml:space="preserve">[24]</w:t>
      </w:r>
      <w:r>
        <w:rPr>
          <w:sz w:val="16"/>
        </w:rPr>
        <w:t xml:space="preserve"> </w:t>
      </w:r>
      <w:r>
        <w:rPr>
          <w:sz w:val="16"/>
        </w:rPr>
        <w:t xml:space="preserve">Gemini Team</w:t>
      </w:r>
      <w:r>
        <w:rPr>
          <w:sz w:val="16"/>
        </w:rPr>
        <w:t xml:space="preserve">,</w:t>
      </w:r>
      <w:r>
        <w:rPr>
          <w:sz w:val="16"/>
        </w:rPr>
        <w:t xml:space="preserve"> </w:t>
      </w:r>
      <w:r>
        <w:rPr>
          <w:sz w:val="16"/>
        </w:rPr>
        <w:t xml:space="preserve">“Gemini: A family of highly capable multimodal models,”</w:t>
      </w:r>
      <w:r>
        <w:rPr>
          <w:sz w:val="16"/>
        </w:rPr>
        <w:t xml:space="preserve"> </w:t>
      </w:r>
      <w:r>
        <w:rPr>
          <w:sz w:val="16"/>
        </w:rPr>
        <w:t xml:space="preserve">arXiv:2312.11805, 2023.</w:t>
      </w:r>
    </w:p>
    <w:p>
      <w:pPr>
        <w:spacing w:before="0" w:after="0" w:line="180" w:lineRule="exact"/>
        <w:ind w:left="200" w:hanging="200"/>
        <w:jc w:val="both"/>
        <w:rPr>
          <w:sz w:val="16"/>
        </w:rPr>
      </w:pPr>
      <w:r>
        <w:rPr>
          <w:sz w:val="16"/>
        </w:rPr>
        <w:t xml:space="preserve">[25]</w:t>
      </w:r>
      <w:r>
        <w:rPr>
          <w:sz w:val="16"/>
        </w:rPr>
        <w:t xml:space="preserve"> </w:t>
      </w:r>
      <w:r>
        <w:rPr>
          <w:sz w:val="16"/>
        </w:rPr>
        <w:t xml:space="preserve">D. H. Wolpert,</w:t>
      </w:r>
      <w:r>
        <w:rPr>
          <w:sz w:val="16"/>
        </w:rPr>
        <w:t xml:space="preserve"> </w:t>
      </w:r>
      <w:r>
        <w:rPr>
          <w:sz w:val="16"/>
        </w:rPr>
        <w:t xml:space="preserve">“Stacked generalization,”</w:t>
      </w:r>
      <w:r>
        <w:rPr>
          <w:sz w:val="16"/>
        </w:rPr>
        <w:t xml:space="preserve"> </w:t>
      </w:r>
      <w:r>
        <w:rPr>
          <w:sz w:val="16"/>
          <w:i/>
          <w:iCs/>
        </w:rPr>
        <w:t xml:space="preserve">Neural Networks</w:t>
      </w:r>
      <w:r>
        <w:rPr>
          <w:sz w:val="16"/>
        </w:rPr>
        <w:t xml:space="preserve">, vol. 5,</w:t>
      </w:r>
      <w:r>
        <w:rPr>
          <w:sz w:val="16"/>
        </w:rPr>
        <w:t xml:space="preserve"> </w:t>
      </w:r>
      <w:r>
        <w:rPr>
          <w:sz w:val="16"/>
        </w:rPr>
        <w:t xml:space="preserve">no. 2, pp. 241–259, 1992.</w:t>
      </w:r>
    </w:p>
    <w:p>
      <w:pPr>
        <w:spacing w:before="0" w:after="0" w:line="180" w:lineRule="exact"/>
        <w:ind w:left="200" w:hanging="200"/>
        <w:jc w:val="both"/>
        <w:rPr>
          <w:sz w:val="16"/>
        </w:rPr>
      </w:pPr>
      <w:r>
        <w:rPr>
          <w:sz w:val="16"/>
        </w:rPr>
        <w:t xml:space="preserve">[26]</w:t>
      </w:r>
      <w:r>
        <w:rPr>
          <w:sz w:val="16"/>
        </w:rPr>
        <w:t xml:space="preserve"> </w:t>
      </w:r>
      <w:r>
        <w:rPr>
          <w:sz w:val="16"/>
        </w:rPr>
        <w:t xml:space="preserve">K. Dembczy</w:t>
      </w:r>
      <w:r>
        <w:rPr>
          <w:sz w:val="16"/>
        </w:rPr>
        <w:t xml:space="preserve">ń</w:t>
      </w:r>
      <w:r>
        <w:rPr>
          <w:sz w:val="16"/>
        </w:rPr>
        <w:t xml:space="preserve">ski, W. Cheng, and E. H</w:t>
      </w:r>
      <w:r>
        <w:rPr>
          <w:sz w:val="16"/>
        </w:rPr>
        <w:t xml:space="preserve">ü</w:t>
      </w:r>
      <w:r>
        <w:rPr>
          <w:sz w:val="16"/>
        </w:rPr>
        <w:t xml:space="preserve">llermeier,</w:t>
      </w:r>
      <w:r>
        <w:rPr>
          <w:sz w:val="16"/>
        </w:rPr>
        <w:t xml:space="preserve"> </w:t>
      </w:r>
      <w:r>
        <w:rPr>
          <w:sz w:val="16"/>
        </w:rPr>
        <w:t xml:space="preserve">“Bayes optimal</w:t>
      </w:r>
      <w:r>
        <w:rPr>
          <w:sz w:val="16"/>
        </w:rPr>
        <w:t xml:space="preserve"> </w:t>
      </w:r>
      <w:r>
        <w:rPr>
          <w:sz w:val="16"/>
        </w:rPr>
        <w:t xml:space="preserve">multilabel classification via probabilistic classifier chains,”</w:t>
      </w:r>
      <w:r>
        <w:rPr>
          <w:sz w:val="16"/>
        </w:rPr>
        <w:t xml:space="preserve"> </w:t>
      </w:r>
      <w:r>
        <w:rPr>
          <w:sz w:val="16"/>
        </w:rPr>
        <w:t xml:space="preserve">in</w:t>
      </w:r>
      <w:r>
        <w:rPr>
          <w:sz w:val="16"/>
        </w:rPr>
        <w:t xml:space="preserve"> </w:t>
      </w:r>
      <w:r>
        <w:rPr>
          <w:sz w:val="16"/>
          <w:i/>
          <w:iCs/>
        </w:rPr>
        <w:t xml:space="preserve">Proceedings of the 27th International Conference on Machine Learning</w:t>
      </w:r>
      <w:r>
        <w:rPr>
          <w:sz w:val="16"/>
          <w:i/>
          <w:iCs/>
        </w:rPr>
        <w:t xml:space="preserve"> </w:t>
      </w:r>
      <w:r>
        <w:rPr>
          <w:sz w:val="16"/>
          <w:i/>
          <w:iCs/>
        </w:rPr>
        <w:t xml:space="preserve">(ICML)</w:t>
      </w:r>
      <w:r>
        <w:rPr>
          <w:sz w:val="16"/>
        </w:rPr>
        <w:t xml:space="preserve">, 2010, pp. 279–286.</w:t>
      </w:r>
    </w:p>
    <w:p>
      <w:pPr>
        <w:spacing w:before="0" w:after="0" w:line="180" w:lineRule="exact"/>
        <w:ind w:left="200" w:hanging="200"/>
        <w:jc w:val="both"/>
        <w:rPr>
          <w:sz w:val="16"/>
        </w:rPr>
      </w:pPr>
      <w:r>
        <w:rPr>
          <w:sz w:val="16"/>
        </w:rPr>
        <w:t xml:space="preserve">[27]</w:t>
      </w:r>
      <w:r>
        <w:rPr>
          <w:sz w:val="16"/>
        </w:rPr>
        <w:t xml:space="preserve"> </w:t>
      </w:r>
      <w:r>
        <w:rPr>
          <w:sz w:val="16"/>
        </w:rPr>
        <w:t xml:space="preserve">C. Guo, G. Pleiss, Y. Sun, and K. Q. Weinberger,</w:t>
      </w:r>
      <w:r>
        <w:rPr>
          <w:sz w:val="16"/>
        </w:rPr>
        <w:t xml:space="preserve"> </w:t>
      </w:r>
      <w:r>
        <w:rPr>
          <w:sz w:val="16"/>
        </w:rPr>
        <w:t xml:space="preserve">“On calibration of modern</w:t>
      </w:r>
      <w:r>
        <w:rPr>
          <w:sz w:val="16"/>
        </w:rPr>
        <w:t xml:space="preserve"> </w:t>
      </w:r>
      <w:r>
        <w:rPr>
          <w:sz w:val="16"/>
        </w:rPr>
        <w:t xml:space="preserve">neural networks,”</w:t>
      </w:r>
      <w:r>
        <w:rPr>
          <w:sz w:val="16"/>
        </w:rPr>
        <w:t xml:space="preserve"> </w:t>
      </w:r>
      <w:r>
        <w:rPr>
          <w:sz w:val="16"/>
        </w:rPr>
        <w:t xml:space="preserve">in</w:t>
      </w:r>
      <w:r>
        <w:rPr>
          <w:sz w:val="16"/>
        </w:rPr>
        <w:t xml:space="preserve"> </w:t>
      </w:r>
      <w:r>
        <w:rPr>
          <w:sz w:val="16"/>
          <w:i/>
          <w:iCs/>
        </w:rPr>
        <w:t xml:space="preserve">Proc. 34th Int. Conf. Machine Learning (ICML)</w:t>
      </w:r>
      <w:r>
        <w:rPr>
          <w:sz w:val="16"/>
        </w:rPr>
        <w:t xml:space="preserve">,</w:t>
      </w:r>
      <w:r>
        <w:rPr>
          <w:sz w:val="16"/>
        </w:rPr>
        <w:t xml:space="preserve"> </w:t>
      </w:r>
      <w:r>
        <w:rPr>
          <w:sz w:val="16"/>
        </w:rPr>
        <w:t xml:space="preserve">2017, pp. 1321–1330.</w:t>
      </w:r>
    </w:p>
    <w:bookmarkEnd w:id="39"/>
    <w:sectPr>
      <w:type w:val="continuous"/>
      <w:pgSz w:w="11906" w:h="16838"/>
      <w:pgMar w:top="960" w:right="810" w:bottom="1800" w:left="810" w:header="0" w:footer="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sz w:val="20"/>
        <w:szCs w:val="20"/>
      </w:rPr>
    </w:rPrDefault>
    <w:pPrDefault>
      <w:pPr>
        <w:spacing w:before="0" w:after="0" w:line="230" w:lineRule="exact"/>
        <w:jc w:val="both"/>
      </w:pPr>
    </w:pPrDefault>
  </w:docDefaults>
  <w:latentStyles w:count="276" w:defLockedState="0" w:defQFormat="0" w:defSemiHidden="0" w:defUIPriority="0" w:defUnhideWhenUsed="0"/>
  <w:style w:default="1" w:styleId="Normal" w:type="paragraph">
    <w:name w:val="Normal"/>
    <w:qFormat/>
  </w:style>
  <w:style w:type="paragraph" w:styleId="BodyText">
    <w:name w:val="BodyText"/>
    <w:basedOn w:val="Normal"/>
    <w:pPr>
      <w:spacing w:before="0" w:after="0" w:line="230" w:lineRule="exact"/>
      <w:ind w:firstLine="180"/>
      <w:jc w:val="both"/>
    </w:pPr>
    <w:rPr>
      <w:rFonts w:ascii="Times New Roman" w:hAnsi="Times New Roman" w:cs="Times New Roman"/>
      <w:sz w:val="20"/>
    </w:rPr>
  </w:style>
  <w:style w:type="paragraph" w:styleId="FirstParagraph">
    <w:name w:val="FirstParagraph"/>
    <w:basedOn w:val="Normal"/>
    <w:pPr>
      <w:spacing w:before="0" w:after="0" w:line="230" w:lineRule="exact"/>
      <w:ind w:firstLine="180"/>
      <w:jc w:val="both"/>
    </w:pPr>
    <w:rPr>
      <w:rFonts w:ascii="Times New Roman" w:hAnsi="Times New Roman" w:cs="Times New Roman"/>
      <w:sz w:val="20"/>
    </w:rPr>
  </w:style>
  <w:style w:type="paragraph" w:styleId="Compact">
    <w:name w:val="Compact"/>
    <w:basedOn w:val="Normal"/>
    <w:pPr>
      <w:spacing w:before="0" w:after="0" w:line="160" w:lineRule="exact"/>
      <w:ind w:firstLine="0"/>
      <w:jc w:val="left"/>
    </w:pPr>
    <w:rPr>
      <w:rFonts w:ascii="Times New Roman" w:hAnsi="Times New Roman" w:cs="Times New Roman"/>
      <w:sz w:val="14"/>
    </w:rPr>
  </w:style>
  <w:style w:type="paragraph" w:styleId="Title">
    <w:name w:val="Title"/>
    <w:basedOn w:val="Normal"/>
    <w:pPr>
      <w:spacing w:before="0" w:after="300" w:line="540" w:lineRule="exact"/>
      <w:jc w:val="center"/>
    </w:pPr>
    <w:rPr>
      <w:rFonts w:ascii="Times New Roman" w:hAnsi="Times New Roman" w:cs="Times New Roman"/>
      <w:sz w:val="48"/>
    </w:rPr>
  </w:style>
  <w:style w:customStyle="1" w:styleId="TitleChar" w:type="character">
    <w:name w:val="Title Char"/>
    <w:basedOn w:val="DefaultParagraphFont"/>
    <w:link w:val="Title"/>
    <w:uiPriority w:val="10"/>
    <w:rsid w:val="00A10FD9"/>
    <w:rPr>
      <w:rFonts w:ascii="Times New Roman" w:hAnsi="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styleId="Heading1">
    <w:name w:val="Heading1"/>
    <w:basedOn w:val="Normal"/>
    <w:pPr>
      <w:keepNext/>
      <w:spacing w:before="120" w:after="70"/>
      <w:jc w:val="center"/>
      <w:ind w:firstLine="0"/>
    </w:pPr>
    <w:rPr>
      <w:rFonts w:ascii="Times New Roman" w:hAnsi="Times New Roman" w:cs="Times New Roman"/>
      <w:sz w:val="20"/>
      <w:smallCaps/>
    </w:rPr>
  </w:style>
  <w:style w:type="paragraph" w:styleId="Heading2">
    <w:name w:val="Heading2"/>
    <w:basedOn w:val="Normal"/>
    <w:pPr>
      <w:keepNext/>
      <w:spacing w:before="100" w:after="60"/>
      <w:jc w:val="left"/>
      <w:ind w:firstLine="0"/>
    </w:pPr>
    <w:rPr>
      <w:rFonts w:ascii="Times New Roman" w:hAnsi="Times New Roman" w:cs="Times New Roman"/>
      <w:sz w:val="20"/>
      <w: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color w:val="000000"/>
    </w:rPr>
  </w:style>
  <w:style w:customStyle="1" w:styleId="Heading1Char" w:type="character">
    <w:name w:val="Heading 1 Char"/>
    <w:basedOn w:val="DefaultParagraphFont"/>
    <w:link w:val="Heading1"/>
    <w:uiPriority w:val="9"/>
    <w:rsid w:val="00A10FD9"/>
    <w:rPr>
      <w:rFonts w:ascii="Times New Roman" w:hAnsi="Times New Roman" w:cs="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i/>
      <w:iCs/>
      <w:color w:val="000000"/>
    </w:rPr>
  </w:style>
  <w:style w:customStyle="1" w:styleId="Heading5Char" w:type="character">
    <w:name w:val="Heading 5 Char"/>
    <w:basedOn w:val="DefaultParagraphFont"/>
    <w:link w:val="Heading5"/>
    <w:uiPriority w:val="9"/>
    <w:semiHidden/>
    <w:rsid w:val="00A10FD9"/>
    <w:rPr>
      <w:rFonts w:ascii="Times New Roman" w:hAnsi="Times New Roman" w:cs="Times New Roman"/>
      <w:color w:val="000000"/>
    </w:rPr>
  </w:style>
  <w:style w:customStyle="1" w:styleId="Heading6Char" w:type="character">
    <w:name w:val="Heading 6 Char"/>
    <w:basedOn w:val="DefaultParagraphFont"/>
    <w:link w:val="Heading6"/>
    <w:uiPriority w:val="9"/>
    <w:semiHidden/>
    <w:rsid w:val="00A10FD9"/>
    <w:rPr>
      <w:rFonts w:ascii="Times New Roman" w:hAnsi="Times New Roman" w:cs="Times New Roman"/>
      <w:i/>
      <w:iCs/>
      <w:color w:val="000000"/>
    </w:rPr>
  </w:style>
  <w:style w:customStyle="1" w:styleId="Heading7Char" w:type="character">
    <w:name w:val="Heading 7 Char"/>
    <w:basedOn w:val="DefaultParagraphFont"/>
    <w:link w:val="Heading7"/>
    <w:uiPriority w:val="9"/>
    <w:semiHidden/>
    <w:rsid w:val="00A10FD9"/>
    <w:rPr>
      <w:rFonts w:ascii="Times New Roman" w:hAnsi="Times New Roman" w:cs="Times New Roman"/>
      <w:color w:val="000000"/>
    </w:rPr>
  </w:style>
  <w:style w:customStyle="1" w:styleId="Heading8Char" w:type="character">
    <w:name w:val="Heading 8 Char"/>
    <w:basedOn w:val="DefaultParagraphFont"/>
    <w:link w:val="Heading8"/>
    <w:uiPriority w:val="9"/>
    <w:semiHidden/>
    <w:rsid w:val="00A10FD9"/>
    <w:rPr>
      <w:rFonts w:ascii="Times New Roman" w:hAnsi="Times New Roman" w:cs="Times New Roman"/>
      <w:i/>
      <w:iCs/>
      <w:color w:val="000000"/>
    </w:rPr>
  </w:style>
  <w:style w:customStyle="1" w:styleId="Heading9Char" w:type="character">
    <w:name w:val="Heading 9 Char"/>
    <w:basedOn w:val="DefaultParagraphFont"/>
    <w:link w:val="Heading9"/>
    <w:uiPriority w:val="9"/>
    <w:semiHidden/>
    <w:rsid w:val="00A10FD9"/>
    <w:rPr>
      <w:rFonts w:ascii="Times New Roman" w:hAnsi="Times New Roman" w:cs="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type="paragraph" w:styleId="Caption">
    <w:name w:val="Caption"/>
    <w:basedOn w:val="Normal"/>
    <w:pPr>
      <w:keepNext/>
      <w:spacing w:before="70" w:after="60" w:line="180" w:lineRule="exact"/>
      <w:jc w:val="center"/>
      <w:ind w:firstLine="0"/>
    </w:pPr>
    <w:rPr>
      <w:rFonts w:ascii="Times New Roman" w:hAnsi="Times New Roman" w:cs="Times New Roman"/>
      <w:sz w:val="16"/>
    </w:rPr>
  </w:style>
  <w:style w:type="paragraph" w:styleId="TableCaption">
    <w:name w:val="TableCaption"/>
    <w:basedOn w:val="Normal"/>
    <w:pPr>
      <w:keepNext/>
      <w:spacing w:before="70" w:after="60" w:line="180" w:lineRule="exact"/>
      <w:jc w:val="center"/>
      <w:ind w:firstLine="0"/>
    </w:pPr>
    <w:rPr>
      <w:rFonts w:ascii="Times New Roman" w:hAnsi="Times New Roman" w:cs="Times New Roman"/>
      <w:sz w:val="16"/>
    </w:rPr>
  </w:style>
  <w:style w:type="paragraph" w:styleId="ImageCaption">
    <w:name w:val="ImageCaption"/>
    <w:basedOn w:val="Normal"/>
    <w:pPr>
      <w:keepNext/>
      <w:spacing w:before="70" w:after="60" w:line="180" w:lineRule="exact"/>
      <w:jc w:val="center"/>
      <w:ind w:firstLine="0"/>
    </w:pPr>
    <w:rPr>
      <w:rFonts w:ascii="Times New Roman" w:hAnsi="Times New Roman" w:cs="Times New Roman"/>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dc:title>Classification and Order Prediction of Financial Support Tickets Across Sinhala, Tamil, and Romanized Scripts</dc:title>
</cp:coreProperties>
</file>

<file path=docProps/custom.xml><?xml version="1.0" encoding="utf-8"?>
<Properties xmlns="http://schemas.openxmlformats.org/officeDocument/2006/custom-properties" xmlns:vt="http://schemas.openxmlformats.org/officeDocument/2006/docPropsVTypes"/>
</file>