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E272E" w14:textId="0CF52120" w:rsidR="00AF0CB2" w:rsidRPr="00AF0CB2" w:rsidRDefault="00AF0CB2" w:rsidP="00AF0CB2">
      <w:pPr>
        <w:pStyle w:val="Heading1"/>
        <w:jc w:val="center"/>
      </w:pPr>
      <w:r w:rsidRPr="00AF0CB2">
        <w:t>EV Analysis | Washington State</w:t>
      </w:r>
    </w:p>
    <w:p w14:paraId="504D29C5" w14:textId="77777777" w:rsidR="00AF0CB2" w:rsidRDefault="00AF0CB2" w:rsidP="00AF0CB2">
      <w:pPr>
        <w:rPr>
          <w:b/>
          <w:bCs/>
        </w:rPr>
      </w:pPr>
    </w:p>
    <w:p w14:paraId="01E1DD31" w14:textId="33048ACA" w:rsidR="00AF0CB2" w:rsidRPr="00AF0CB2" w:rsidRDefault="00AF0CB2" w:rsidP="00AF0CB2">
      <w:pPr>
        <w:rPr>
          <w:b/>
          <w:bCs/>
          <w:sz w:val="28"/>
          <w:szCs w:val="28"/>
        </w:rPr>
      </w:pPr>
      <w:r w:rsidRPr="00AF0CB2">
        <w:rPr>
          <w:b/>
          <w:bCs/>
          <w:sz w:val="28"/>
          <w:szCs w:val="28"/>
        </w:rPr>
        <w:t>Project Overview</w:t>
      </w:r>
    </w:p>
    <w:p w14:paraId="50EF4D3C" w14:textId="77777777" w:rsidR="00AF0CB2" w:rsidRPr="00AF0CB2" w:rsidRDefault="00AF0CB2" w:rsidP="00AF0CB2">
      <w:pPr>
        <w:rPr>
          <w:sz w:val="28"/>
          <w:szCs w:val="28"/>
        </w:rPr>
      </w:pPr>
      <w:r w:rsidRPr="00AF0CB2">
        <w:rPr>
          <w:sz w:val="28"/>
          <w:szCs w:val="28"/>
        </w:rPr>
        <w:t>This Tableau dashboard provides comprehensive analysis of Electric Vehicle (EV) adoption and distribution patterns across Washington State. The visualization combines geographic mapping, temporal trends, manufacturer analysis, and demographic insights to deliver a complete picture of the electric vehicle landscape in one of America's most EV-friendly states.</w:t>
      </w:r>
    </w:p>
    <w:p w14:paraId="0772C5A1" w14:textId="77777777" w:rsidR="00AF0CB2" w:rsidRPr="00AF0CB2" w:rsidRDefault="00AF0CB2" w:rsidP="00AF0CB2">
      <w:pPr>
        <w:rPr>
          <w:b/>
          <w:bCs/>
          <w:sz w:val="28"/>
          <w:szCs w:val="28"/>
        </w:rPr>
      </w:pPr>
      <w:r w:rsidRPr="00AF0CB2">
        <w:rPr>
          <w:b/>
          <w:bCs/>
          <w:sz w:val="28"/>
          <w:szCs w:val="28"/>
        </w:rPr>
        <w:t>Dashboard Architecture &amp; Data Insights</w:t>
      </w:r>
    </w:p>
    <w:p w14:paraId="591458E6" w14:textId="77777777" w:rsidR="00AF0CB2" w:rsidRPr="00AF0CB2" w:rsidRDefault="00AF0CB2" w:rsidP="00AF0CB2">
      <w:pPr>
        <w:rPr>
          <w:b/>
          <w:bCs/>
          <w:sz w:val="28"/>
          <w:szCs w:val="28"/>
        </w:rPr>
      </w:pPr>
      <w:r w:rsidRPr="00AF0CB2">
        <w:rPr>
          <w:b/>
          <w:bCs/>
          <w:sz w:val="28"/>
          <w:szCs w:val="28"/>
        </w:rPr>
        <w:t>Vehicle Type Distribution</w:t>
      </w:r>
    </w:p>
    <w:p w14:paraId="7CA35E38" w14:textId="77777777" w:rsidR="00AF0CB2" w:rsidRPr="00AF0CB2" w:rsidRDefault="00AF0CB2" w:rsidP="00AF0CB2">
      <w:pPr>
        <w:rPr>
          <w:sz w:val="28"/>
          <w:szCs w:val="28"/>
        </w:rPr>
      </w:pPr>
      <w:r w:rsidRPr="00AF0CB2">
        <w:rPr>
          <w:b/>
          <w:bCs/>
          <w:sz w:val="28"/>
          <w:szCs w:val="28"/>
        </w:rPr>
        <w:t>EV Category Analysis:</w:t>
      </w:r>
    </w:p>
    <w:p w14:paraId="2262956A" w14:textId="77777777" w:rsidR="00AF0CB2" w:rsidRPr="00AF0CB2" w:rsidRDefault="00AF0CB2" w:rsidP="00AF0CB2">
      <w:pPr>
        <w:numPr>
          <w:ilvl w:val="0"/>
          <w:numId w:val="1"/>
        </w:numPr>
        <w:rPr>
          <w:sz w:val="28"/>
          <w:szCs w:val="28"/>
        </w:rPr>
      </w:pPr>
      <w:r w:rsidRPr="00AF0CB2">
        <w:rPr>
          <w:b/>
          <w:bCs/>
          <w:sz w:val="28"/>
          <w:szCs w:val="28"/>
        </w:rPr>
        <w:t>Battery Electric Vehicle (BEV)</w:t>
      </w:r>
      <w:r w:rsidRPr="00AF0CB2">
        <w:rPr>
          <w:sz w:val="28"/>
          <w:szCs w:val="28"/>
        </w:rPr>
        <w:t>: Dominant segment representing approximately 75% of all electric vehicles</w:t>
      </w:r>
    </w:p>
    <w:p w14:paraId="3B0ABBC8" w14:textId="77777777" w:rsidR="00AF0CB2" w:rsidRPr="00AF0CB2" w:rsidRDefault="00AF0CB2" w:rsidP="00AF0CB2">
      <w:pPr>
        <w:numPr>
          <w:ilvl w:val="0"/>
          <w:numId w:val="1"/>
        </w:numPr>
        <w:rPr>
          <w:sz w:val="28"/>
          <w:szCs w:val="28"/>
        </w:rPr>
      </w:pPr>
      <w:r w:rsidRPr="00AF0CB2">
        <w:rPr>
          <w:b/>
          <w:bCs/>
          <w:sz w:val="28"/>
          <w:szCs w:val="28"/>
        </w:rPr>
        <w:t>Plug-in Hybrid Electric Vehicle (PHEV)</w:t>
      </w:r>
      <w:r w:rsidRPr="00AF0CB2">
        <w:rPr>
          <w:sz w:val="28"/>
          <w:szCs w:val="28"/>
        </w:rPr>
        <w:t>: Secondary segment comprising roughly 25% of the market</w:t>
      </w:r>
    </w:p>
    <w:p w14:paraId="25D2AAF2" w14:textId="77777777" w:rsidR="00AF0CB2" w:rsidRPr="00AF0CB2" w:rsidRDefault="00AF0CB2" w:rsidP="00AF0CB2">
      <w:pPr>
        <w:numPr>
          <w:ilvl w:val="0"/>
          <w:numId w:val="1"/>
        </w:numPr>
        <w:rPr>
          <w:sz w:val="28"/>
          <w:szCs w:val="28"/>
        </w:rPr>
      </w:pPr>
      <w:r w:rsidRPr="00AF0CB2">
        <w:rPr>
          <w:b/>
          <w:bCs/>
          <w:sz w:val="28"/>
          <w:szCs w:val="28"/>
        </w:rPr>
        <w:t>Market Preference</w:t>
      </w:r>
      <w:r w:rsidRPr="00AF0CB2">
        <w:rPr>
          <w:sz w:val="28"/>
          <w:szCs w:val="28"/>
        </w:rPr>
        <w:t>: Clear consumer preference for fully electric vehicles over hybrid alternatives</w:t>
      </w:r>
    </w:p>
    <w:p w14:paraId="1DF4BDBD" w14:textId="77777777" w:rsidR="00AF0CB2" w:rsidRPr="00AF0CB2" w:rsidRDefault="00AF0CB2" w:rsidP="00AF0CB2">
      <w:pPr>
        <w:rPr>
          <w:b/>
          <w:bCs/>
          <w:sz w:val="28"/>
          <w:szCs w:val="28"/>
        </w:rPr>
      </w:pPr>
      <w:r w:rsidRPr="00AF0CB2">
        <w:rPr>
          <w:b/>
          <w:bCs/>
          <w:sz w:val="28"/>
          <w:szCs w:val="28"/>
        </w:rPr>
        <w:t>Manufacturer Performance Analysis</w:t>
      </w:r>
    </w:p>
    <w:p w14:paraId="511FBB80" w14:textId="77777777" w:rsidR="00AF0CB2" w:rsidRPr="00AF0CB2" w:rsidRDefault="00AF0CB2" w:rsidP="00AF0CB2">
      <w:pPr>
        <w:rPr>
          <w:sz w:val="28"/>
          <w:szCs w:val="28"/>
        </w:rPr>
      </w:pPr>
      <w:r w:rsidRPr="00AF0CB2">
        <w:rPr>
          <w:b/>
          <w:bCs/>
          <w:sz w:val="28"/>
          <w:szCs w:val="28"/>
        </w:rPr>
        <w:t>Top Electric Vehicle Manufacturers:</w:t>
      </w:r>
    </w:p>
    <w:p w14:paraId="4968EE0C" w14:textId="77777777" w:rsidR="00AF0CB2" w:rsidRPr="00AF0CB2" w:rsidRDefault="00AF0CB2" w:rsidP="00AF0CB2">
      <w:pPr>
        <w:numPr>
          <w:ilvl w:val="0"/>
          <w:numId w:val="2"/>
        </w:numPr>
        <w:rPr>
          <w:sz w:val="28"/>
          <w:szCs w:val="28"/>
        </w:rPr>
      </w:pPr>
      <w:r w:rsidRPr="00AF0CB2">
        <w:rPr>
          <w:b/>
          <w:bCs/>
          <w:sz w:val="28"/>
          <w:szCs w:val="28"/>
        </w:rPr>
        <w:t>TESLA</w:t>
      </w:r>
      <w:r w:rsidRPr="00AF0CB2">
        <w:rPr>
          <w:sz w:val="28"/>
          <w:szCs w:val="28"/>
        </w:rPr>
        <w:t>: 91,158 vehicles (Overwhelming market leader - ~60% market share)</w:t>
      </w:r>
    </w:p>
    <w:p w14:paraId="59812650" w14:textId="77777777" w:rsidR="00AF0CB2" w:rsidRPr="00AF0CB2" w:rsidRDefault="00AF0CB2" w:rsidP="00AF0CB2">
      <w:pPr>
        <w:numPr>
          <w:ilvl w:val="0"/>
          <w:numId w:val="2"/>
        </w:numPr>
        <w:rPr>
          <w:sz w:val="28"/>
          <w:szCs w:val="28"/>
        </w:rPr>
      </w:pPr>
      <w:r w:rsidRPr="00AF0CB2">
        <w:rPr>
          <w:b/>
          <w:bCs/>
          <w:sz w:val="28"/>
          <w:szCs w:val="28"/>
        </w:rPr>
        <w:t>CHEVROLET</w:t>
      </w:r>
      <w:r w:rsidRPr="00AF0CB2">
        <w:rPr>
          <w:sz w:val="28"/>
          <w:szCs w:val="28"/>
        </w:rPr>
        <w:t>: 15,392 vehicles (Strong second position with Bolt and Volt models)</w:t>
      </w:r>
    </w:p>
    <w:p w14:paraId="4AA7B0BD" w14:textId="77777777" w:rsidR="00AF0CB2" w:rsidRPr="00AF0CB2" w:rsidRDefault="00AF0CB2" w:rsidP="00AF0CB2">
      <w:pPr>
        <w:numPr>
          <w:ilvl w:val="0"/>
          <w:numId w:val="2"/>
        </w:numPr>
        <w:rPr>
          <w:sz w:val="28"/>
          <w:szCs w:val="28"/>
        </w:rPr>
      </w:pPr>
      <w:r w:rsidRPr="00AF0CB2">
        <w:rPr>
          <w:b/>
          <w:bCs/>
          <w:sz w:val="28"/>
          <w:szCs w:val="28"/>
        </w:rPr>
        <w:t>NISSAN</w:t>
      </w:r>
      <w:r w:rsidRPr="00AF0CB2">
        <w:rPr>
          <w:sz w:val="28"/>
          <w:szCs w:val="28"/>
        </w:rPr>
        <w:t>: 14,711 vehicles (Leaf model success)</w:t>
      </w:r>
    </w:p>
    <w:p w14:paraId="1E342F29" w14:textId="77777777" w:rsidR="00AF0CB2" w:rsidRPr="00AF0CB2" w:rsidRDefault="00AF0CB2" w:rsidP="00AF0CB2">
      <w:pPr>
        <w:numPr>
          <w:ilvl w:val="0"/>
          <w:numId w:val="2"/>
        </w:numPr>
        <w:rPr>
          <w:sz w:val="28"/>
          <w:szCs w:val="28"/>
        </w:rPr>
      </w:pPr>
      <w:r w:rsidRPr="00AF0CB2">
        <w:rPr>
          <w:b/>
          <w:bCs/>
          <w:sz w:val="28"/>
          <w:szCs w:val="28"/>
        </w:rPr>
        <w:t>FORD</w:t>
      </w:r>
      <w:r w:rsidRPr="00AF0CB2">
        <w:rPr>
          <w:sz w:val="28"/>
          <w:szCs w:val="28"/>
        </w:rPr>
        <w:t>: 11,109 vehicles (Growing EV portfolio)</w:t>
      </w:r>
    </w:p>
    <w:p w14:paraId="5301EBF8" w14:textId="77777777" w:rsidR="00AF0CB2" w:rsidRPr="00AF0CB2" w:rsidRDefault="00AF0CB2" w:rsidP="00AF0CB2">
      <w:pPr>
        <w:numPr>
          <w:ilvl w:val="0"/>
          <w:numId w:val="2"/>
        </w:numPr>
        <w:rPr>
          <w:sz w:val="28"/>
          <w:szCs w:val="28"/>
        </w:rPr>
      </w:pPr>
      <w:r w:rsidRPr="00AF0CB2">
        <w:rPr>
          <w:b/>
          <w:bCs/>
          <w:sz w:val="28"/>
          <w:szCs w:val="28"/>
        </w:rPr>
        <w:t>KIA</w:t>
      </w:r>
      <w:r w:rsidRPr="00AF0CB2">
        <w:rPr>
          <w:sz w:val="28"/>
          <w:szCs w:val="28"/>
        </w:rPr>
        <w:t>: 9,566 vehicles (Competitive positioning)</w:t>
      </w:r>
    </w:p>
    <w:p w14:paraId="0BC66C27" w14:textId="77777777" w:rsidR="00AF0CB2" w:rsidRPr="00AF0CB2" w:rsidRDefault="00AF0CB2" w:rsidP="00AF0CB2">
      <w:pPr>
        <w:numPr>
          <w:ilvl w:val="0"/>
          <w:numId w:val="2"/>
        </w:numPr>
        <w:rPr>
          <w:sz w:val="28"/>
          <w:szCs w:val="28"/>
        </w:rPr>
      </w:pPr>
      <w:r w:rsidRPr="00AF0CB2">
        <w:rPr>
          <w:b/>
          <w:bCs/>
          <w:sz w:val="28"/>
          <w:szCs w:val="28"/>
        </w:rPr>
        <w:lastRenderedPageBreak/>
        <w:t>BMW</w:t>
      </w:r>
      <w:r w:rsidRPr="00AF0CB2">
        <w:rPr>
          <w:sz w:val="28"/>
          <w:szCs w:val="28"/>
        </w:rPr>
        <w:t>: 8,593 vehicles (Premium segment leader)</w:t>
      </w:r>
    </w:p>
    <w:p w14:paraId="562FCC97" w14:textId="77777777" w:rsidR="00AF0CB2" w:rsidRPr="00AF0CB2" w:rsidRDefault="00AF0CB2" w:rsidP="00AF0CB2">
      <w:pPr>
        <w:numPr>
          <w:ilvl w:val="0"/>
          <w:numId w:val="2"/>
        </w:numPr>
        <w:rPr>
          <w:sz w:val="28"/>
          <w:szCs w:val="28"/>
        </w:rPr>
      </w:pPr>
      <w:r w:rsidRPr="00AF0CB2">
        <w:rPr>
          <w:b/>
          <w:bCs/>
          <w:sz w:val="28"/>
          <w:szCs w:val="28"/>
        </w:rPr>
        <w:t>TOYOTA</w:t>
      </w:r>
      <w:r w:rsidRPr="00AF0CB2">
        <w:rPr>
          <w:sz w:val="28"/>
          <w:szCs w:val="28"/>
        </w:rPr>
        <w:t>: 8,220 vehicles (Prius Prime and other hybrids)</w:t>
      </w:r>
    </w:p>
    <w:p w14:paraId="02C88E15" w14:textId="77777777" w:rsidR="00AF0CB2" w:rsidRPr="00AF0CB2" w:rsidRDefault="00AF0CB2" w:rsidP="00AF0CB2">
      <w:pPr>
        <w:numPr>
          <w:ilvl w:val="0"/>
          <w:numId w:val="2"/>
        </w:numPr>
        <w:rPr>
          <w:sz w:val="28"/>
          <w:szCs w:val="28"/>
        </w:rPr>
      </w:pPr>
      <w:r w:rsidRPr="00AF0CB2">
        <w:rPr>
          <w:b/>
          <w:bCs/>
          <w:sz w:val="28"/>
          <w:szCs w:val="28"/>
        </w:rPr>
        <w:t>HYUNDAI</w:t>
      </w:r>
      <w:r w:rsidRPr="00AF0CB2">
        <w:rPr>
          <w:sz w:val="28"/>
          <w:szCs w:val="28"/>
        </w:rPr>
        <w:t>: 6,060 vehicles (Emerging player)</w:t>
      </w:r>
    </w:p>
    <w:p w14:paraId="62FF6B35" w14:textId="77777777" w:rsidR="00AF0CB2" w:rsidRPr="00AF0CB2" w:rsidRDefault="00AF0CB2" w:rsidP="00AF0CB2">
      <w:pPr>
        <w:numPr>
          <w:ilvl w:val="0"/>
          <w:numId w:val="2"/>
        </w:numPr>
        <w:rPr>
          <w:sz w:val="28"/>
          <w:szCs w:val="28"/>
        </w:rPr>
      </w:pPr>
      <w:r w:rsidRPr="00AF0CB2">
        <w:rPr>
          <w:b/>
          <w:bCs/>
          <w:sz w:val="28"/>
          <w:szCs w:val="28"/>
        </w:rPr>
        <w:t>RIVIAN</w:t>
      </w:r>
      <w:r w:rsidRPr="00AF0CB2">
        <w:rPr>
          <w:sz w:val="28"/>
          <w:szCs w:val="28"/>
        </w:rPr>
        <w:t>: 5,871 vehicles (New electric truck manufacturer)</w:t>
      </w:r>
    </w:p>
    <w:p w14:paraId="7BC0B734" w14:textId="77777777" w:rsidR="00AF0CB2" w:rsidRPr="00AF0CB2" w:rsidRDefault="00AF0CB2" w:rsidP="00AF0CB2">
      <w:pPr>
        <w:numPr>
          <w:ilvl w:val="0"/>
          <w:numId w:val="2"/>
        </w:numPr>
        <w:rPr>
          <w:sz w:val="28"/>
          <w:szCs w:val="28"/>
        </w:rPr>
      </w:pPr>
      <w:r w:rsidRPr="00AF0CB2">
        <w:rPr>
          <w:b/>
          <w:bCs/>
          <w:sz w:val="28"/>
          <w:szCs w:val="28"/>
        </w:rPr>
        <w:t>VOLKSWAGEN</w:t>
      </w:r>
      <w:r w:rsidRPr="00AF0CB2">
        <w:rPr>
          <w:sz w:val="28"/>
          <w:szCs w:val="28"/>
        </w:rPr>
        <w:t>: 5,771 vehicles (ID series models)</w:t>
      </w:r>
    </w:p>
    <w:p w14:paraId="2B414CC3" w14:textId="77777777" w:rsidR="00AF0CB2" w:rsidRPr="00AF0CB2" w:rsidRDefault="00AF0CB2" w:rsidP="00AF0CB2">
      <w:pPr>
        <w:rPr>
          <w:sz w:val="28"/>
          <w:szCs w:val="28"/>
        </w:rPr>
      </w:pPr>
      <w:r w:rsidRPr="00AF0CB2">
        <w:rPr>
          <w:b/>
          <w:bCs/>
          <w:sz w:val="28"/>
          <w:szCs w:val="28"/>
        </w:rPr>
        <w:t>Additional Notable Manufacturers:</w:t>
      </w:r>
    </w:p>
    <w:p w14:paraId="032AACE2" w14:textId="77777777" w:rsidR="00AF0CB2" w:rsidRPr="00AF0CB2" w:rsidRDefault="00AF0CB2" w:rsidP="00AF0CB2">
      <w:pPr>
        <w:numPr>
          <w:ilvl w:val="0"/>
          <w:numId w:val="3"/>
        </w:numPr>
        <w:rPr>
          <w:sz w:val="28"/>
          <w:szCs w:val="28"/>
        </w:rPr>
      </w:pPr>
      <w:r w:rsidRPr="00AF0CB2">
        <w:rPr>
          <w:sz w:val="28"/>
          <w:szCs w:val="28"/>
        </w:rPr>
        <w:t>JEEP, VOLVO, AUDI, CHRYSLER, MERCEDES-BENZ, SUBARU, HONDA showing moderate market presence</w:t>
      </w:r>
    </w:p>
    <w:p w14:paraId="17371DFD" w14:textId="77777777" w:rsidR="00AF0CB2" w:rsidRPr="00AF0CB2" w:rsidRDefault="00AF0CB2" w:rsidP="00AF0CB2">
      <w:pPr>
        <w:numPr>
          <w:ilvl w:val="0"/>
          <w:numId w:val="3"/>
        </w:numPr>
        <w:rPr>
          <w:sz w:val="28"/>
          <w:szCs w:val="28"/>
        </w:rPr>
      </w:pPr>
      <w:r w:rsidRPr="00AF0CB2">
        <w:rPr>
          <w:sz w:val="28"/>
          <w:szCs w:val="28"/>
        </w:rPr>
        <w:t>Luxury brands: AUDI (3,971), CHRYSLER (3,714), MERCEDES-BENZ (1,964)</w:t>
      </w:r>
    </w:p>
    <w:p w14:paraId="38863C1E" w14:textId="77777777" w:rsidR="00AF0CB2" w:rsidRPr="00AF0CB2" w:rsidRDefault="00AF0CB2" w:rsidP="00AF0CB2">
      <w:pPr>
        <w:rPr>
          <w:sz w:val="28"/>
          <w:szCs w:val="28"/>
        </w:rPr>
      </w:pPr>
      <w:r w:rsidRPr="00AF0CB2">
        <w:rPr>
          <w:b/>
          <w:bCs/>
          <w:sz w:val="28"/>
          <w:szCs w:val="28"/>
        </w:rPr>
        <w:t>Market Insights:</w:t>
      </w:r>
    </w:p>
    <w:p w14:paraId="10BD2723" w14:textId="77777777" w:rsidR="00AF0CB2" w:rsidRPr="00AF0CB2" w:rsidRDefault="00AF0CB2" w:rsidP="00AF0CB2">
      <w:pPr>
        <w:numPr>
          <w:ilvl w:val="0"/>
          <w:numId w:val="4"/>
        </w:numPr>
        <w:rPr>
          <w:sz w:val="28"/>
          <w:szCs w:val="28"/>
        </w:rPr>
      </w:pPr>
      <w:r w:rsidRPr="00AF0CB2">
        <w:rPr>
          <w:sz w:val="28"/>
          <w:szCs w:val="28"/>
        </w:rPr>
        <w:t>Tesla's dominance reflects early market entry and brand loyalty</w:t>
      </w:r>
    </w:p>
    <w:p w14:paraId="43933432" w14:textId="77777777" w:rsidR="00AF0CB2" w:rsidRPr="00AF0CB2" w:rsidRDefault="00AF0CB2" w:rsidP="00AF0CB2">
      <w:pPr>
        <w:numPr>
          <w:ilvl w:val="0"/>
          <w:numId w:val="4"/>
        </w:numPr>
        <w:rPr>
          <w:sz w:val="28"/>
          <w:szCs w:val="28"/>
        </w:rPr>
      </w:pPr>
      <w:r w:rsidRPr="00AF0CB2">
        <w:rPr>
          <w:sz w:val="28"/>
          <w:szCs w:val="28"/>
        </w:rPr>
        <w:t>Traditional automakers (Ford, Chevrolet, Toyota) showing strong adaptation to EV market</w:t>
      </w:r>
    </w:p>
    <w:p w14:paraId="01462AC6" w14:textId="77777777" w:rsidR="00AF0CB2" w:rsidRPr="00AF0CB2" w:rsidRDefault="00AF0CB2" w:rsidP="00AF0CB2">
      <w:pPr>
        <w:numPr>
          <w:ilvl w:val="0"/>
          <w:numId w:val="4"/>
        </w:numPr>
        <w:rPr>
          <w:sz w:val="28"/>
          <w:szCs w:val="28"/>
        </w:rPr>
      </w:pPr>
      <w:r w:rsidRPr="00AF0CB2">
        <w:rPr>
          <w:sz w:val="28"/>
          <w:szCs w:val="28"/>
        </w:rPr>
        <w:t>Emerging EV-only brands (Rivian) gaining traction in specialized segments</w:t>
      </w:r>
    </w:p>
    <w:p w14:paraId="7BE3A1C7" w14:textId="77777777" w:rsidR="00AF0CB2" w:rsidRPr="00AF0CB2" w:rsidRDefault="00AF0CB2" w:rsidP="00AF0CB2">
      <w:pPr>
        <w:rPr>
          <w:b/>
          <w:bCs/>
          <w:sz w:val="28"/>
          <w:szCs w:val="28"/>
        </w:rPr>
      </w:pPr>
      <w:r w:rsidRPr="00AF0CB2">
        <w:rPr>
          <w:b/>
          <w:bCs/>
          <w:sz w:val="28"/>
          <w:szCs w:val="28"/>
        </w:rPr>
        <w:t>Geographic Distribution Analysis</w:t>
      </w:r>
    </w:p>
    <w:p w14:paraId="66C243CE" w14:textId="77777777" w:rsidR="00AF0CB2" w:rsidRPr="00AF0CB2" w:rsidRDefault="00AF0CB2" w:rsidP="00AF0CB2">
      <w:pPr>
        <w:rPr>
          <w:sz w:val="28"/>
          <w:szCs w:val="28"/>
        </w:rPr>
      </w:pPr>
      <w:r w:rsidRPr="00AF0CB2">
        <w:rPr>
          <w:b/>
          <w:bCs/>
          <w:sz w:val="28"/>
          <w:szCs w:val="28"/>
        </w:rPr>
        <w:t>County-Level Performance - Top 10 Counties:</w:t>
      </w:r>
    </w:p>
    <w:p w14:paraId="45B02C99" w14:textId="77777777" w:rsidR="00AF0CB2" w:rsidRPr="00AF0CB2" w:rsidRDefault="00AF0CB2" w:rsidP="00AF0CB2">
      <w:pPr>
        <w:numPr>
          <w:ilvl w:val="0"/>
          <w:numId w:val="5"/>
        </w:numPr>
        <w:rPr>
          <w:sz w:val="28"/>
          <w:szCs w:val="28"/>
        </w:rPr>
      </w:pPr>
      <w:r w:rsidRPr="00AF0CB2">
        <w:rPr>
          <w:b/>
          <w:bCs/>
          <w:sz w:val="28"/>
          <w:szCs w:val="28"/>
        </w:rPr>
        <w:t>King County</w:t>
      </w:r>
      <w:r w:rsidRPr="00AF0CB2">
        <w:rPr>
          <w:sz w:val="28"/>
          <w:szCs w:val="28"/>
        </w:rPr>
        <w:t>: 2,323 vehicles (Seattle metropolitan area - highest adoption)</w:t>
      </w:r>
    </w:p>
    <w:p w14:paraId="12ABBF9A" w14:textId="77777777" w:rsidR="00AF0CB2" w:rsidRPr="00AF0CB2" w:rsidRDefault="00AF0CB2" w:rsidP="00AF0CB2">
      <w:pPr>
        <w:numPr>
          <w:ilvl w:val="0"/>
          <w:numId w:val="5"/>
        </w:numPr>
        <w:rPr>
          <w:sz w:val="28"/>
          <w:szCs w:val="28"/>
        </w:rPr>
      </w:pPr>
      <w:r w:rsidRPr="00AF0CB2">
        <w:rPr>
          <w:b/>
          <w:bCs/>
          <w:sz w:val="28"/>
          <w:szCs w:val="28"/>
        </w:rPr>
        <w:t>Snohomish County</w:t>
      </w:r>
      <w:r w:rsidRPr="00AF0CB2">
        <w:rPr>
          <w:sz w:val="28"/>
          <w:szCs w:val="28"/>
        </w:rPr>
        <w:t>: 345 vehicles (North Seattle suburbs)</w:t>
      </w:r>
    </w:p>
    <w:p w14:paraId="61E23E80" w14:textId="77777777" w:rsidR="00AF0CB2" w:rsidRPr="00AF0CB2" w:rsidRDefault="00AF0CB2" w:rsidP="00AF0CB2">
      <w:pPr>
        <w:numPr>
          <w:ilvl w:val="0"/>
          <w:numId w:val="5"/>
        </w:numPr>
        <w:rPr>
          <w:sz w:val="28"/>
          <w:szCs w:val="28"/>
        </w:rPr>
      </w:pPr>
      <w:r w:rsidRPr="00AF0CB2">
        <w:rPr>
          <w:b/>
          <w:bCs/>
          <w:sz w:val="28"/>
          <w:szCs w:val="28"/>
        </w:rPr>
        <w:t>Pierce County</w:t>
      </w:r>
      <w:r w:rsidRPr="00AF0CB2">
        <w:rPr>
          <w:sz w:val="28"/>
          <w:szCs w:val="28"/>
        </w:rPr>
        <w:t>: 303 vehicles (Tacoma region)</w:t>
      </w:r>
    </w:p>
    <w:p w14:paraId="3F84A03F" w14:textId="77777777" w:rsidR="00AF0CB2" w:rsidRPr="00AF0CB2" w:rsidRDefault="00AF0CB2" w:rsidP="00AF0CB2">
      <w:pPr>
        <w:numPr>
          <w:ilvl w:val="0"/>
          <w:numId w:val="5"/>
        </w:numPr>
        <w:rPr>
          <w:sz w:val="28"/>
          <w:szCs w:val="28"/>
        </w:rPr>
      </w:pPr>
      <w:r w:rsidRPr="00AF0CB2">
        <w:rPr>
          <w:b/>
          <w:bCs/>
          <w:sz w:val="28"/>
          <w:szCs w:val="28"/>
        </w:rPr>
        <w:t>Clark County</w:t>
      </w:r>
      <w:r w:rsidRPr="00AF0CB2">
        <w:rPr>
          <w:sz w:val="28"/>
          <w:szCs w:val="28"/>
        </w:rPr>
        <w:t>: 199 vehicles (Vancouver/Portland border area)</w:t>
      </w:r>
    </w:p>
    <w:p w14:paraId="5E04725E" w14:textId="77777777" w:rsidR="00AF0CB2" w:rsidRPr="00AF0CB2" w:rsidRDefault="00AF0CB2" w:rsidP="00AF0CB2">
      <w:pPr>
        <w:numPr>
          <w:ilvl w:val="0"/>
          <w:numId w:val="5"/>
        </w:numPr>
        <w:rPr>
          <w:sz w:val="28"/>
          <w:szCs w:val="28"/>
        </w:rPr>
      </w:pPr>
      <w:r w:rsidRPr="00AF0CB2">
        <w:rPr>
          <w:b/>
          <w:bCs/>
          <w:sz w:val="28"/>
          <w:szCs w:val="28"/>
        </w:rPr>
        <w:t>Kitsap County</w:t>
      </w:r>
      <w:r w:rsidRPr="00AF0CB2">
        <w:rPr>
          <w:sz w:val="28"/>
          <w:szCs w:val="28"/>
        </w:rPr>
        <w:t>: 132 vehicles</w:t>
      </w:r>
    </w:p>
    <w:p w14:paraId="6BA4660C" w14:textId="77777777" w:rsidR="00AF0CB2" w:rsidRPr="00AF0CB2" w:rsidRDefault="00AF0CB2" w:rsidP="00AF0CB2">
      <w:pPr>
        <w:numPr>
          <w:ilvl w:val="0"/>
          <w:numId w:val="5"/>
        </w:numPr>
        <w:rPr>
          <w:sz w:val="28"/>
          <w:szCs w:val="28"/>
        </w:rPr>
      </w:pPr>
      <w:r w:rsidRPr="00AF0CB2">
        <w:rPr>
          <w:b/>
          <w:bCs/>
          <w:sz w:val="28"/>
          <w:szCs w:val="28"/>
        </w:rPr>
        <w:t>Whatcom County</w:t>
      </w:r>
      <w:r w:rsidRPr="00AF0CB2">
        <w:rPr>
          <w:sz w:val="28"/>
          <w:szCs w:val="28"/>
        </w:rPr>
        <w:t>: 131 vehicles (Bellingham area)</w:t>
      </w:r>
    </w:p>
    <w:p w14:paraId="1CEBDBC3" w14:textId="77777777" w:rsidR="00AF0CB2" w:rsidRPr="00AF0CB2" w:rsidRDefault="00AF0CB2" w:rsidP="00AF0CB2">
      <w:pPr>
        <w:numPr>
          <w:ilvl w:val="0"/>
          <w:numId w:val="5"/>
        </w:numPr>
        <w:rPr>
          <w:sz w:val="28"/>
          <w:szCs w:val="28"/>
        </w:rPr>
      </w:pPr>
      <w:r w:rsidRPr="00AF0CB2">
        <w:rPr>
          <w:b/>
          <w:bCs/>
          <w:sz w:val="28"/>
          <w:szCs w:val="28"/>
        </w:rPr>
        <w:t>Spokane County</w:t>
      </w:r>
      <w:r w:rsidRPr="00AF0CB2">
        <w:rPr>
          <w:sz w:val="28"/>
          <w:szCs w:val="28"/>
        </w:rPr>
        <w:t>: 123 vehicles (Eastern Washington)</w:t>
      </w:r>
    </w:p>
    <w:p w14:paraId="1F5A95FE" w14:textId="77777777" w:rsidR="00AF0CB2" w:rsidRPr="00AF0CB2" w:rsidRDefault="00AF0CB2" w:rsidP="00AF0CB2">
      <w:pPr>
        <w:numPr>
          <w:ilvl w:val="0"/>
          <w:numId w:val="5"/>
        </w:numPr>
        <w:rPr>
          <w:sz w:val="28"/>
          <w:szCs w:val="28"/>
        </w:rPr>
      </w:pPr>
      <w:r w:rsidRPr="00AF0CB2">
        <w:rPr>
          <w:b/>
          <w:bCs/>
          <w:sz w:val="28"/>
          <w:szCs w:val="28"/>
        </w:rPr>
        <w:lastRenderedPageBreak/>
        <w:t>Thurston County</w:t>
      </w:r>
      <w:r w:rsidRPr="00AF0CB2">
        <w:rPr>
          <w:sz w:val="28"/>
          <w:szCs w:val="28"/>
        </w:rPr>
        <w:t>: 93 vehicles (Olympia - state capital)</w:t>
      </w:r>
    </w:p>
    <w:p w14:paraId="7138F60E" w14:textId="77777777" w:rsidR="00AF0CB2" w:rsidRPr="00AF0CB2" w:rsidRDefault="00AF0CB2" w:rsidP="00AF0CB2">
      <w:pPr>
        <w:numPr>
          <w:ilvl w:val="0"/>
          <w:numId w:val="5"/>
        </w:numPr>
        <w:rPr>
          <w:sz w:val="28"/>
          <w:szCs w:val="28"/>
        </w:rPr>
      </w:pPr>
      <w:r w:rsidRPr="00AF0CB2">
        <w:rPr>
          <w:b/>
          <w:bCs/>
          <w:sz w:val="28"/>
          <w:szCs w:val="28"/>
        </w:rPr>
        <w:t>Benton County</w:t>
      </w:r>
      <w:r w:rsidRPr="00AF0CB2">
        <w:rPr>
          <w:sz w:val="28"/>
          <w:szCs w:val="28"/>
        </w:rPr>
        <w:t>: 40 vehicles</w:t>
      </w:r>
    </w:p>
    <w:p w14:paraId="31446D8C" w14:textId="77777777" w:rsidR="00AF0CB2" w:rsidRPr="00AF0CB2" w:rsidRDefault="00AF0CB2" w:rsidP="00AF0CB2">
      <w:pPr>
        <w:numPr>
          <w:ilvl w:val="0"/>
          <w:numId w:val="5"/>
        </w:numPr>
        <w:rPr>
          <w:sz w:val="28"/>
          <w:szCs w:val="28"/>
        </w:rPr>
      </w:pPr>
      <w:r w:rsidRPr="00AF0CB2">
        <w:rPr>
          <w:b/>
          <w:bCs/>
          <w:sz w:val="28"/>
          <w:szCs w:val="28"/>
        </w:rPr>
        <w:t>Skagit County</w:t>
      </w:r>
      <w:r w:rsidRPr="00AF0CB2">
        <w:rPr>
          <w:sz w:val="28"/>
          <w:szCs w:val="28"/>
        </w:rPr>
        <w:t>: 37 vehicles</w:t>
      </w:r>
    </w:p>
    <w:p w14:paraId="292B7472" w14:textId="77777777" w:rsidR="00AF0CB2" w:rsidRPr="00AF0CB2" w:rsidRDefault="00AF0CB2" w:rsidP="00AF0CB2">
      <w:pPr>
        <w:rPr>
          <w:sz w:val="28"/>
          <w:szCs w:val="28"/>
        </w:rPr>
      </w:pPr>
      <w:r w:rsidRPr="00AF0CB2">
        <w:rPr>
          <w:b/>
          <w:bCs/>
          <w:sz w:val="28"/>
          <w:szCs w:val="28"/>
        </w:rPr>
        <w:t>Geographic Mapping Visualization:</w:t>
      </w:r>
    </w:p>
    <w:p w14:paraId="031EF210" w14:textId="77777777" w:rsidR="00AF0CB2" w:rsidRPr="00AF0CB2" w:rsidRDefault="00AF0CB2" w:rsidP="00AF0CB2">
      <w:pPr>
        <w:numPr>
          <w:ilvl w:val="0"/>
          <w:numId w:val="6"/>
        </w:numPr>
        <w:rPr>
          <w:sz w:val="28"/>
          <w:szCs w:val="28"/>
        </w:rPr>
      </w:pPr>
      <w:r w:rsidRPr="00AF0CB2">
        <w:rPr>
          <w:b/>
          <w:bCs/>
          <w:sz w:val="28"/>
          <w:szCs w:val="28"/>
        </w:rPr>
        <w:t>Interactive Map</w:t>
      </w:r>
      <w:r w:rsidRPr="00AF0CB2">
        <w:rPr>
          <w:sz w:val="28"/>
          <w:szCs w:val="28"/>
        </w:rPr>
        <w:t>: Postcode-level distribution showing EV concentration</w:t>
      </w:r>
    </w:p>
    <w:p w14:paraId="55390F93" w14:textId="77777777" w:rsidR="00AF0CB2" w:rsidRPr="00AF0CB2" w:rsidRDefault="00AF0CB2" w:rsidP="00AF0CB2">
      <w:pPr>
        <w:numPr>
          <w:ilvl w:val="0"/>
          <w:numId w:val="6"/>
        </w:numPr>
        <w:rPr>
          <w:sz w:val="28"/>
          <w:szCs w:val="28"/>
        </w:rPr>
      </w:pPr>
      <w:r w:rsidRPr="00AF0CB2">
        <w:rPr>
          <w:b/>
          <w:bCs/>
          <w:sz w:val="28"/>
          <w:szCs w:val="28"/>
        </w:rPr>
        <w:t>Urban Concentration</w:t>
      </w:r>
      <w:r w:rsidRPr="00AF0CB2">
        <w:rPr>
          <w:sz w:val="28"/>
          <w:szCs w:val="28"/>
        </w:rPr>
        <w:t>: Highest density in Puget Sound region (Seattle metro)</w:t>
      </w:r>
    </w:p>
    <w:p w14:paraId="09176A5A" w14:textId="77777777" w:rsidR="00AF0CB2" w:rsidRPr="00AF0CB2" w:rsidRDefault="00AF0CB2" w:rsidP="00AF0CB2">
      <w:pPr>
        <w:numPr>
          <w:ilvl w:val="0"/>
          <w:numId w:val="6"/>
        </w:numPr>
        <w:rPr>
          <w:sz w:val="28"/>
          <w:szCs w:val="28"/>
        </w:rPr>
      </w:pPr>
      <w:r w:rsidRPr="00AF0CB2">
        <w:rPr>
          <w:b/>
          <w:bCs/>
          <w:sz w:val="28"/>
          <w:szCs w:val="28"/>
        </w:rPr>
        <w:t>Rural Penetration</w:t>
      </w:r>
      <w:r w:rsidRPr="00AF0CB2">
        <w:rPr>
          <w:sz w:val="28"/>
          <w:szCs w:val="28"/>
        </w:rPr>
        <w:t>: Limited but growing adoption in eastern Washington</w:t>
      </w:r>
    </w:p>
    <w:p w14:paraId="6257B10C" w14:textId="77777777" w:rsidR="00AF0CB2" w:rsidRPr="00AF0CB2" w:rsidRDefault="00AF0CB2" w:rsidP="00AF0CB2">
      <w:pPr>
        <w:numPr>
          <w:ilvl w:val="0"/>
          <w:numId w:val="6"/>
        </w:numPr>
        <w:rPr>
          <w:sz w:val="28"/>
          <w:szCs w:val="28"/>
        </w:rPr>
      </w:pPr>
      <w:r w:rsidRPr="00AF0CB2">
        <w:rPr>
          <w:b/>
          <w:bCs/>
          <w:sz w:val="28"/>
          <w:szCs w:val="28"/>
        </w:rPr>
        <w:t>Coastal Distribution</w:t>
      </w:r>
      <w:r w:rsidRPr="00AF0CB2">
        <w:rPr>
          <w:sz w:val="28"/>
          <w:szCs w:val="28"/>
        </w:rPr>
        <w:t>: Strong presence along I-5 corridor and coastal areas</w:t>
      </w:r>
    </w:p>
    <w:p w14:paraId="592FF598" w14:textId="77777777" w:rsidR="00AF0CB2" w:rsidRPr="00AF0CB2" w:rsidRDefault="00AF0CB2" w:rsidP="00AF0CB2">
      <w:pPr>
        <w:rPr>
          <w:b/>
          <w:bCs/>
          <w:sz w:val="28"/>
          <w:szCs w:val="28"/>
        </w:rPr>
      </w:pPr>
      <w:r w:rsidRPr="00AF0CB2">
        <w:rPr>
          <w:b/>
          <w:bCs/>
          <w:sz w:val="28"/>
          <w:szCs w:val="28"/>
        </w:rPr>
        <w:t>Temporal Trends Analysis</w:t>
      </w:r>
    </w:p>
    <w:p w14:paraId="1FEDB910" w14:textId="77777777" w:rsidR="00AF0CB2" w:rsidRPr="00AF0CB2" w:rsidRDefault="00AF0CB2" w:rsidP="00AF0CB2">
      <w:pPr>
        <w:rPr>
          <w:sz w:val="28"/>
          <w:szCs w:val="28"/>
        </w:rPr>
      </w:pPr>
      <w:r w:rsidRPr="00AF0CB2">
        <w:rPr>
          <w:b/>
          <w:bCs/>
          <w:sz w:val="28"/>
          <w:szCs w:val="28"/>
        </w:rPr>
        <w:t>Vehicle Registration by Year (2016-2024):</w:t>
      </w:r>
    </w:p>
    <w:p w14:paraId="7DE1636A" w14:textId="77777777" w:rsidR="00AF0CB2" w:rsidRPr="00AF0CB2" w:rsidRDefault="00AF0CB2" w:rsidP="00AF0CB2">
      <w:pPr>
        <w:numPr>
          <w:ilvl w:val="0"/>
          <w:numId w:val="7"/>
        </w:numPr>
        <w:rPr>
          <w:sz w:val="28"/>
          <w:szCs w:val="28"/>
        </w:rPr>
      </w:pPr>
      <w:r w:rsidRPr="00AF0CB2">
        <w:rPr>
          <w:b/>
          <w:bCs/>
          <w:sz w:val="28"/>
          <w:szCs w:val="28"/>
        </w:rPr>
        <w:t>2016</w:t>
      </w:r>
      <w:r w:rsidRPr="00AF0CB2">
        <w:rPr>
          <w:sz w:val="28"/>
          <w:szCs w:val="28"/>
        </w:rPr>
        <w:t>: 211 registrations (Early adoption phase)</w:t>
      </w:r>
    </w:p>
    <w:p w14:paraId="4AAFDA16" w14:textId="77777777" w:rsidR="00AF0CB2" w:rsidRPr="00AF0CB2" w:rsidRDefault="00AF0CB2" w:rsidP="00AF0CB2">
      <w:pPr>
        <w:numPr>
          <w:ilvl w:val="0"/>
          <w:numId w:val="7"/>
        </w:numPr>
        <w:rPr>
          <w:sz w:val="28"/>
          <w:szCs w:val="28"/>
        </w:rPr>
      </w:pPr>
      <w:r w:rsidRPr="00AF0CB2">
        <w:rPr>
          <w:b/>
          <w:bCs/>
          <w:sz w:val="28"/>
          <w:szCs w:val="28"/>
        </w:rPr>
        <w:t>2017</w:t>
      </w:r>
      <w:r w:rsidRPr="00AF0CB2">
        <w:rPr>
          <w:sz w:val="28"/>
          <w:szCs w:val="28"/>
        </w:rPr>
        <w:t>: 191 registrations (Market establishment)</w:t>
      </w:r>
    </w:p>
    <w:p w14:paraId="574E4C24" w14:textId="77777777" w:rsidR="00AF0CB2" w:rsidRPr="00AF0CB2" w:rsidRDefault="00AF0CB2" w:rsidP="00AF0CB2">
      <w:pPr>
        <w:numPr>
          <w:ilvl w:val="0"/>
          <w:numId w:val="7"/>
        </w:numPr>
        <w:rPr>
          <w:sz w:val="28"/>
          <w:szCs w:val="28"/>
        </w:rPr>
      </w:pPr>
      <w:r w:rsidRPr="00AF0CB2">
        <w:rPr>
          <w:b/>
          <w:bCs/>
          <w:sz w:val="28"/>
          <w:szCs w:val="28"/>
        </w:rPr>
        <w:t>2018</w:t>
      </w:r>
      <w:r w:rsidRPr="00AF0CB2">
        <w:rPr>
          <w:sz w:val="28"/>
          <w:szCs w:val="28"/>
        </w:rPr>
        <w:t>: 165 registrations (Policy transition period)</w:t>
      </w:r>
    </w:p>
    <w:p w14:paraId="71CBEC39" w14:textId="77777777" w:rsidR="00AF0CB2" w:rsidRPr="00AF0CB2" w:rsidRDefault="00AF0CB2" w:rsidP="00AF0CB2">
      <w:pPr>
        <w:numPr>
          <w:ilvl w:val="0"/>
          <w:numId w:val="7"/>
        </w:numPr>
        <w:rPr>
          <w:sz w:val="28"/>
          <w:szCs w:val="28"/>
        </w:rPr>
      </w:pPr>
      <w:r w:rsidRPr="00AF0CB2">
        <w:rPr>
          <w:b/>
          <w:bCs/>
          <w:sz w:val="28"/>
          <w:szCs w:val="28"/>
        </w:rPr>
        <w:t>2019</w:t>
      </w:r>
      <w:r w:rsidRPr="00AF0CB2">
        <w:rPr>
          <w:sz w:val="28"/>
          <w:szCs w:val="28"/>
        </w:rPr>
        <w:t>: 518 registrations (Significant growth beginning)</w:t>
      </w:r>
    </w:p>
    <w:p w14:paraId="37323D2B" w14:textId="77777777" w:rsidR="00AF0CB2" w:rsidRPr="00AF0CB2" w:rsidRDefault="00AF0CB2" w:rsidP="00AF0CB2">
      <w:pPr>
        <w:numPr>
          <w:ilvl w:val="0"/>
          <w:numId w:val="7"/>
        </w:numPr>
        <w:rPr>
          <w:sz w:val="28"/>
          <w:szCs w:val="28"/>
        </w:rPr>
      </w:pPr>
      <w:r w:rsidRPr="00AF0CB2">
        <w:rPr>
          <w:b/>
          <w:bCs/>
          <w:sz w:val="28"/>
          <w:szCs w:val="28"/>
        </w:rPr>
        <w:t>2020</w:t>
      </w:r>
      <w:r w:rsidRPr="00AF0CB2">
        <w:rPr>
          <w:sz w:val="28"/>
          <w:szCs w:val="28"/>
        </w:rPr>
        <w:t>: 228 registrations (COVID-19 impact year)</w:t>
      </w:r>
    </w:p>
    <w:p w14:paraId="1D617B35" w14:textId="77777777" w:rsidR="00AF0CB2" w:rsidRPr="00AF0CB2" w:rsidRDefault="00AF0CB2" w:rsidP="00AF0CB2">
      <w:pPr>
        <w:numPr>
          <w:ilvl w:val="0"/>
          <w:numId w:val="7"/>
        </w:numPr>
        <w:rPr>
          <w:sz w:val="28"/>
          <w:szCs w:val="28"/>
        </w:rPr>
      </w:pPr>
      <w:r w:rsidRPr="00AF0CB2">
        <w:rPr>
          <w:b/>
          <w:bCs/>
          <w:sz w:val="28"/>
          <w:szCs w:val="28"/>
        </w:rPr>
        <w:t>2021</w:t>
      </w:r>
      <w:r w:rsidRPr="00AF0CB2">
        <w:rPr>
          <w:sz w:val="28"/>
          <w:szCs w:val="28"/>
        </w:rPr>
        <w:t>: 347 registrations (Recovery and incentive programs)</w:t>
      </w:r>
    </w:p>
    <w:p w14:paraId="3FC058E6" w14:textId="77777777" w:rsidR="00AF0CB2" w:rsidRPr="00AF0CB2" w:rsidRDefault="00AF0CB2" w:rsidP="00AF0CB2">
      <w:pPr>
        <w:numPr>
          <w:ilvl w:val="0"/>
          <w:numId w:val="7"/>
        </w:numPr>
        <w:rPr>
          <w:sz w:val="28"/>
          <w:szCs w:val="28"/>
        </w:rPr>
      </w:pPr>
      <w:r w:rsidRPr="00AF0CB2">
        <w:rPr>
          <w:b/>
          <w:bCs/>
          <w:sz w:val="28"/>
          <w:szCs w:val="28"/>
        </w:rPr>
        <w:t>2022</w:t>
      </w:r>
      <w:r w:rsidRPr="00AF0CB2">
        <w:rPr>
          <w:sz w:val="28"/>
          <w:szCs w:val="28"/>
        </w:rPr>
        <w:t>: 251 registrations (Market normalization)</w:t>
      </w:r>
    </w:p>
    <w:p w14:paraId="511F55AE" w14:textId="77777777" w:rsidR="00AF0CB2" w:rsidRPr="00AF0CB2" w:rsidRDefault="00AF0CB2" w:rsidP="00AF0CB2">
      <w:pPr>
        <w:numPr>
          <w:ilvl w:val="0"/>
          <w:numId w:val="7"/>
        </w:numPr>
        <w:rPr>
          <w:sz w:val="28"/>
          <w:szCs w:val="28"/>
        </w:rPr>
      </w:pPr>
      <w:r w:rsidRPr="00AF0CB2">
        <w:rPr>
          <w:b/>
          <w:bCs/>
          <w:sz w:val="28"/>
          <w:szCs w:val="28"/>
        </w:rPr>
        <w:t>2023</w:t>
      </w:r>
      <w:r w:rsidRPr="00AF0CB2">
        <w:rPr>
          <w:sz w:val="28"/>
          <w:szCs w:val="28"/>
        </w:rPr>
        <w:t>: 502 registrations (Strong growth resumption)</w:t>
      </w:r>
    </w:p>
    <w:p w14:paraId="3A26E428" w14:textId="77777777" w:rsidR="00AF0CB2" w:rsidRPr="00AF0CB2" w:rsidRDefault="00AF0CB2" w:rsidP="00AF0CB2">
      <w:pPr>
        <w:numPr>
          <w:ilvl w:val="0"/>
          <w:numId w:val="7"/>
        </w:numPr>
        <w:rPr>
          <w:sz w:val="28"/>
          <w:szCs w:val="28"/>
        </w:rPr>
      </w:pPr>
      <w:r w:rsidRPr="00AF0CB2">
        <w:rPr>
          <w:b/>
          <w:bCs/>
          <w:sz w:val="28"/>
          <w:szCs w:val="28"/>
        </w:rPr>
        <w:t>2024</w:t>
      </w:r>
      <w:r w:rsidRPr="00AF0CB2">
        <w:rPr>
          <w:sz w:val="28"/>
          <w:szCs w:val="28"/>
        </w:rPr>
        <w:t>: 538 registrations (Continued expansion)</w:t>
      </w:r>
    </w:p>
    <w:p w14:paraId="010B943F" w14:textId="77777777" w:rsidR="00AF0CB2" w:rsidRPr="00AF0CB2" w:rsidRDefault="00AF0CB2" w:rsidP="00AF0CB2">
      <w:pPr>
        <w:rPr>
          <w:sz w:val="28"/>
          <w:szCs w:val="28"/>
        </w:rPr>
      </w:pPr>
      <w:r w:rsidRPr="00AF0CB2">
        <w:rPr>
          <w:b/>
          <w:bCs/>
          <w:sz w:val="28"/>
          <w:szCs w:val="28"/>
        </w:rPr>
        <w:t>Year-over-Year Growth Patterns:</w:t>
      </w:r>
    </w:p>
    <w:p w14:paraId="3442F3D4" w14:textId="77777777" w:rsidR="00AF0CB2" w:rsidRPr="00AF0CB2" w:rsidRDefault="00AF0CB2" w:rsidP="00AF0CB2">
      <w:pPr>
        <w:numPr>
          <w:ilvl w:val="0"/>
          <w:numId w:val="8"/>
        </w:numPr>
        <w:rPr>
          <w:sz w:val="28"/>
          <w:szCs w:val="28"/>
        </w:rPr>
      </w:pPr>
      <w:r w:rsidRPr="00AF0CB2">
        <w:rPr>
          <w:b/>
          <w:bCs/>
          <w:sz w:val="28"/>
          <w:szCs w:val="28"/>
        </w:rPr>
        <w:t>2019 Surge</w:t>
      </w:r>
      <w:r w:rsidRPr="00AF0CB2">
        <w:rPr>
          <w:sz w:val="28"/>
          <w:szCs w:val="28"/>
        </w:rPr>
        <w:t>: 214% increase indicating market inflection point</w:t>
      </w:r>
    </w:p>
    <w:p w14:paraId="0790D5AD" w14:textId="77777777" w:rsidR="00AF0CB2" w:rsidRPr="00AF0CB2" w:rsidRDefault="00AF0CB2" w:rsidP="00AF0CB2">
      <w:pPr>
        <w:numPr>
          <w:ilvl w:val="0"/>
          <w:numId w:val="8"/>
        </w:numPr>
        <w:rPr>
          <w:sz w:val="28"/>
          <w:szCs w:val="28"/>
        </w:rPr>
      </w:pPr>
      <w:r w:rsidRPr="00AF0CB2">
        <w:rPr>
          <w:b/>
          <w:bCs/>
          <w:sz w:val="28"/>
          <w:szCs w:val="28"/>
        </w:rPr>
        <w:t>2020 Decline</w:t>
      </w:r>
      <w:r w:rsidRPr="00AF0CB2">
        <w:rPr>
          <w:sz w:val="28"/>
          <w:szCs w:val="28"/>
        </w:rPr>
        <w:t>: 56% decrease due to pandemic impact</w:t>
      </w:r>
    </w:p>
    <w:p w14:paraId="5A61FBAA" w14:textId="77777777" w:rsidR="00AF0CB2" w:rsidRPr="00AF0CB2" w:rsidRDefault="00AF0CB2" w:rsidP="00AF0CB2">
      <w:pPr>
        <w:numPr>
          <w:ilvl w:val="0"/>
          <w:numId w:val="8"/>
        </w:numPr>
        <w:rPr>
          <w:sz w:val="28"/>
          <w:szCs w:val="28"/>
        </w:rPr>
      </w:pPr>
      <w:r w:rsidRPr="00AF0CB2">
        <w:rPr>
          <w:b/>
          <w:bCs/>
          <w:sz w:val="28"/>
          <w:szCs w:val="28"/>
        </w:rPr>
        <w:lastRenderedPageBreak/>
        <w:t>2021-2024 Recovery</w:t>
      </w:r>
      <w:r w:rsidRPr="00AF0CB2">
        <w:rPr>
          <w:sz w:val="28"/>
          <w:szCs w:val="28"/>
        </w:rPr>
        <w:t>: Steady growth with 2023-2024 showing strongest performance</w:t>
      </w:r>
    </w:p>
    <w:p w14:paraId="7C009896" w14:textId="77777777" w:rsidR="00AF0CB2" w:rsidRPr="00AF0CB2" w:rsidRDefault="00AF0CB2" w:rsidP="00AF0CB2">
      <w:pPr>
        <w:numPr>
          <w:ilvl w:val="0"/>
          <w:numId w:val="8"/>
        </w:numPr>
        <w:rPr>
          <w:sz w:val="28"/>
          <w:szCs w:val="28"/>
        </w:rPr>
      </w:pPr>
      <w:r w:rsidRPr="00AF0CB2">
        <w:rPr>
          <w:b/>
          <w:bCs/>
          <w:sz w:val="28"/>
          <w:szCs w:val="28"/>
        </w:rPr>
        <w:t>Total Growth</w:t>
      </w:r>
      <w:r w:rsidRPr="00AF0CB2">
        <w:rPr>
          <w:sz w:val="28"/>
          <w:szCs w:val="28"/>
        </w:rPr>
        <w:t>: From 211 (2016) to 538 (2024) - 155% overall increase</w:t>
      </w:r>
    </w:p>
    <w:p w14:paraId="3DEAA356" w14:textId="77777777" w:rsidR="00AF0CB2" w:rsidRPr="00AF0CB2" w:rsidRDefault="00AF0CB2" w:rsidP="00AF0CB2">
      <w:pPr>
        <w:rPr>
          <w:b/>
          <w:bCs/>
          <w:sz w:val="28"/>
          <w:szCs w:val="28"/>
        </w:rPr>
      </w:pPr>
      <w:r w:rsidRPr="00AF0CB2">
        <w:rPr>
          <w:b/>
          <w:bCs/>
          <w:sz w:val="28"/>
          <w:szCs w:val="28"/>
        </w:rPr>
        <w:t>Interactive Features &amp; Car Make Filter</w:t>
      </w:r>
    </w:p>
    <w:p w14:paraId="6D88E2FF" w14:textId="77777777" w:rsidR="00AF0CB2" w:rsidRPr="00AF0CB2" w:rsidRDefault="00AF0CB2" w:rsidP="00AF0CB2">
      <w:pPr>
        <w:rPr>
          <w:sz w:val="28"/>
          <w:szCs w:val="28"/>
        </w:rPr>
      </w:pPr>
      <w:r w:rsidRPr="00AF0CB2">
        <w:rPr>
          <w:b/>
          <w:bCs/>
          <w:sz w:val="28"/>
          <w:szCs w:val="28"/>
        </w:rPr>
        <w:t>Advanced Filtering Capabilities:</w:t>
      </w:r>
    </w:p>
    <w:p w14:paraId="377938CA" w14:textId="77777777" w:rsidR="00AF0CB2" w:rsidRPr="00AF0CB2" w:rsidRDefault="00AF0CB2" w:rsidP="00AF0CB2">
      <w:pPr>
        <w:numPr>
          <w:ilvl w:val="0"/>
          <w:numId w:val="9"/>
        </w:numPr>
        <w:rPr>
          <w:sz w:val="28"/>
          <w:szCs w:val="28"/>
        </w:rPr>
      </w:pPr>
      <w:r w:rsidRPr="00AF0CB2">
        <w:rPr>
          <w:b/>
          <w:bCs/>
          <w:sz w:val="28"/>
          <w:szCs w:val="28"/>
        </w:rPr>
        <w:t>Comprehensive Car Make Filter</w:t>
      </w:r>
      <w:r w:rsidRPr="00AF0CB2">
        <w:rPr>
          <w:sz w:val="28"/>
          <w:szCs w:val="28"/>
        </w:rPr>
        <w:t>: 30+ manufacturers available for selection</w:t>
      </w:r>
    </w:p>
    <w:p w14:paraId="40846371" w14:textId="77777777" w:rsidR="00AF0CB2" w:rsidRPr="00AF0CB2" w:rsidRDefault="00AF0CB2" w:rsidP="00AF0CB2">
      <w:pPr>
        <w:numPr>
          <w:ilvl w:val="0"/>
          <w:numId w:val="9"/>
        </w:numPr>
        <w:rPr>
          <w:sz w:val="28"/>
          <w:szCs w:val="28"/>
        </w:rPr>
      </w:pPr>
      <w:r w:rsidRPr="00AF0CB2">
        <w:rPr>
          <w:b/>
          <w:bCs/>
          <w:sz w:val="28"/>
          <w:szCs w:val="28"/>
        </w:rPr>
        <w:t>Multi-Select Functionality</w:t>
      </w:r>
      <w:r w:rsidRPr="00AF0CB2">
        <w:rPr>
          <w:sz w:val="28"/>
          <w:szCs w:val="28"/>
        </w:rPr>
        <w:t>: Ability to compare multiple manufacturers</w:t>
      </w:r>
    </w:p>
    <w:p w14:paraId="31E7B986" w14:textId="77777777" w:rsidR="00AF0CB2" w:rsidRPr="00AF0CB2" w:rsidRDefault="00AF0CB2" w:rsidP="00AF0CB2">
      <w:pPr>
        <w:numPr>
          <w:ilvl w:val="0"/>
          <w:numId w:val="9"/>
        </w:numPr>
        <w:rPr>
          <w:sz w:val="28"/>
          <w:szCs w:val="28"/>
        </w:rPr>
      </w:pPr>
      <w:r w:rsidRPr="00AF0CB2">
        <w:rPr>
          <w:b/>
          <w:bCs/>
          <w:sz w:val="28"/>
          <w:szCs w:val="28"/>
        </w:rPr>
        <w:t>Dynamic Updates</w:t>
      </w:r>
      <w:r w:rsidRPr="00AF0CB2">
        <w:rPr>
          <w:sz w:val="28"/>
          <w:szCs w:val="28"/>
        </w:rPr>
        <w:t>: All visualizations update based on filter selections</w:t>
      </w:r>
    </w:p>
    <w:p w14:paraId="21C50A7F" w14:textId="77777777" w:rsidR="00AF0CB2" w:rsidRPr="00AF0CB2" w:rsidRDefault="00AF0CB2" w:rsidP="00AF0CB2">
      <w:pPr>
        <w:rPr>
          <w:sz w:val="28"/>
          <w:szCs w:val="28"/>
        </w:rPr>
      </w:pPr>
      <w:r w:rsidRPr="00AF0CB2">
        <w:rPr>
          <w:b/>
          <w:bCs/>
          <w:sz w:val="28"/>
          <w:szCs w:val="28"/>
        </w:rPr>
        <w:t>Available Manufacturer Filters:</w:t>
      </w:r>
      <w:r w:rsidRPr="00AF0CB2">
        <w:rPr>
          <w:sz w:val="28"/>
          <w:szCs w:val="28"/>
        </w:rPr>
        <w:t xml:space="preserve"> ACURA, ALFA ROMEO, AUDI, AZURE DYNAMICS, BENTLEY, BMW, CADILLAC, CHEVROLET, CHRYSLER, DODGE, FIAT, FISKER, FORD, GENESIS, GMC, HONDA, HYUNDAI, JAGUAR, JEEP, KIA, LAND ROVER, LEXUS, LINCOLN, LUCID, MAZDA, MERCEDES-BENZ, MINI, MITSUBISHI, NISSAN, POLESTAR, PORSCHE, RAM, RIVIAN, ROLLS-ROYCE, SMART, SUBARU, TESLA, THINK</w:t>
      </w:r>
    </w:p>
    <w:p w14:paraId="1F30622F" w14:textId="77777777" w:rsidR="00AF0CB2" w:rsidRPr="00AF0CB2" w:rsidRDefault="00AF0CB2" w:rsidP="00AF0CB2">
      <w:pPr>
        <w:rPr>
          <w:b/>
          <w:bCs/>
          <w:sz w:val="28"/>
          <w:szCs w:val="28"/>
        </w:rPr>
      </w:pPr>
      <w:r w:rsidRPr="00AF0CB2">
        <w:rPr>
          <w:b/>
          <w:bCs/>
          <w:sz w:val="28"/>
          <w:szCs w:val="28"/>
        </w:rPr>
        <w:t>Technical Implementation Features</w:t>
      </w:r>
    </w:p>
    <w:p w14:paraId="1E3379D2" w14:textId="77777777" w:rsidR="00AF0CB2" w:rsidRPr="00AF0CB2" w:rsidRDefault="00AF0CB2" w:rsidP="00AF0CB2">
      <w:pPr>
        <w:rPr>
          <w:b/>
          <w:bCs/>
          <w:sz w:val="28"/>
          <w:szCs w:val="28"/>
        </w:rPr>
      </w:pPr>
      <w:r w:rsidRPr="00AF0CB2">
        <w:rPr>
          <w:b/>
          <w:bCs/>
          <w:sz w:val="28"/>
          <w:szCs w:val="28"/>
        </w:rPr>
        <w:t>Tableau Advanced Capabilities</w:t>
      </w:r>
    </w:p>
    <w:p w14:paraId="37D5317A" w14:textId="77777777" w:rsidR="00AF0CB2" w:rsidRPr="00AF0CB2" w:rsidRDefault="00AF0CB2" w:rsidP="00AF0CB2">
      <w:pPr>
        <w:numPr>
          <w:ilvl w:val="0"/>
          <w:numId w:val="10"/>
        </w:numPr>
        <w:rPr>
          <w:sz w:val="28"/>
          <w:szCs w:val="28"/>
        </w:rPr>
      </w:pPr>
      <w:r w:rsidRPr="00AF0CB2">
        <w:rPr>
          <w:b/>
          <w:bCs/>
          <w:sz w:val="28"/>
          <w:szCs w:val="28"/>
        </w:rPr>
        <w:t>Geographic Mapping</w:t>
      </w:r>
      <w:r w:rsidRPr="00AF0CB2">
        <w:rPr>
          <w:sz w:val="28"/>
          <w:szCs w:val="28"/>
        </w:rPr>
        <w:t>: Integrated postcode-level mapping with bubble visualization</w:t>
      </w:r>
    </w:p>
    <w:p w14:paraId="08D7D40A" w14:textId="77777777" w:rsidR="00AF0CB2" w:rsidRPr="00AF0CB2" w:rsidRDefault="00AF0CB2" w:rsidP="00AF0CB2">
      <w:pPr>
        <w:numPr>
          <w:ilvl w:val="0"/>
          <w:numId w:val="10"/>
        </w:numPr>
        <w:rPr>
          <w:sz w:val="28"/>
          <w:szCs w:val="28"/>
        </w:rPr>
      </w:pPr>
      <w:r w:rsidRPr="00AF0CB2">
        <w:rPr>
          <w:b/>
          <w:bCs/>
          <w:sz w:val="28"/>
          <w:szCs w:val="28"/>
        </w:rPr>
        <w:t>Interactive Filtering</w:t>
      </w:r>
      <w:r w:rsidRPr="00AF0CB2">
        <w:rPr>
          <w:sz w:val="28"/>
          <w:szCs w:val="28"/>
        </w:rPr>
        <w:t>: Dynamic manufacturer and geographic filtering</w:t>
      </w:r>
    </w:p>
    <w:p w14:paraId="5AEE3862" w14:textId="77777777" w:rsidR="00AF0CB2" w:rsidRPr="00AF0CB2" w:rsidRDefault="00AF0CB2" w:rsidP="00AF0CB2">
      <w:pPr>
        <w:numPr>
          <w:ilvl w:val="0"/>
          <w:numId w:val="10"/>
        </w:numPr>
        <w:rPr>
          <w:sz w:val="28"/>
          <w:szCs w:val="28"/>
        </w:rPr>
      </w:pPr>
      <w:r w:rsidRPr="00AF0CB2">
        <w:rPr>
          <w:b/>
          <w:bCs/>
          <w:sz w:val="28"/>
          <w:szCs w:val="28"/>
        </w:rPr>
        <w:t>Multi-Chart Dashboard</w:t>
      </w:r>
      <w:r w:rsidRPr="00AF0CB2">
        <w:rPr>
          <w:sz w:val="28"/>
          <w:szCs w:val="28"/>
        </w:rPr>
        <w:t>: Coordinated visualizations with cross-filtering</w:t>
      </w:r>
    </w:p>
    <w:p w14:paraId="7FF5DCA4" w14:textId="77777777" w:rsidR="00AF0CB2" w:rsidRPr="00AF0CB2" w:rsidRDefault="00AF0CB2" w:rsidP="00AF0CB2">
      <w:pPr>
        <w:numPr>
          <w:ilvl w:val="0"/>
          <w:numId w:val="10"/>
        </w:numPr>
        <w:rPr>
          <w:sz w:val="28"/>
          <w:szCs w:val="28"/>
        </w:rPr>
      </w:pPr>
      <w:r w:rsidRPr="00AF0CB2">
        <w:rPr>
          <w:b/>
          <w:bCs/>
          <w:sz w:val="28"/>
          <w:szCs w:val="28"/>
        </w:rPr>
        <w:t>Time Series Analysis</w:t>
      </w:r>
      <w:r w:rsidRPr="00AF0CB2">
        <w:rPr>
          <w:sz w:val="28"/>
          <w:szCs w:val="28"/>
        </w:rPr>
        <w:t>: Year-over-year trend visualization</w:t>
      </w:r>
    </w:p>
    <w:p w14:paraId="161E8601" w14:textId="77777777" w:rsidR="00AF0CB2" w:rsidRPr="00AF0CB2" w:rsidRDefault="00AF0CB2" w:rsidP="00AF0CB2">
      <w:pPr>
        <w:numPr>
          <w:ilvl w:val="0"/>
          <w:numId w:val="10"/>
        </w:numPr>
        <w:rPr>
          <w:sz w:val="28"/>
          <w:szCs w:val="28"/>
        </w:rPr>
      </w:pPr>
      <w:r w:rsidRPr="00AF0CB2">
        <w:rPr>
          <w:b/>
          <w:bCs/>
          <w:sz w:val="28"/>
          <w:szCs w:val="28"/>
        </w:rPr>
        <w:t>Proportional Symbol Mapping</w:t>
      </w:r>
      <w:r w:rsidRPr="00AF0CB2">
        <w:rPr>
          <w:sz w:val="28"/>
          <w:szCs w:val="28"/>
        </w:rPr>
        <w:t>: Geographic distribution with size-coded symbols</w:t>
      </w:r>
    </w:p>
    <w:p w14:paraId="2C0782BF" w14:textId="77777777" w:rsidR="00AF0CB2" w:rsidRPr="00AF0CB2" w:rsidRDefault="00AF0CB2" w:rsidP="00AF0CB2">
      <w:pPr>
        <w:rPr>
          <w:b/>
          <w:bCs/>
          <w:sz w:val="28"/>
          <w:szCs w:val="28"/>
        </w:rPr>
      </w:pPr>
      <w:r w:rsidRPr="00AF0CB2">
        <w:rPr>
          <w:b/>
          <w:bCs/>
          <w:sz w:val="28"/>
          <w:szCs w:val="28"/>
        </w:rPr>
        <w:t>Dashboard Design Elements</w:t>
      </w:r>
    </w:p>
    <w:p w14:paraId="372F9D93" w14:textId="77777777" w:rsidR="00AF0CB2" w:rsidRPr="00AF0CB2" w:rsidRDefault="00AF0CB2" w:rsidP="00AF0CB2">
      <w:pPr>
        <w:numPr>
          <w:ilvl w:val="0"/>
          <w:numId w:val="11"/>
        </w:numPr>
        <w:rPr>
          <w:sz w:val="28"/>
          <w:szCs w:val="28"/>
        </w:rPr>
      </w:pPr>
      <w:r w:rsidRPr="00AF0CB2">
        <w:rPr>
          <w:b/>
          <w:bCs/>
          <w:sz w:val="28"/>
          <w:szCs w:val="28"/>
        </w:rPr>
        <w:t>Clean Layout</w:t>
      </w:r>
      <w:r w:rsidRPr="00AF0CB2">
        <w:rPr>
          <w:sz w:val="28"/>
          <w:szCs w:val="28"/>
        </w:rPr>
        <w:t>: Professional single-page dashboard design</w:t>
      </w:r>
    </w:p>
    <w:p w14:paraId="38BCCF1E" w14:textId="77777777" w:rsidR="00AF0CB2" w:rsidRPr="00AF0CB2" w:rsidRDefault="00AF0CB2" w:rsidP="00AF0CB2">
      <w:pPr>
        <w:numPr>
          <w:ilvl w:val="0"/>
          <w:numId w:val="11"/>
        </w:numPr>
        <w:rPr>
          <w:sz w:val="28"/>
          <w:szCs w:val="28"/>
        </w:rPr>
      </w:pPr>
      <w:r w:rsidRPr="00AF0CB2">
        <w:rPr>
          <w:b/>
          <w:bCs/>
          <w:sz w:val="28"/>
          <w:szCs w:val="28"/>
        </w:rPr>
        <w:lastRenderedPageBreak/>
        <w:t xml:space="preserve">Consistent </w:t>
      </w:r>
      <w:proofErr w:type="spellStart"/>
      <w:r w:rsidRPr="00AF0CB2">
        <w:rPr>
          <w:b/>
          <w:bCs/>
          <w:sz w:val="28"/>
          <w:szCs w:val="28"/>
        </w:rPr>
        <w:t>Color</w:t>
      </w:r>
      <w:proofErr w:type="spellEnd"/>
      <w:r w:rsidRPr="00AF0CB2">
        <w:rPr>
          <w:b/>
          <w:bCs/>
          <w:sz w:val="28"/>
          <w:szCs w:val="28"/>
        </w:rPr>
        <w:t xml:space="preserve"> Scheme</w:t>
      </w:r>
      <w:r w:rsidRPr="00AF0CB2">
        <w:rPr>
          <w:sz w:val="28"/>
          <w:szCs w:val="28"/>
        </w:rPr>
        <w:t>: Teal/mint green theme reflecting environmental focus</w:t>
      </w:r>
    </w:p>
    <w:p w14:paraId="3E628D03" w14:textId="77777777" w:rsidR="00AF0CB2" w:rsidRPr="00AF0CB2" w:rsidRDefault="00AF0CB2" w:rsidP="00AF0CB2">
      <w:pPr>
        <w:numPr>
          <w:ilvl w:val="0"/>
          <w:numId w:val="11"/>
        </w:numPr>
        <w:rPr>
          <w:sz w:val="28"/>
          <w:szCs w:val="28"/>
        </w:rPr>
      </w:pPr>
      <w:r w:rsidRPr="00AF0CB2">
        <w:rPr>
          <w:b/>
          <w:bCs/>
          <w:sz w:val="28"/>
          <w:szCs w:val="28"/>
        </w:rPr>
        <w:t>Data Density</w:t>
      </w:r>
      <w:r w:rsidRPr="00AF0CB2">
        <w:rPr>
          <w:sz w:val="28"/>
          <w:szCs w:val="28"/>
        </w:rPr>
        <w:t>: Comprehensive information without visual overload</w:t>
      </w:r>
    </w:p>
    <w:p w14:paraId="65C88122" w14:textId="77777777" w:rsidR="00AF0CB2" w:rsidRPr="00AF0CB2" w:rsidRDefault="00AF0CB2" w:rsidP="00AF0CB2">
      <w:pPr>
        <w:numPr>
          <w:ilvl w:val="0"/>
          <w:numId w:val="11"/>
        </w:numPr>
        <w:rPr>
          <w:sz w:val="28"/>
          <w:szCs w:val="28"/>
        </w:rPr>
      </w:pPr>
      <w:r w:rsidRPr="00AF0CB2">
        <w:rPr>
          <w:b/>
          <w:bCs/>
          <w:sz w:val="28"/>
          <w:szCs w:val="28"/>
        </w:rPr>
        <w:t>Interactive Elements</w:t>
      </w:r>
      <w:r w:rsidRPr="00AF0CB2">
        <w:rPr>
          <w:sz w:val="28"/>
          <w:szCs w:val="28"/>
        </w:rPr>
        <w:t>: Click-to-filter functionality across all visualizations</w:t>
      </w:r>
    </w:p>
    <w:p w14:paraId="580ED569" w14:textId="77777777" w:rsidR="00AF0CB2" w:rsidRPr="00AF0CB2" w:rsidRDefault="00AF0CB2" w:rsidP="00AF0CB2">
      <w:pPr>
        <w:numPr>
          <w:ilvl w:val="0"/>
          <w:numId w:val="11"/>
        </w:numPr>
        <w:rPr>
          <w:sz w:val="28"/>
          <w:szCs w:val="28"/>
        </w:rPr>
      </w:pPr>
      <w:r w:rsidRPr="00AF0CB2">
        <w:rPr>
          <w:b/>
          <w:bCs/>
          <w:sz w:val="28"/>
          <w:szCs w:val="28"/>
        </w:rPr>
        <w:t>Responsive Design</w:t>
      </w:r>
      <w:r w:rsidRPr="00AF0CB2">
        <w:rPr>
          <w:sz w:val="28"/>
          <w:szCs w:val="28"/>
        </w:rPr>
        <w:t>: Optimized for various screen sizes</w:t>
      </w:r>
    </w:p>
    <w:p w14:paraId="4C1DF1BD" w14:textId="77777777" w:rsidR="00AF0CB2" w:rsidRPr="00AF0CB2" w:rsidRDefault="00AF0CB2" w:rsidP="00AF0CB2">
      <w:pPr>
        <w:rPr>
          <w:b/>
          <w:bCs/>
          <w:sz w:val="28"/>
          <w:szCs w:val="28"/>
        </w:rPr>
      </w:pPr>
      <w:r w:rsidRPr="00AF0CB2">
        <w:rPr>
          <w:b/>
          <w:bCs/>
          <w:sz w:val="28"/>
          <w:szCs w:val="28"/>
        </w:rPr>
        <w:t>Business Intelligence &amp; Policy Insights</w:t>
      </w:r>
    </w:p>
    <w:p w14:paraId="33CFBC46" w14:textId="77777777" w:rsidR="00AF0CB2" w:rsidRPr="00AF0CB2" w:rsidRDefault="00AF0CB2" w:rsidP="00AF0CB2">
      <w:pPr>
        <w:rPr>
          <w:b/>
          <w:bCs/>
          <w:sz w:val="28"/>
          <w:szCs w:val="28"/>
        </w:rPr>
      </w:pPr>
      <w:r w:rsidRPr="00AF0CB2">
        <w:rPr>
          <w:b/>
          <w:bCs/>
          <w:sz w:val="28"/>
          <w:szCs w:val="28"/>
        </w:rPr>
        <w:t>Market Dynamics</w:t>
      </w:r>
    </w:p>
    <w:p w14:paraId="43769063" w14:textId="77777777" w:rsidR="00AF0CB2" w:rsidRPr="00AF0CB2" w:rsidRDefault="00AF0CB2" w:rsidP="00AF0CB2">
      <w:pPr>
        <w:numPr>
          <w:ilvl w:val="0"/>
          <w:numId w:val="12"/>
        </w:numPr>
        <w:rPr>
          <w:sz w:val="28"/>
          <w:szCs w:val="28"/>
        </w:rPr>
      </w:pPr>
      <w:r w:rsidRPr="00AF0CB2">
        <w:rPr>
          <w:b/>
          <w:bCs/>
          <w:sz w:val="28"/>
          <w:szCs w:val="28"/>
        </w:rPr>
        <w:t>Tesla Dominance</w:t>
      </w:r>
      <w:r w:rsidRPr="00AF0CB2">
        <w:rPr>
          <w:sz w:val="28"/>
          <w:szCs w:val="28"/>
        </w:rPr>
        <w:t>: 60%+ market share indicates strong brand preference and charging infrastructure advantage</w:t>
      </w:r>
    </w:p>
    <w:p w14:paraId="368E0054" w14:textId="77777777" w:rsidR="00AF0CB2" w:rsidRPr="00AF0CB2" w:rsidRDefault="00AF0CB2" w:rsidP="00AF0CB2">
      <w:pPr>
        <w:numPr>
          <w:ilvl w:val="0"/>
          <w:numId w:val="12"/>
        </w:numPr>
        <w:rPr>
          <w:sz w:val="28"/>
          <w:szCs w:val="28"/>
        </w:rPr>
      </w:pPr>
      <w:r w:rsidRPr="00AF0CB2">
        <w:rPr>
          <w:b/>
          <w:bCs/>
          <w:sz w:val="28"/>
          <w:szCs w:val="28"/>
        </w:rPr>
        <w:t>Traditional Automaker Adaptation</w:t>
      </w:r>
      <w:r w:rsidRPr="00AF0CB2">
        <w:rPr>
          <w:sz w:val="28"/>
          <w:szCs w:val="28"/>
        </w:rPr>
        <w:t>: Ford, Chevrolet, Toyota successfully transitioning to EV market</w:t>
      </w:r>
    </w:p>
    <w:p w14:paraId="00AF729B" w14:textId="77777777" w:rsidR="00AF0CB2" w:rsidRPr="00AF0CB2" w:rsidRDefault="00AF0CB2" w:rsidP="00AF0CB2">
      <w:pPr>
        <w:numPr>
          <w:ilvl w:val="0"/>
          <w:numId w:val="12"/>
        </w:numPr>
        <w:rPr>
          <w:sz w:val="28"/>
          <w:szCs w:val="28"/>
        </w:rPr>
      </w:pPr>
      <w:r w:rsidRPr="00AF0CB2">
        <w:rPr>
          <w:b/>
          <w:bCs/>
          <w:sz w:val="28"/>
          <w:szCs w:val="28"/>
        </w:rPr>
        <w:t>Premium vs. Mass Market</w:t>
      </w:r>
      <w:r w:rsidRPr="00AF0CB2">
        <w:rPr>
          <w:sz w:val="28"/>
          <w:szCs w:val="28"/>
        </w:rPr>
        <w:t>: Clear segmentation between luxury (BMW, Mercedes) and volume brands</w:t>
      </w:r>
    </w:p>
    <w:p w14:paraId="65CC60D9" w14:textId="77777777" w:rsidR="00AF0CB2" w:rsidRPr="00AF0CB2" w:rsidRDefault="00AF0CB2" w:rsidP="00AF0CB2">
      <w:pPr>
        <w:rPr>
          <w:b/>
          <w:bCs/>
          <w:sz w:val="28"/>
          <w:szCs w:val="28"/>
        </w:rPr>
      </w:pPr>
      <w:r w:rsidRPr="00AF0CB2">
        <w:rPr>
          <w:b/>
          <w:bCs/>
          <w:sz w:val="28"/>
          <w:szCs w:val="28"/>
        </w:rPr>
        <w:t>Geographic Patterns</w:t>
      </w:r>
    </w:p>
    <w:p w14:paraId="6CAC5C0B" w14:textId="77777777" w:rsidR="00AF0CB2" w:rsidRPr="00AF0CB2" w:rsidRDefault="00AF0CB2" w:rsidP="00AF0CB2">
      <w:pPr>
        <w:numPr>
          <w:ilvl w:val="0"/>
          <w:numId w:val="13"/>
        </w:numPr>
        <w:rPr>
          <w:sz w:val="28"/>
          <w:szCs w:val="28"/>
        </w:rPr>
      </w:pPr>
      <w:r w:rsidRPr="00AF0CB2">
        <w:rPr>
          <w:b/>
          <w:bCs/>
          <w:sz w:val="28"/>
          <w:szCs w:val="28"/>
        </w:rPr>
        <w:t>Urban Concentration</w:t>
      </w:r>
      <w:r w:rsidRPr="00AF0CB2">
        <w:rPr>
          <w:sz w:val="28"/>
          <w:szCs w:val="28"/>
        </w:rPr>
        <w:t>: King County (Seattle) represents nearly 50% of state's EV adoption</w:t>
      </w:r>
    </w:p>
    <w:p w14:paraId="2B53F6ED" w14:textId="77777777" w:rsidR="00AF0CB2" w:rsidRPr="00AF0CB2" w:rsidRDefault="00AF0CB2" w:rsidP="00AF0CB2">
      <w:pPr>
        <w:numPr>
          <w:ilvl w:val="0"/>
          <w:numId w:val="13"/>
        </w:numPr>
        <w:rPr>
          <w:sz w:val="28"/>
          <w:szCs w:val="28"/>
        </w:rPr>
      </w:pPr>
      <w:r w:rsidRPr="00AF0CB2">
        <w:rPr>
          <w:b/>
          <w:bCs/>
          <w:sz w:val="28"/>
          <w:szCs w:val="28"/>
        </w:rPr>
        <w:t>Infrastructure Correlation</w:t>
      </w:r>
      <w:r w:rsidRPr="00AF0CB2">
        <w:rPr>
          <w:sz w:val="28"/>
          <w:szCs w:val="28"/>
        </w:rPr>
        <w:t>: Higher adoption in areas with established charging networks</w:t>
      </w:r>
    </w:p>
    <w:p w14:paraId="4F34AF59" w14:textId="77777777" w:rsidR="00AF0CB2" w:rsidRPr="00AF0CB2" w:rsidRDefault="00AF0CB2" w:rsidP="00AF0CB2">
      <w:pPr>
        <w:numPr>
          <w:ilvl w:val="0"/>
          <w:numId w:val="13"/>
        </w:numPr>
        <w:rPr>
          <w:sz w:val="28"/>
          <w:szCs w:val="28"/>
        </w:rPr>
      </w:pPr>
      <w:r w:rsidRPr="00AF0CB2">
        <w:rPr>
          <w:b/>
          <w:bCs/>
          <w:sz w:val="28"/>
          <w:szCs w:val="28"/>
        </w:rPr>
        <w:t>Income Demographics</w:t>
      </w:r>
      <w:r w:rsidRPr="00AF0CB2">
        <w:rPr>
          <w:sz w:val="28"/>
          <w:szCs w:val="28"/>
        </w:rPr>
        <w:t>: Stronger adoption in higher-income counties (King, Snohomish)</w:t>
      </w:r>
    </w:p>
    <w:p w14:paraId="3337CD96" w14:textId="77777777" w:rsidR="00AF0CB2" w:rsidRPr="00AF0CB2" w:rsidRDefault="00AF0CB2" w:rsidP="00AF0CB2">
      <w:pPr>
        <w:rPr>
          <w:b/>
          <w:bCs/>
          <w:sz w:val="28"/>
          <w:szCs w:val="28"/>
        </w:rPr>
      </w:pPr>
      <w:r w:rsidRPr="00AF0CB2">
        <w:rPr>
          <w:b/>
          <w:bCs/>
          <w:sz w:val="28"/>
          <w:szCs w:val="28"/>
        </w:rPr>
        <w:t>Temporal Insights</w:t>
      </w:r>
    </w:p>
    <w:p w14:paraId="7ED6CEAD" w14:textId="77777777" w:rsidR="00AF0CB2" w:rsidRPr="00AF0CB2" w:rsidRDefault="00AF0CB2" w:rsidP="00AF0CB2">
      <w:pPr>
        <w:numPr>
          <w:ilvl w:val="0"/>
          <w:numId w:val="14"/>
        </w:numPr>
        <w:rPr>
          <w:sz w:val="28"/>
          <w:szCs w:val="28"/>
        </w:rPr>
      </w:pPr>
      <w:r w:rsidRPr="00AF0CB2">
        <w:rPr>
          <w:b/>
          <w:bCs/>
          <w:sz w:val="28"/>
          <w:szCs w:val="28"/>
        </w:rPr>
        <w:t>Policy Impact</w:t>
      </w:r>
      <w:r w:rsidRPr="00AF0CB2">
        <w:rPr>
          <w:sz w:val="28"/>
          <w:szCs w:val="28"/>
        </w:rPr>
        <w:t>: Growth patterns likely reflect state and federal EV incentive programs</w:t>
      </w:r>
    </w:p>
    <w:p w14:paraId="11C3C53A" w14:textId="77777777" w:rsidR="00AF0CB2" w:rsidRPr="00AF0CB2" w:rsidRDefault="00AF0CB2" w:rsidP="00AF0CB2">
      <w:pPr>
        <w:numPr>
          <w:ilvl w:val="0"/>
          <w:numId w:val="14"/>
        </w:numPr>
        <w:rPr>
          <w:sz w:val="28"/>
          <w:szCs w:val="28"/>
        </w:rPr>
      </w:pPr>
      <w:r w:rsidRPr="00AF0CB2">
        <w:rPr>
          <w:b/>
          <w:bCs/>
          <w:sz w:val="28"/>
          <w:szCs w:val="28"/>
        </w:rPr>
        <w:t>Market Maturation</w:t>
      </w:r>
      <w:r w:rsidRPr="00AF0CB2">
        <w:rPr>
          <w:sz w:val="28"/>
          <w:szCs w:val="28"/>
        </w:rPr>
        <w:t>: Stabilizing growth rates suggest market moving beyond early adopters</w:t>
      </w:r>
    </w:p>
    <w:p w14:paraId="1E71F7A5" w14:textId="77777777" w:rsidR="00AF0CB2" w:rsidRPr="00AF0CB2" w:rsidRDefault="00AF0CB2" w:rsidP="00AF0CB2">
      <w:pPr>
        <w:numPr>
          <w:ilvl w:val="0"/>
          <w:numId w:val="14"/>
        </w:numPr>
        <w:rPr>
          <w:sz w:val="28"/>
          <w:szCs w:val="28"/>
        </w:rPr>
      </w:pPr>
      <w:r w:rsidRPr="00AF0CB2">
        <w:rPr>
          <w:b/>
          <w:bCs/>
          <w:sz w:val="28"/>
          <w:szCs w:val="28"/>
        </w:rPr>
        <w:t>Future Projections</w:t>
      </w:r>
      <w:r w:rsidRPr="00AF0CB2">
        <w:rPr>
          <w:sz w:val="28"/>
          <w:szCs w:val="28"/>
        </w:rPr>
        <w:t>: Current trajectory suggests continued strong growth</w:t>
      </w:r>
    </w:p>
    <w:p w14:paraId="153649EA" w14:textId="77777777" w:rsidR="00AF0CB2" w:rsidRPr="00AF0CB2" w:rsidRDefault="00AF0CB2" w:rsidP="00AF0CB2">
      <w:pPr>
        <w:rPr>
          <w:b/>
          <w:bCs/>
          <w:sz w:val="28"/>
          <w:szCs w:val="28"/>
        </w:rPr>
      </w:pPr>
      <w:r w:rsidRPr="00AF0CB2">
        <w:rPr>
          <w:b/>
          <w:bCs/>
          <w:sz w:val="28"/>
          <w:szCs w:val="28"/>
        </w:rPr>
        <w:lastRenderedPageBreak/>
        <w:t>Environmental Impact</w:t>
      </w:r>
    </w:p>
    <w:p w14:paraId="5EBE48BC" w14:textId="77777777" w:rsidR="00AF0CB2" w:rsidRPr="00AF0CB2" w:rsidRDefault="00AF0CB2" w:rsidP="00AF0CB2">
      <w:pPr>
        <w:numPr>
          <w:ilvl w:val="0"/>
          <w:numId w:val="15"/>
        </w:numPr>
        <w:rPr>
          <w:sz w:val="28"/>
          <w:szCs w:val="28"/>
        </w:rPr>
      </w:pPr>
      <w:r w:rsidRPr="00AF0CB2">
        <w:rPr>
          <w:b/>
          <w:bCs/>
          <w:sz w:val="28"/>
          <w:szCs w:val="28"/>
        </w:rPr>
        <w:t>Washington State Leadership</w:t>
      </w:r>
      <w:r w:rsidRPr="00AF0CB2">
        <w:rPr>
          <w:sz w:val="28"/>
          <w:szCs w:val="28"/>
        </w:rPr>
        <w:t>: High per-capita EV adoption reflects state's environmental policies</w:t>
      </w:r>
    </w:p>
    <w:p w14:paraId="44F92D03" w14:textId="77777777" w:rsidR="00AF0CB2" w:rsidRPr="00AF0CB2" w:rsidRDefault="00AF0CB2" w:rsidP="00AF0CB2">
      <w:pPr>
        <w:numPr>
          <w:ilvl w:val="0"/>
          <w:numId w:val="15"/>
        </w:numPr>
        <w:rPr>
          <w:sz w:val="28"/>
          <w:szCs w:val="28"/>
        </w:rPr>
      </w:pPr>
      <w:r w:rsidRPr="00AF0CB2">
        <w:rPr>
          <w:b/>
          <w:bCs/>
          <w:sz w:val="28"/>
          <w:szCs w:val="28"/>
        </w:rPr>
        <w:t>Clean Energy Alignment</w:t>
      </w:r>
      <w:r w:rsidRPr="00AF0CB2">
        <w:rPr>
          <w:sz w:val="28"/>
          <w:szCs w:val="28"/>
        </w:rPr>
        <w:t>: EV growth complements Washington's hydroelectric power infrastructure</w:t>
      </w:r>
    </w:p>
    <w:p w14:paraId="2640A854" w14:textId="77777777" w:rsidR="00AF0CB2" w:rsidRPr="00AF0CB2" w:rsidRDefault="00AF0CB2" w:rsidP="00AF0CB2">
      <w:pPr>
        <w:numPr>
          <w:ilvl w:val="0"/>
          <w:numId w:val="15"/>
        </w:numPr>
        <w:rPr>
          <w:sz w:val="28"/>
          <w:szCs w:val="28"/>
        </w:rPr>
      </w:pPr>
      <w:r w:rsidRPr="00AF0CB2">
        <w:rPr>
          <w:b/>
          <w:bCs/>
          <w:sz w:val="28"/>
          <w:szCs w:val="28"/>
        </w:rPr>
        <w:t>Carbon Reduction</w:t>
      </w:r>
      <w:r w:rsidRPr="00AF0CB2">
        <w:rPr>
          <w:sz w:val="28"/>
          <w:szCs w:val="28"/>
        </w:rPr>
        <w:t>: Significant contribution to state's carbon neutrality goals</w:t>
      </w:r>
    </w:p>
    <w:p w14:paraId="198668FF" w14:textId="77777777" w:rsidR="00AF0CB2" w:rsidRPr="00AF0CB2" w:rsidRDefault="00AF0CB2" w:rsidP="00AF0CB2">
      <w:pPr>
        <w:rPr>
          <w:b/>
          <w:bCs/>
          <w:sz w:val="28"/>
          <w:szCs w:val="28"/>
        </w:rPr>
      </w:pPr>
      <w:r w:rsidRPr="00AF0CB2">
        <w:rPr>
          <w:b/>
          <w:bCs/>
          <w:sz w:val="28"/>
          <w:szCs w:val="28"/>
        </w:rPr>
        <w:t>Technical Specifications</w:t>
      </w:r>
    </w:p>
    <w:p w14:paraId="5476C73E" w14:textId="77777777" w:rsidR="00AF0CB2" w:rsidRPr="00AF0CB2" w:rsidRDefault="00AF0CB2" w:rsidP="00AF0CB2">
      <w:pPr>
        <w:numPr>
          <w:ilvl w:val="0"/>
          <w:numId w:val="16"/>
        </w:numPr>
        <w:rPr>
          <w:sz w:val="28"/>
          <w:szCs w:val="28"/>
        </w:rPr>
      </w:pPr>
      <w:r w:rsidRPr="00AF0CB2">
        <w:rPr>
          <w:b/>
          <w:bCs/>
          <w:sz w:val="28"/>
          <w:szCs w:val="28"/>
        </w:rPr>
        <w:t>Platform</w:t>
      </w:r>
      <w:r w:rsidRPr="00AF0CB2">
        <w:rPr>
          <w:sz w:val="28"/>
          <w:szCs w:val="28"/>
        </w:rPr>
        <w:t>: Tableau Desktop/Public</w:t>
      </w:r>
    </w:p>
    <w:p w14:paraId="6BC66FBC" w14:textId="77777777" w:rsidR="00AF0CB2" w:rsidRPr="00AF0CB2" w:rsidRDefault="00AF0CB2" w:rsidP="00AF0CB2">
      <w:pPr>
        <w:numPr>
          <w:ilvl w:val="0"/>
          <w:numId w:val="16"/>
        </w:numPr>
        <w:rPr>
          <w:sz w:val="28"/>
          <w:szCs w:val="28"/>
        </w:rPr>
      </w:pPr>
      <w:r w:rsidRPr="00AF0CB2">
        <w:rPr>
          <w:b/>
          <w:bCs/>
          <w:sz w:val="28"/>
          <w:szCs w:val="28"/>
        </w:rPr>
        <w:t>Data Sources</w:t>
      </w:r>
      <w:r w:rsidRPr="00AF0CB2">
        <w:rPr>
          <w:sz w:val="28"/>
          <w:szCs w:val="28"/>
        </w:rPr>
        <w:t>: Washington State Department of Licensing EV registration data</w:t>
      </w:r>
    </w:p>
    <w:p w14:paraId="36B973D0" w14:textId="77777777" w:rsidR="00AF0CB2" w:rsidRPr="00AF0CB2" w:rsidRDefault="00AF0CB2" w:rsidP="00AF0CB2">
      <w:pPr>
        <w:numPr>
          <w:ilvl w:val="0"/>
          <w:numId w:val="16"/>
        </w:numPr>
        <w:rPr>
          <w:sz w:val="28"/>
          <w:szCs w:val="28"/>
        </w:rPr>
      </w:pPr>
      <w:r w:rsidRPr="00AF0CB2">
        <w:rPr>
          <w:b/>
          <w:bCs/>
          <w:sz w:val="28"/>
          <w:szCs w:val="28"/>
        </w:rPr>
        <w:t>Geographic Integration</w:t>
      </w:r>
      <w:r w:rsidRPr="00AF0CB2">
        <w:rPr>
          <w:sz w:val="28"/>
          <w:szCs w:val="28"/>
        </w:rPr>
        <w:t xml:space="preserve">: Postcode-level mapping with </w:t>
      </w:r>
      <w:proofErr w:type="spellStart"/>
      <w:r w:rsidRPr="00AF0CB2">
        <w:rPr>
          <w:sz w:val="28"/>
          <w:szCs w:val="28"/>
        </w:rPr>
        <w:t>Mapbox</w:t>
      </w:r>
      <w:proofErr w:type="spellEnd"/>
      <w:r w:rsidRPr="00AF0CB2">
        <w:rPr>
          <w:sz w:val="28"/>
          <w:szCs w:val="28"/>
        </w:rPr>
        <w:t xml:space="preserve"> integration</w:t>
      </w:r>
    </w:p>
    <w:p w14:paraId="039CB76D" w14:textId="77777777" w:rsidR="00AF0CB2" w:rsidRPr="00AF0CB2" w:rsidRDefault="00AF0CB2" w:rsidP="00AF0CB2">
      <w:pPr>
        <w:numPr>
          <w:ilvl w:val="0"/>
          <w:numId w:val="16"/>
        </w:numPr>
        <w:rPr>
          <w:sz w:val="28"/>
          <w:szCs w:val="28"/>
        </w:rPr>
      </w:pPr>
      <w:r w:rsidRPr="00AF0CB2">
        <w:rPr>
          <w:b/>
          <w:bCs/>
          <w:sz w:val="28"/>
          <w:szCs w:val="28"/>
        </w:rPr>
        <w:t>Time Series</w:t>
      </w:r>
      <w:r w:rsidRPr="00AF0CB2">
        <w:rPr>
          <w:sz w:val="28"/>
          <w:szCs w:val="28"/>
        </w:rPr>
        <w:t>: 9-year historical analysis (2016-2024)</w:t>
      </w:r>
    </w:p>
    <w:p w14:paraId="2E35814D" w14:textId="77777777" w:rsidR="00AF0CB2" w:rsidRPr="00AF0CB2" w:rsidRDefault="00AF0CB2" w:rsidP="00AF0CB2">
      <w:pPr>
        <w:numPr>
          <w:ilvl w:val="0"/>
          <w:numId w:val="16"/>
        </w:numPr>
        <w:rPr>
          <w:sz w:val="28"/>
          <w:szCs w:val="28"/>
        </w:rPr>
      </w:pPr>
      <w:r w:rsidRPr="00AF0CB2">
        <w:rPr>
          <w:b/>
          <w:bCs/>
          <w:sz w:val="28"/>
          <w:szCs w:val="28"/>
        </w:rPr>
        <w:t>Manufacturer Coverage</w:t>
      </w:r>
      <w:r w:rsidRPr="00AF0CB2">
        <w:rPr>
          <w:sz w:val="28"/>
          <w:szCs w:val="28"/>
        </w:rPr>
        <w:t>: 30+ automotive brands</w:t>
      </w:r>
    </w:p>
    <w:p w14:paraId="55AE435C" w14:textId="77777777" w:rsidR="00AF0CB2" w:rsidRPr="00AF0CB2" w:rsidRDefault="00AF0CB2" w:rsidP="00AF0CB2">
      <w:pPr>
        <w:numPr>
          <w:ilvl w:val="0"/>
          <w:numId w:val="16"/>
        </w:numPr>
        <w:rPr>
          <w:sz w:val="28"/>
          <w:szCs w:val="28"/>
        </w:rPr>
      </w:pPr>
      <w:r w:rsidRPr="00AF0CB2">
        <w:rPr>
          <w:b/>
          <w:bCs/>
          <w:sz w:val="28"/>
          <w:szCs w:val="28"/>
        </w:rPr>
        <w:t>Geographic Scope</w:t>
      </w:r>
      <w:r w:rsidRPr="00AF0CB2">
        <w:rPr>
          <w:sz w:val="28"/>
          <w:szCs w:val="28"/>
        </w:rPr>
        <w:t>: All 39 Washington counties with postcode-level detail</w:t>
      </w:r>
    </w:p>
    <w:p w14:paraId="195AF8D7" w14:textId="77777777" w:rsidR="00AF0CB2" w:rsidRPr="00AF0CB2" w:rsidRDefault="00AF0CB2" w:rsidP="00AF0CB2">
      <w:pPr>
        <w:numPr>
          <w:ilvl w:val="0"/>
          <w:numId w:val="16"/>
        </w:numPr>
        <w:rPr>
          <w:sz w:val="28"/>
          <w:szCs w:val="28"/>
        </w:rPr>
      </w:pPr>
      <w:r w:rsidRPr="00AF0CB2">
        <w:rPr>
          <w:b/>
          <w:bCs/>
          <w:sz w:val="28"/>
          <w:szCs w:val="28"/>
        </w:rPr>
        <w:t>Interactive Elements</w:t>
      </w:r>
      <w:r w:rsidRPr="00AF0CB2">
        <w:rPr>
          <w:sz w:val="28"/>
          <w:szCs w:val="28"/>
        </w:rPr>
        <w:t>: Multi-dimensional filtering and drill-down capabilities</w:t>
      </w:r>
    </w:p>
    <w:p w14:paraId="52091078" w14:textId="77777777" w:rsidR="00AF0CB2" w:rsidRPr="00AF0CB2" w:rsidRDefault="00AF0CB2" w:rsidP="00AF0CB2">
      <w:pPr>
        <w:rPr>
          <w:b/>
          <w:bCs/>
          <w:sz w:val="28"/>
          <w:szCs w:val="28"/>
        </w:rPr>
      </w:pPr>
      <w:r w:rsidRPr="00AF0CB2">
        <w:rPr>
          <w:b/>
          <w:bCs/>
          <w:sz w:val="28"/>
          <w:szCs w:val="28"/>
        </w:rPr>
        <w:t>Project Value &amp; Skills Demonstrated</w:t>
      </w:r>
    </w:p>
    <w:p w14:paraId="40C9A68F" w14:textId="77777777" w:rsidR="00AF0CB2" w:rsidRPr="00AF0CB2" w:rsidRDefault="00AF0CB2" w:rsidP="00AF0CB2">
      <w:pPr>
        <w:rPr>
          <w:sz w:val="28"/>
          <w:szCs w:val="28"/>
        </w:rPr>
      </w:pPr>
      <w:r w:rsidRPr="00AF0CB2">
        <w:rPr>
          <w:sz w:val="28"/>
          <w:szCs w:val="28"/>
        </w:rPr>
        <w:t>This Tableau dashboard showcases advanced data visualization and analysis capabilities including:</w:t>
      </w:r>
    </w:p>
    <w:p w14:paraId="1307830F" w14:textId="77777777" w:rsidR="00AF0CB2" w:rsidRPr="00AF0CB2" w:rsidRDefault="00AF0CB2" w:rsidP="00AF0CB2">
      <w:pPr>
        <w:numPr>
          <w:ilvl w:val="0"/>
          <w:numId w:val="17"/>
        </w:numPr>
        <w:rPr>
          <w:sz w:val="28"/>
          <w:szCs w:val="28"/>
        </w:rPr>
      </w:pPr>
      <w:r w:rsidRPr="00AF0CB2">
        <w:rPr>
          <w:b/>
          <w:bCs/>
          <w:sz w:val="28"/>
          <w:szCs w:val="28"/>
        </w:rPr>
        <w:t>Geographic Intelligence</w:t>
      </w:r>
      <w:r w:rsidRPr="00AF0CB2">
        <w:rPr>
          <w:sz w:val="28"/>
          <w:szCs w:val="28"/>
        </w:rPr>
        <w:t>: Spatial analysis and location-based insights</w:t>
      </w:r>
    </w:p>
    <w:p w14:paraId="223B9863" w14:textId="77777777" w:rsidR="00AF0CB2" w:rsidRPr="00AF0CB2" w:rsidRDefault="00AF0CB2" w:rsidP="00AF0CB2">
      <w:pPr>
        <w:numPr>
          <w:ilvl w:val="0"/>
          <w:numId w:val="17"/>
        </w:numPr>
        <w:rPr>
          <w:sz w:val="28"/>
          <w:szCs w:val="28"/>
        </w:rPr>
      </w:pPr>
      <w:r w:rsidRPr="00AF0CB2">
        <w:rPr>
          <w:b/>
          <w:bCs/>
          <w:sz w:val="28"/>
          <w:szCs w:val="28"/>
        </w:rPr>
        <w:t>Market Analysis</w:t>
      </w:r>
      <w:r w:rsidRPr="00AF0CB2">
        <w:rPr>
          <w:sz w:val="28"/>
          <w:szCs w:val="28"/>
        </w:rPr>
        <w:t>: Competitive landscape and manufacturer performance evaluation</w:t>
      </w:r>
    </w:p>
    <w:p w14:paraId="6351E1CF" w14:textId="77777777" w:rsidR="00AF0CB2" w:rsidRPr="00AF0CB2" w:rsidRDefault="00AF0CB2" w:rsidP="00AF0CB2">
      <w:pPr>
        <w:numPr>
          <w:ilvl w:val="0"/>
          <w:numId w:val="17"/>
        </w:numPr>
        <w:rPr>
          <w:sz w:val="28"/>
          <w:szCs w:val="28"/>
        </w:rPr>
      </w:pPr>
      <w:r w:rsidRPr="00AF0CB2">
        <w:rPr>
          <w:b/>
          <w:bCs/>
          <w:sz w:val="28"/>
          <w:szCs w:val="28"/>
        </w:rPr>
        <w:t>Temporal Analytics</w:t>
      </w:r>
      <w:r w:rsidRPr="00AF0CB2">
        <w:rPr>
          <w:sz w:val="28"/>
          <w:szCs w:val="28"/>
        </w:rPr>
        <w:t>: Time series analysis with trend identification</w:t>
      </w:r>
    </w:p>
    <w:p w14:paraId="5750A5DA" w14:textId="77777777" w:rsidR="00AF0CB2" w:rsidRPr="00AF0CB2" w:rsidRDefault="00AF0CB2" w:rsidP="00AF0CB2">
      <w:pPr>
        <w:numPr>
          <w:ilvl w:val="0"/>
          <w:numId w:val="17"/>
        </w:numPr>
        <w:rPr>
          <w:sz w:val="28"/>
          <w:szCs w:val="28"/>
        </w:rPr>
      </w:pPr>
      <w:r w:rsidRPr="00AF0CB2">
        <w:rPr>
          <w:b/>
          <w:bCs/>
          <w:sz w:val="28"/>
          <w:szCs w:val="28"/>
        </w:rPr>
        <w:lastRenderedPageBreak/>
        <w:t>Policy Analysis</w:t>
      </w:r>
      <w:r w:rsidRPr="00AF0CB2">
        <w:rPr>
          <w:sz w:val="28"/>
          <w:szCs w:val="28"/>
        </w:rPr>
        <w:t>: Understanding regulatory impact on market adoption</w:t>
      </w:r>
    </w:p>
    <w:p w14:paraId="4BF78C5D" w14:textId="77777777" w:rsidR="00AF0CB2" w:rsidRPr="00AF0CB2" w:rsidRDefault="00AF0CB2" w:rsidP="00AF0CB2">
      <w:pPr>
        <w:numPr>
          <w:ilvl w:val="0"/>
          <w:numId w:val="17"/>
        </w:numPr>
        <w:rPr>
          <w:sz w:val="28"/>
          <w:szCs w:val="28"/>
        </w:rPr>
      </w:pPr>
      <w:r w:rsidRPr="00AF0CB2">
        <w:rPr>
          <w:b/>
          <w:bCs/>
          <w:sz w:val="28"/>
          <w:szCs w:val="28"/>
        </w:rPr>
        <w:t>Environmental Analytics</w:t>
      </w:r>
      <w:r w:rsidRPr="00AF0CB2">
        <w:rPr>
          <w:sz w:val="28"/>
          <w:szCs w:val="28"/>
        </w:rPr>
        <w:t>: Clean technology adoption patterns</w:t>
      </w:r>
    </w:p>
    <w:p w14:paraId="72D0A266" w14:textId="77777777" w:rsidR="00AF0CB2" w:rsidRPr="00AF0CB2" w:rsidRDefault="00AF0CB2" w:rsidP="00AF0CB2">
      <w:pPr>
        <w:numPr>
          <w:ilvl w:val="0"/>
          <w:numId w:val="17"/>
        </w:numPr>
        <w:rPr>
          <w:sz w:val="28"/>
          <w:szCs w:val="28"/>
        </w:rPr>
      </w:pPr>
      <w:r w:rsidRPr="00AF0CB2">
        <w:rPr>
          <w:b/>
          <w:bCs/>
          <w:sz w:val="28"/>
          <w:szCs w:val="28"/>
        </w:rPr>
        <w:t>Interactive Design</w:t>
      </w:r>
      <w:r w:rsidRPr="00AF0CB2">
        <w:rPr>
          <w:sz w:val="28"/>
          <w:szCs w:val="28"/>
        </w:rPr>
        <w:t>: User-friendly interface with advanced filtering capabilities</w:t>
      </w:r>
    </w:p>
    <w:p w14:paraId="48F3225C" w14:textId="77777777" w:rsidR="00AF0CB2" w:rsidRPr="00AF0CB2" w:rsidRDefault="00AF0CB2" w:rsidP="00AF0CB2">
      <w:pPr>
        <w:rPr>
          <w:sz w:val="28"/>
          <w:szCs w:val="28"/>
        </w:rPr>
      </w:pPr>
      <w:r w:rsidRPr="00AF0CB2">
        <w:rPr>
          <w:sz w:val="28"/>
          <w:szCs w:val="28"/>
        </w:rPr>
        <w:t>The solution demonstrates proficiency in creating policy-relevant dashboards that support:</w:t>
      </w:r>
    </w:p>
    <w:p w14:paraId="3279EE47" w14:textId="77777777" w:rsidR="00AF0CB2" w:rsidRPr="00AF0CB2" w:rsidRDefault="00AF0CB2" w:rsidP="00AF0CB2">
      <w:pPr>
        <w:numPr>
          <w:ilvl w:val="0"/>
          <w:numId w:val="18"/>
        </w:numPr>
        <w:rPr>
          <w:sz w:val="28"/>
          <w:szCs w:val="28"/>
        </w:rPr>
      </w:pPr>
      <w:r w:rsidRPr="00AF0CB2">
        <w:rPr>
          <w:b/>
          <w:bCs/>
          <w:sz w:val="28"/>
          <w:szCs w:val="28"/>
        </w:rPr>
        <w:t>Government Planning</w:t>
      </w:r>
      <w:r w:rsidRPr="00AF0CB2">
        <w:rPr>
          <w:sz w:val="28"/>
          <w:szCs w:val="28"/>
        </w:rPr>
        <w:t>: Infrastructure development and policy optimization</w:t>
      </w:r>
    </w:p>
    <w:p w14:paraId="0AB6DEE1" w14:textId="77777777" w:rsidR="00AF0CB2" w:rsidRPr="00AF0CB2" w:rsidRDefault="00AF0CB2" w:rsidP="00AF0CB2">
      <w:pPr>
        <w:numPr>
          <w:ilvl w:val="0"/>
          <w:numId w:val="18"/>
        </w:numPr>
        <w:rPr>
          <w:sz w:val="28"/>
          <w:szCs w:val="28"/>
        </w:rPr>
      </w:pPr>
      <w:r w:rsidRPr="00AF0CB2">
        <w:rPr>
          <w:b/>
          <w:bCs/>
          <w:sz w:val="28"/>
          <w:szCs w:val="28"/>
        </w:rPr>
        <w:t>Business Strategy</w:t>
      </w:r>
      <w:r w:rsidRPr="00AF0CB2">
        <w:rPr>
          <w:sz w:val="28"/>
          <w:szCs w:val="28"/>
        </w:rPr>
        <w:t>: Market entry and competitive positioning analysis</w:t>
      </w:r>
    </w:p>
    <w:p w14:paraId="24912359" w14:textId="77777777" w:rsidR="00AF0CB2" w:rsidRPr="00AF0CB2" w:rsidRDefault="00AF0CB2" w:rsidP="00AF0CB2">
      <w:pPr>
        <w:numPr>
          <w:ilvl w:val="0"/>
          <w:numId w:val="18"/>
        </w:numPr>
        <w:rPr>
          <w:sz w:val="28"/>
          <w:szCs w:val="28"/>
        </w:rPr>
      </w:pPr>
      <w:r w:rsidRPr="00AF0CB2">
        <w:rPr>
          <w:b/>
          <w:bCs/>
          <w:sz w:val="28"/>
          <w:szCs w:val="28"/>
        </w:rPr>
        <w:t>Environmental Policy</w:t>
      </w:r>
      <w:r w:rsidRPr="00AF0CB2">
        <w:rPr>
          <w:sz w:val="28"/>
          <w:szCs w:val="28"/>
        </w:rPr>
        <w:t>: Clean transportation initiative effectiveness</w:t>
      </w:r>
    </w:p>
    <w:p w14:paraId="6F05DD5A" w14:textId="77777777" w:rsidR="00AF0CB2" w:rsidRPr="00AF0CB2" w:rsidRDefault="00AF0CB2" w:rsidP="00AF0CB2">
      <w:pPr>
        <w:numPr>
          <w:ilvl w:val="0"/>
          <w:numId w:val="18"/>
        </w:numPr>
        <w:rPr>
          <w:sz w:val="28"/>
          <w:szCs w:val="28"/>
        </w:rPr>
      </w:pPr>
      <w:r w:rsidRPr="00AF0CB2">
        <w:rPr>
          <w:b/>
          <w:bCs/>
          <w:sz w:val="28"/>
          <w:szCs w:val="28"/>
        </w:rPr>
        <w:t>Urban Planning</w:t>
      </w:r>
      <w:r w:rsidRPr="00AF0CB2">
        <w:rPr>
          <w:sz w:val="28"/>
          <w:szCs w:val="28"/>
        </w:rPr>
        <w:t>: EV charging infrastructure development priorities</w:t>
      </w:r>
    </w:p>
    <w:p w14:paraId="4F09C599" w14:textId="77777777" w:rsidR="00AF0CB2" w:rsidRPr="00AF0CB2" w:rsidRDefault="00AF0CB2" w:rsidP="00AF0CB2">
      <w:pPr>
        <w:rPr>
          <w:sz w:val="28"/>
          <w:szCs w:val="28"/>
        </w:rPr>
      </w:pPr>
      <w:r w:rsidRPr="00AF0CB2">
        <w:rPr>
          <w:sz w:val="28"/>
          <w:szCs w:val="28"/>
        </w:rPr>
        <w:t>This dashboard represents a comprehensive analysis tool suitable for state agencies, automotive manufacturers, environmental organizations, and urban planners making data-driven decisions about electric vehicle adoption and infrastructure development.</w:t>
      </w:r>
    </w:p>
    <w:p w14:paraId="6093548D" w14:textId="77777777" w:rsidR="001A2520" w:rsidRPr="000F7604" w:rsidRDefault="001A2520">
      <w:pPr>
        <w:rPr>
          <w:sz w:val="28"/>
          <w:szCs w:val="28"/>
        </w:rPr>
      </w:pPr>
    </w:p>
    <w:sectPr w:rsidR="001A2520" w:rsidRPr="000F7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21C7"/>
    <w:multiLevelType w:val="multilevel"/>
    <w:tmpl w:val="F37C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D3AC2"/>
    <w:multiLevelType w:val="multilevel"/>
    <w:tmpl w:val="C584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2742D"/>
    <w:multiLevelType w:val="multilevel"/>
    <w:tmpl w:val="7900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E1FDD"/>
    <w:multiLevelType w:val="multilevel"/>
    <w:tmpl w:val="1DDA9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778A7"/>
    <w:multiLevelType w:val="multilevel"/>
    <w:tmpl w:val="F58A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82098"/>
    <w:multiLevelType w:val="multilevel"/>
    <w:tmpl w:val="4B90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823C8"/>
    <w:multiLevelType w:val="multilevel"/>
    <w:tmpl w:val="D7E2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C5628"/>
    <w:multiLevelType w:val="multilevel"/>
    <w:tmpl w:val="0268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C5D61"/>
    <w:multiLevelType w:val="multilevel"/>
    <w:tmpl w:val="5CE4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A4B9A"/>
    <w:multiLevelType w:val="multilevel"/>
    <w:tmpl w:val="1024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04FC1"/>
    <w:multiLevelType w:val="multilevel"/>
    <w:tmpl w:val="C4F2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C1161A"/>
    <w:multiLevelType w:val="multilevel"/>
    <w:tmpl w:val="4C8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B54C0A"/>
    <w:multiLevelType w:val="multilevel"/>
    <w:tmpl w:val="E76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66D99"/>
    <w:multiLevelType w:val="multilevel"/>
    <w:tmpl w:val="937A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E1BDD"/>
    <w:multiLevelType w:val="multilevel"/>
    <w:tmpl w:val="310E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14A95"/>
    <w:multiLevelType w:val="multilevel"/>
    <w:tmpl w:val="E34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A6308"/>
    <w:multiLevelType w:val="multilevel"/>
    <w:tmpl w:val="D130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5C2EB4"/>
    <w:multiLevelType w:val="multilevel"/>
    <w:tmpl w:val="C7BC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3855651">
    <w:abstractNumId w:val="0"/>
  </w:num>
  <w:num w:numId="2" w16cid:durableId="2095661921">
    <w:abstractNumId w:val="13"/>
  </w:num>
  <w:num w:numId="3" w16cid:durableId="1734811992">
    <w:abstractNumId w:val="7"/>
  </w:num>
  <w:num w:numId="4" w16cid:durableId="389613561">
    <w:abstractNumId w:val="16"/>
  </w:num>
  <w:num w:numId="5" w16cid:durableId="1351957606">
    <w:abstractNumId w:val="3"/>
  </w:num>
  <w:num w:numId="6" w16cid:durableId="1744838055">
    <w:abstractNumId w:val="14"/>
  </w:num>
  <w:num w:numId="7" w16cid:durableId="1611279220">
    <w:abstractNumId w:val="10"/>
  </w:num>
  <w:num w:numId="8" w16cid:durableId="1932854094">
    <w:abstractNumId w:val="9"/>
  </w:num>
  <w:num w:numId="9" w16cid:durableId="353195074">
    <w:abstractNumId w:val="15"/>
  </w:num>
  <w:num w:numId="10" w16cid:durableId="418916261">
    <w:abstractNumId w:val="4"/>
  </w:num>
  <w:num w:numId="11" w16cid:durableId="568807553">
    <w:abstractNumId w:val="1"/>
  </w:num>
  <w:num w:numId="12" w16cid:durableId="1314599319">
    <w:abstractNumId w:val="8"/>
  </w:num>
  <w:num w:numId="13" w16cid:durableId="692418710">
    <w:abstractNumId w:val="5"/>
  </w:num>
  <w:num w:numId="14" w16cid:durableId="1355380072">
    <w:abstractNumId w:val="11"/>
  </w:num>
  <w:num w:numId="15" w16cid:durableId="1933706203">
    <w:abstractNumId w:val="12"/>
  </w:num>
  <w:num w:numId="16" w16cid:durableId="389808203">
    <w:abstractNumId w:val="6"/>
  </w:num>
  <w:num w:numId="17" w16cid:durableId="583953509">
    <w:abstractNumId w:val="17"/>
  </w:num>
  <w:num w:numId="18" w16cid:durableId="1387991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B2"/>
    <w:rsid w:val="000F7604"/>
    <w:rsid w:val="001A2520"/>
    <w:rsid w:val="00701A47"/>
    <w:rsid w:val="00AF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021B"/>
  <w15:chartTrackingRefBased/>
  <w15:docId w15:val="{D7A3E87D-9FF6-4D4F-B644-FBE629EE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CB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F0CB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F0CB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F0CB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F0CB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F0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CB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F0CB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F0CB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F0CB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F0CB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F0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CB2"/>
    <w:rPr>
      <w:rFonts w:eastAsiaTheme="majorEastAsia" w:cstheme="majorBidi"/>
      <w:color w:val="272727" w:themeColor="text1" w:themeTint="D8"/>
    </w:rPr>
  </w:style>
  <w:style w:type="paragraph" w:styleId="Title">
    <w:name w:val="Title"/>
    <w:basedOn w:val="Normal"/>
    <w:next w:val="Normal"/>
    <w:link w:val="TitleChar"/>
    <w:uiPriority w:val="10"/>
    <w:qFormat/>
    <w:rsid w:val="00AF0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C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C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F0CB2"/>
    <w:rPr>
      <w:i/>
      <w:iCs/>
      <w:color w:val="404040" w:themeColor="text1" w:themeTint="BF"/>
    </w:rPr>
  </w:style>
  <w:style w:type="paragraph" w:styleId="ListParagraph">
    <w:name w:val="List Paragraph"/>
    <w:basedOn w:val="Normal"/>
    <w:uiPriority w:val="34"/>
    <w:qFormat/>
    <w:rsid w:val="00AF0CB2"/>
    <w:pPr>
      <w:ind w:left="720"/>
      <w:contextualSpacing/>
    </w:pPr>
  </w:style>
  <w:style w:type="character" w:styleId="IntenseEmphasis">
    <w:name w:val="Intense Emphasis"/>
    <w:basedOn w:val="DefaultParagraphFont"/>
    <w:uiPriority w:val="21"/>
    <w:qFormat/>
    <w:rsid w:val="00AF0CB2"/>
    <w:rPr>
      <w:i/>
      <w:iCs/>
      <w:color w:val="365F91" w:themeColor="accent1" w:themeShade="BF"/>
    </w:rPr>
  </w:style>
  <w:style w:type="paragraph" w:styleId="IntenseQuote">
    <w:name w:val="Intense Quote"/>
    <w:basedOn w:val="Normal"/>
    <w:next w:val="Normal"/>
    <w:link w:val="IntenseQuoteChar"/>
    <w:uiPriority w:val="30"/>
    <w:qFormat/>
    <w:rsid w:val="00AF0CB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F0CB2"/>
    <w:rPr>
      <w:i/>
      <w:iCs/>
      <w:color w:val="365F91" w:themeColor="accent1" w:themeShade="BF"/>
    </w:rPr>
  </w:style>
  <w:style w:type="character" w:styleId="IntenseReference">
    <w:name w:val="Intense Reference"/>
    <w:basedOn w:val="DefaultParagraphFont"/>
    <w:uiPriority w:val="32"/>
    <w:qFormat/>
    <w:rsid w:val="00AF0CB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06708">
      <w:bodyDiv w:val="1"/>
      <w:marLeft w:val="0"/>
      <w:marRight w:val="0"/>
      <w:marTop w:val="0"/>
      <w:marBottom w:val="0"/>
      <w:divBdr>
        <w:top w:val="none" w:sz="0" w:space="0" w:color="auto"/>
        <w:left w:val="none" w:sz="0" w:space="0" w:color="auto"/>
        <w:bottom w:val="none" w:sz="0" w:space="0" w:color="auto"/>
        <w:right w:val="none" w:sz="0" w:space="0" w:color="auto"/>
      </w:divBdr>
    </w:div>
    <w:div w:id="191712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Nivithra Rajendran</dc:creator>
  <cp:keywords/>
  <dc:description/>
  <cp:lastModifiedBy>Nivithra Rajendran</cp:lastModifiedBy>
  <cp:revision>2</cp:revision>
  <dcterms:created xsi:type="dcterms:W3CDTF">2025-06-16T16:46:00Z</dcterms:created>
  <dcterms:modified xsi:type="dcterms:W3CDTF">2025-06-16T16:49:00Z</dcterms:modified>
</cp:coreProperties>
</file>