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F9598" w14:textId="108C12F8" w:rsidR="00233848" w:rsidRPr="00FD5EEC" w:rsidRDefault="00481FCB" w:rsidP="00014A82">
      <w:pPr>
        <w:pStyle w:val="NoSpacing"/>
        <w:ind w:left="360"/>
        <w:rPr>
          <w:lang w:val="ru-RU"/>
        </w:rPr>
      </w:pPr>
      <w:bookmarkStart w:id="0" w:name="_Toc193115648"/>
      <w:r w:rsidRPr="00FD5EEC">
        <w:rPr>
          <w:noProof/>
          <w:lang w:val="ru-RU"/>
        </w:rPr>
        <mc:AlternateContent>
          <mc:Choice Requires="wps">
            <w:drawing>
              <wp:anchor distT="45720" distB="45720" distL="114300" distR="114300" simplePos="0" relativeHeight="251658241" behindDoc="0" locked="0" layoutInCell="1" allowOverlap="1" wp14:anchorId="30366393" wp14:editId="7DE2BAF5">
                <wp:simplePos x="0" y="0"/>
                <wp:positionH relativeFrom="margin">
                  <wp:align>left</wp:align>
                </wp:positionH>
                <wp:positionV relativeFrom="page">
                  <wp:posOffset>6515100</wp:posOffset>
                </wp:positionV>
                <wp:extent cx="5716270" cy="1605280"/>
                <wp:effectExtent l="0" t="0" r="0" b="0"/>
                <wp:wrapNone/>
                <wp:docPr id="1072506624" name="Надпись 2" descr="P1TB10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6270" cy="1605280"/>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49287AED" w14:textId="15DDA5BC" w:rsidR="00233848" w:rsidRPr="00FD5EEC" w:rsidRDefault="008836FC" w:rsidP="00D04CD7">
                            <w:pPr>
                              <w:pStyle w:val="NoSpacing"/>
                              <w:rPr>
                                <w:b/>
                                <w:color w:val="0065FC" w:themeColor="accent1"/>
                                <w:sz w:val="32"/>
                                <w:szCs w:val="32"/>
                                <w:lang w:val="ru-RU"/>
                              </w:rPr>
                            </w:pPr>
                            <w:proofErr w:type="spellStart"/>
                            <w:r w:rsidRPr="00FD5EEC">
                              <w:rPr>
                                <w:color w:val="0065FC" w:themeColor="accent1"/>
                                <w:sz w:val="32"/>
                                <w:szCs w:val="32"/>
                                <w:lang w:val="ru-RU"/>
                              </w:rPr>
                              <w:t>June</w:t>
                            </w:r>
                            <w:proofErr w:type="spellEnd"/>
                            <w:r w:rsidRPr="00FD5EEC">
                              <w:rPr>
                                <w:color w:val="0065FC" w:themeColor="accent1"/>
                                <w:sz w:val="32"/>
                                <w:szCs w:val="32"/>
                                <w:lang w:val="ru-RU"/>
                              </w:rPr>
                              <w:t xml:space="preserve"> 2026   </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0366393" id="_x0000_t202" coordsize="21600,21600" o:spt="202" path="m,l,21600r21600,l21600,xe">
                <v:stroke joinstyle="miter"/>
                <v:path gradientshapeok="t" o:connecttype="rect"/>
              </v:shapetype>
              <v:shape id="Надпись 2" o:spid="_x0000_s1026" type="#_x0000_t202" alt="P1TB10bA#y1" style="position:absolute;left:0;text-align:left;margin-left:0;margin-top:513pt;width:450.1pt;height:126.4pt;z-index:251658241;visibility:visible;mso-wrap-style:square;mso-width-percent:0;mso-height-percent:200;mso-wrap-distance-left:9pt;mso-wrap-distance-top:3.6pt;mso-wrap-distance-right:9pt;mso-wrap-distance-bottom:3.6pt;mso-position-horizontal:lef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" filled="f">
                <v:stroke opacity="0"/>
                <v:textbox style="mso-fit-shape-to-text:t" inset="0,0,0,0">
                  <w:txbxContent>
                    <w:p w14:paraId="49287AED" w14:textId="15DDA5BC" w:rsidR="00233848" w:rsidRPr="00FD5EEC" w:rsidRDefault="008836FC" w:rsidP="00D04CD7">
                      <w:pPr>
                        <w:pStyle w:val="NoSpacing"/>
                        <w:rPr>
                          <w:b/>
                          <w:color w:val="0065FC" w:themeColor="accent1"/>
                          <w:sz w:val="32"/>
                          <w:szCs w:val="32"/>
                          <w:lang w:val="ru-RU"/>
                        </w:rPr>
                      </w:pPr>
                      <w:proofErr w:type="spellStart"/>
                      <w:r w:rsidRPr="00FD5EEC">
                        <w:rPr>
                          <w:color w:val="0065FC" w:themeColor="accent1"/>
                          <w:sz w:val="32"/>
                          <w:szCs w:val="32"/>
                          <w:lang w:val="ru-RU"/>
                        </w:rPr>
                        <w:t>June</w:t>
                      </w:r>
                      <w:proofErr w:type="spellEnd"/>
                      <w:r w:rsidRPr="00FD5EEC">
                        <w:rPr>
                          <w:color w:val="0065FC" w:themeColor="accent1"/>
                          <w:sz w:val="32"/>
                          <w:szCs w:val="32"/>
                          <w:lang w:val="ru-RU"/>
                        </w:rPr>
                        <w:t xml:space="preserve"> 2026   </w:t>
                      </w:r>
                    </w:p>
                  </w:txbxContent>
                </v:textbox>
                <w10:wrap anchorx="margin" anchory="page"/>
              </v:shape>
            </w:pict>
          </mc:Fallback>
        </mc:AlternateContent>
      </w:r>
      <w:r w:rsidR="00B31535" w:rsidRPr="00FD5EEC">
        <w:rPr>
          <w:noProof/>
          <w:lang w:val="ru-RU"/>
        </w:rPr>
        <w:drawing>
          <wp:anchor distT="0" distB="0" distL="114300" distR="114300" simplePos="0" relativeHeight="251658254" behindDoc="1" locked="0" layoutInCell="1" allowOverlap="1" wp14:anchorId="66D50096" wp14:editId="2BA011E6">
            <wp:simplePos x="0" y="0"/>
            <wp:positionH relativeFrom="page">
              <wp:posOffset>4999305</wp:posOffset>
            </wp:positionH>
            <wp:positionV relativeFrom="page">
              <wp:posOffset>6863715</wp:posOffset>
            </wp:positionV>
            <wp:extent cx="4738255" cy="4461303"/>
            <wp:effectExtent l="0" t="0" r="5715" b="0"/>
            <wp:wrapNone/>
            <wp:docPr id="989037775" name="Picture 1" descr="P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37775" name="Picture 1" descr="P1#y1"/>
                    <pic:cNvPicPr/>
                  </pic:nvPicPr>
                  <pic:blipFill>
                    <a:blip r:embed="rId11" cstate="print">
                      <a:alphaModFix/>
                      <a:extLst>
                        <a:ext uri="{28A0092B-C50C-407E-A947-70E740481C1C}">
                          <a14:useLocalDpi xmlns:a14="http://schemas.microsoft.com/office/drawing/2010/main" val="0"/>
                        </a:ext>
                      </a:extLst>
                    </a:blip>
                    <a:stretch>
                      <a:fillRect/>
                    </a:stretch>
                  </pic:blipFill>
                  <pic:spPr>
                    <a:xfrm>
                      <a:off x="0" y="0"/>
                      <a:ext cx="4738255" cy="4461303"/>
                    </a:xfrm>
                    <a:prstGeom prst="rect">
                      <a:avLst/>
                    </a:prstGeom>
                  </pic:spPr>
                </pic:pic>
              </a:graphicData>
            </a:graphic>
            <wp14:sizeRelH relativeFrom="margin">
              <wp14:pctWidth>0</wp14:pctWidth>
            </wp14:sizeRelH>
            <wp14:sizeRelV relativeFrom="margin">
              <wp14:pctHeight>0</wp14:pctHeight>
            </wp14:sizeRelV>
          </wp:anchor>
        </w:drawing>
      </w:r>
      <w:r w:rsidR="008836FC" w:rsidRPr="00FD5EEC">
        <w:rPr>
          <w:noProof/>
          <w:lang w:val="ru-RU"/>
        </w:rPr>
        <mc:AlternateContent>
          <mc:Choice Requires="wps">
            <w:drawing>
              <wp:anchor distT="45720" distB="45720" distL="114300" distR="114300" simplePos="0" relativeHeight="251658242" behindDoc="0" locked="0" layoutInCell="1" allowOverlap="1" wp14:anchorId="19840DA1" wp14:editId="04FEE3E4">
                <wp:simplePos x="0" y="0"/>
                <wp:positionH relativeFrom="column">
                  <wp:posOffset>635</wp:posOffset>
                </wp:positionH>
                <wp:positionV relativeFrom="page">
                  <wp:posOffset>4726278</wp:posOffset>
                </wp:positionV>
                <wp:extent cx="5716270" cy="1605280"/>
                <wp:effectExtent l="0" t="0" r="0" b="0"/>
                <wp:wrapNone/>
                <wp:docPr id="202554689" name="Надпись 2" descr="P1TB11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6270" cy="1605280"/>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2686CD9E" w14:textId="7B5E2B37" w:rsidR="008836FC" w:rsidRPr="00FD5EEC" w:rsidRDefault="00BE3B43" w:rsidP="00C21BA0">
                            <w:pPr>
                              <w:rPr>
                                <w:i/>
                                <w:color w:val="404040" w:themeColor="text1" w:themeTint="BF"/>
                              </w:rPr>
                            </w:pPr>
                            <w:r w:rsidRPr="00BE3B43">
                              <w:t xml:space="preserve">Why organisations are accumulating delivery intelligence debt and </w:t>
                            </w:r>
                            <w:r w:rsidR="009D12DA">
                              <w:br/>
                            </w:r>
                            <w:r w:rsidRPr="00BE3B43">
                              <w:t>how to close the gap with AI</w:t>
                            </w:r>
                            <w:r w:rsidR="00C21BA0">
                              <w:br/>
                            </w:r>
                            <w:r w:rsidR="00C21BA0">
                              <w:br/>
                            </w:r>
                            <w:r w:rsidR="00C21BA0" w:rsidRPr="00FD5EEC">
                              <w:rPr>
                                <w:rStyle w:val="SubtleEmphasis"/>
                              </w:rPr>
                              <w:t>By Callum Campbell and Sahar Khan</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840DA1" id="_x0000_s1027" type="#_x0000_t202" alt="P1TB11bA#y1" style="position:absolute;left:0;text-align:left;margin-left:.05pt;margin-top:372.15pt;width:450.1pt;height:126.4pt;z-index:251658242;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" filled="f">
                <v:stroke opacity="0"/>
                <v:textbox style="mso-fit-shape-to-text:t" inset="0,0,0,0">
                  <w:txbxContent>
                    <w:p w14:paraId="2686CD9E" w14:textId="7B5E2B37" w:rsidR="008836FC" w:rsidRPr="00FD5EEC" w:rsidRDefault="00BE3B43" w:rsidP="00C21BA0">
                      <w:pPr>
                        <w:rPr>
                          <w:i/>
                          <w:color w:val="404040" w:themeColor="text1" w:themeTint="BF"/>
                        </w:rPr>
                      </w:pPr>
                      <w:r w:rsidRPr="00BE3B43">
                        <w:t xml:space="preserve">Why organisations are accumulating delivery intelligence debt and </w:t>
                      </w:r>
                      <w:r w:rsidR="009D12DA">
                        <w:br/>
                      </w:r>
                      <w:r w:rsidRPr="00BE3B43">
                        <w:t>how to close the gap with AI</w:t>
                      </w:r>
                      <w:r w:rsidR="00C21BA0">
                        <w:br/>
                      </w:r>
                      <w:r w:rsidR="00C21BA0">
                        <w:br/>
                      </w:r>
                      <w:r w:rsidR="00C21BA0" w:rsidRPr="00FD5EEC">
                        <w:rPr>
                          <w:rStyle w:val="SubtleEmphasis"/>
                        </w:rPr>
                        <w:t>By Callum Campbell and Sahar Khan</w:t>
                      </w:r>
                    </w:p>
                  </w:txbxContent>
                </v:textbox>
                <w10:wrap anchory="page"/>
              </v:shape>
            </w:pict>
          </mc:Fallback>
        </mc:AlternateContent>
      </w:r>
      <w:sdt>
        <w:sdtPr>
          <w:rPr>
            <w:b/>
            <w:lang w:val="ru-RU"/>
          </w:rPr>
          <w:id w:val="-1622370051"/>
          <w:docPartObj>
            <w:docPartGallery w:val="Cover Pages"/>
            <w:docPartUnique/>
          </w:docPartObj>
        </w:sdtPr>
        <w:sdtEndPr>
          <w:rPr>
            <w:b w:val="0"/>
          </w:rPr>
        </w:sdtEndPr>
        <w:sdtContent>
          <w:r w:rsidR="00682CA1" w:rsidRPr="00FD5EEC">
            <w:rPr>
              <w:noProof/>
              <w:color w:val="000000" w:themeColor="text2"/>
              <w:sz w:val="14"/>
              <w:szCs w:val="14"/>
              <w:lang w:val="ru-RU"/>
            </w:rPr>
            <w:drawing>
              <wp:anchor distT="0" distB="0" distL="114300" distR="114300" simplePos="0" relativeHeight="251658255" behindDoc="0" locked="0" layoutInCell="1" allowOverlap="1" wp14:anchorId="5EA1EDAA" wp14:editId="48FF750B">
                <wp:simplePos x="0" y="0"/>
                <wp:positionH relativeFrom="column">
                  <wp:posOffset>907</wp:posOffset>
                </wp:positionH>
                <wp:positionV relativeFrom="paragraph">
                  <wp:posOffset>4082</wp:posOffset>
                </wp:positionV>
                <wp:extent cx="1942193" cy="487965"/>
                <wp:effectExtent l="0" t="0" r="1270" b="7620"/>
                <wp:wrapNone/>
                <wp:docPr id="1278614425" name="Graphic 1" descr="P1#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14425" name="Graphic 1" descr="P1#y2"/>
                        <pic:cNvPicPr/>
                      </pic:nvPicPr>
                      <pic:blipFill>
                        <a:blip r:embed="rId12">
                          <a:extLst>
                            <a:ext uri="{96DAC541-7B7A-43D3-8B79-37D633B846F1}">
                              <asvg:svgBlip xmlns:asvg="http://schemas.microsoft.com/office/drawing/2016/SVG/main" r:embed="rId13"/>
                            </a:ext>
                          </a:extLst>
                        </a:blip>
                        <a:stretch>
                          <a:fillRect/>
                        </a:stretch>
                      </pic:blipFill>
                      <pic:spPr>
                        <a:xfrm>
                          <a:off x="0" y="0"/>
                          <a:ext cx="1942193" cy="487965"/>
                        </a:xfrm>
                        <a:prstGeom prst="rect">
                          <a:avLst/>
                        </a:prstGeom>
                      </pic:spPr>
                    </pic:pic>
                  </a:graphicData>
                </a:graphic>
                <wp14:sizeRelH relativeFrom="margin">
                  <wp14:pctWidth>0</wp14:pctWidth>
                </wp14:sizeRelH>
                <wp14:sizeRelV relativeFrom="margin">
                  <wp14:pctHeight>0</wp14:pctHeight>
                </wp14:sizeRelV>
              </wp:anchor>
            </w:drawing>
          </w:r>
          <w:r w:rsidR="00B873A9" w:rsidRPr="00FD5EEC">
            <w:rPr>
              <w:noProof/>
              <w:lang w:val="ru-RU"/>
            </w:rPr>
            <mc:AlternateContent>
              <mc:Choice Requires="wps">
                <w:drawing>
                  <wp:anchor distT="45720" distB="45720" distL="114300" distR="114300" simplePos="0" relativeHeight="251658240" behindDoc="0" locked="0" layoutInCell="1" allowOverlap="1" wp14:anchorId="6DD11F22" wp14:editId="501A0077">
                    <wp:simplePos x="0" y="0"/>
                    <wp:positionH relativeFrom="column">
                      <wp:posOffset>-1270</wp:posOffset>
                    </wp:positionH>
                    <wp:positionV relativeFrom="page">
                      <wp:posOffset>3336378</wp:posOffset>
                    </wp:positionV>
                    <wp:extent cx="5716270" cy="1605280"/>
                    <wp:effectExtent l="0" t="0" r="0" b="0"/>
                    <wp:wrapNone/>
                    <wp:docPr id="1932437124" name="Надпись 2" descr="P1TB9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6270" cy="1605280"/>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44ECAD4F" w14:textId="1B460B70" w:rsidR="00233848" w:rsidRPr="00481FCB" w:rsidRDefault="000967F1" w:rsidP="00B76849">
                                <w:pPr>
                                  <w:pStyle w:val="CoverText"/>
                                  <w:rPr>
                                    <w:rFonts w:hint="eastAsia"/>
                                    <w:color w:val="0065FC" w:themeColor="accent1"/>
                                  </w:rPr>
                                </w:pPr>
                                <w:r w:rsidRPr="00481FCB">
                                  <w:rPr>
                                    <w:color w:val="0065FC" w:themeColor="accent1"/>
                                  </w:rPr>
                                  <w:t xml:space="preserve">The Delivery </w:t>
                                </w:r>
                                <w:r w:rsidR="00C4201B" w:rsidRPr="00FD5EEC">
                                  <w:rPr>
                                    <w:rFonts w:asciiTheme="minorHAnsi" w:hAnsiTheme="minorHAnsi"/>
                                    <w:color w:val="0065FC" w:themeColor="accent1"/>
                                  </w:rPr>
                                  <w:br/>
                                </w:r>
                                <w:r w:rsidRPr="00481FCB">
                                  <w:rPr>
                                    <w:color w:val="0065FC" w:themeColor="accent1"/>
                                  </w:rPr>
                                  <w:t>Intelligence Gap</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D11F22" id="_x0000_s1028" type="#_x0000_t202" alt="P1TB9bA#y1" style="position:absolute;left:0;text-align:left;margin-left:-.1pt;margin-top:262.7pt;width:450.1pt;height:126.4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" filled="f">
                    <v:stroke opacity="0"/>
                    <v:textbox style="mso-fit-shape-to-text:t" inset="0,0,0,0">
                      <w:txbxContent>
                        <w:p w14:paraId="44ECAD4F" w14:textId="1B460B70" w:rsidR="00233848" w:rsidRPr="00481FCB" w:rsidRDefault="000967F1" w:rsidP="00B76849">
                          <w:pPr>
                            <w:pStyle w:val="CoverText"/>
                            <w:rPr>
                              <w:rFonts w:hint="eastAsia"/>
                              <w:color w:val="0065FC" w:themeColor="accent1"/>
                            </w:rPr>
                          </w:pPr>
                          <w:r w:rsidRPr="00481FCB">
                            <w:rPr>
                              <w:color w:val="0065FC" w:themeColor="accent1"/>
                            </w:rPr>
                            <w:t xml:space="preserve">The Delivery </w:t>
                          </w:r>
                          <w:r w:rsidR="00C4201B" w:rsidRPr="00FD5EEC">
                            <w:rPr>
                              <w:rFonts w:asciiTheme="minorHAnsi" w:hAnsiTheme="minorHAnsi"/>
                              <w:color w:val="0065FC" w:themeColor="accent1"/>
                            </w:rPr>
                            <w:br/>
                          </w:r>
                          <w:r w:rsidRPr="00481FCB">
                            <w:rPr>
                              <w:color w:val="0065FC" w:themeColor="accent1"/>
                            </w:rPr>
                            <w:t>Intelligence Gap</w:t>
                          </w:r>
                        </w:p>
                      </w:txbxContent>
                    </v:textbox>
                    <w10:wrap anchory="page"/>
                  </v:shape>
                </w:pict>
              </mc:Fallback>
            </mc:AlternateContent>
          </w:r>
          <w:r w:rsidR="00233848" w:rsidRPr="00FD5EEC">
            <w:rPr>
              <w:lang w:val="ru-RU"/>
            </w:rPr>
            <w:br w:type="page"/>
          </w:r>
        </w:sdtContent>
      </w:sdt>
      <w:bookmarkEnd w:id="0"/>
    </w:p>
    <w:sdt>
      <w:sdtPr>
        <w:rPr>
          <w:rFonts w:asciiTheme="minorHAnsi" w:eastAsiaTheme="minorEastAsia" w:hAnsiTheme="minorHAnsi" w:cstheme="minorBidi"/>
          <w:b/>
          <w:bCs/>
          <w:color w:val="auto"/>
          <w:kern w:val="2"/>
          <w:sz w:val="22"/>
          <w:szCs w:val="22"/>
          <w14:ligatures w14:val="standardContextual"/>
        </w:rPr>
        <w:id w:val="534011877"/>
        <w:docPartObj>
          <w:docPartGallery w:val="Table of Contents"/>
          <w:docPartUnique/>
        </w:docPartObj>
      </w:sdtPr>
      <w:sdtEndPr>
        <w:rPr>
          <w:b w:val="0"/>
          <w:bCs w:val="0"/>
          <w:sz w:val="24"/>
          <w:szCs w:val="24"/>
        </w:rPr>
      </w:sdtEndPr>
      <w:sdtContent>
        <w:p w14:paraId="59D22EC5" w14:textId="3733180B" w:rsidR="00E21A79" w:rsidRPr="00FD5EEC" w:rsidRDefault="00E21A79" w:rsidP="00CA2D3E">
          <w:pPr>
            <w:pStyle w:val="TOCHeading"/>
            <w:rPr>
              <w:rStyle w:val="Heading1Char"/>
              <w:rFonts w:hint="eastAsia"/>
              <w:lang w:val="ru-RU"/>
            </w:rPr>
          </w:pPr>
          <w:r w:rsidRPr="00FD5EEC">
            <w:rPr>
              <w:rStyle w:val="Heading1Char"/>
              <w:lang w:val="ru-RU"/>
            </w:rPr>
            <w:t xml:space="preserve">Table of </w:t>
          </w:r>
          <w:r w:rsidR="00A17602" w:rsidRPr="00A17602">
            <w:rPr>
              <w:rStyle w:val="Heading1Char"/>
              <w:rFonts w:asciiTheme="minorHAnsi" w:hAnsiTheme="minorHAnsi"/>
              <w:b/>
              <w:bCs/>
              <w:lang w:val="en-GB"/>
            </w:rPr>
            <w:t>c</w:t>
          </w:r>
          <w:r w:rsidRPr="00FD5EEC">
            <w:rPr>
              <w:rStyle w:val="Heading1Char"/>
              <w:lang w:val="ru-RU"/>
            </w:rPr>
            <w:t>ontents</w:t>
          </w:r>
        </w:p>
        <w:p w14:paraId="00B18A61" w14:textId="77777777" w:rsidR="006C0989" w:rsidRPr="006C0989" w:rsidRDefault="006C0989" w:rsidP="006C0989"/>
        <w:p w14:paraId="17E5FACE" w14:textId="35950B16" w:rsidR="00D93791" w:rsidRDefault="00611ABF">
          <w:pPr>
            <w:pStyle w:val="TOC1"/>
            <w:rPr>
              <w:rFonts w:eastAsiaTheme="minorEastAsia"/>
              <w:szCs w:val="24"/>
              <w:lang w:eastAsia="ru-RU"/>
            </w:rPr>
          </w:pPr>
          <w:r>
            <w:fldChar w:fldCharType="begin"/>
          </w:r>
          <w:r>
            <w:instrText xml:space="preserve"> TOC \o "1-1" \h \z \t "Heading 2,2,Heading 3,3,Title 1,2" </w:instrText>
          </w:r>
          <w:r>
            <w:fldChar w:fldCharType="separate"/>
          </w:r>
          <w:hyperlink w:anchor="_Toc231422544" w:history="1">
            <w:r w:rsidR="00D93791" w:rsidRPr="00C7550F">
              <w:rPr>
                <w:rStyle w:val="Hyperlink"/>
              </w:rPr>
              <w:t>Foreword</w:t>
            </w:r>
            <w:r w:rsidR="00D93791">
              <w:rPr>
                <w:webHidden/>
              </w:rPr>
              <w:tab/>
            </w:r>
            <w:r w:rsidR="00D93791">
              <w:rPr>
                <w:webHidden/>
              </w:rPr>
              <w:fldChar w:fldCharType="begin"/>
            </w:r>
            <w:r w:rsidR="00D93791">
              <w:rPr>
                <w:webHidden/>
              </w:rPr>
              <w:instrText xml:space="preserve"> PAGEREF _Toc231422544 \h </w:instrText>
            </w:r>
            <w:r w:rsidR="00D93791">
              <w:rPr>
                <w:webHidden/>
              </w:rPr>
            </w:r>
            <w:r w:rsidR="00D93791">
              <w:rPr>
                <w:webHidden/>
              </w:rPr>
              <w:fldChar w:fldCharType="separate"/>
            </w:r>
            <w:r w:rsidR="00D93791">
              <w:rPr>
                <w:webHidden/>
              </w:rPr>
              <w:t>2</w:t>
            </w:r>
            <w:r w:rsidR="00D93791">
              <w:rPr>
                <w:webHidden/>
              </w:rPr>
              <w:fldChar w:fldCharType="end"/>
            </w:r>
          </w:hyperlink>
        </w:p>
        <w:p w14:paraId="6CD37505" w14:textId="2653898D" w:rsidR="00D93791" w:rsidRDefault="00D93791">
          <w:pPr>
            <w:pStyle w:val="TOC1"/>
            <w:rPr>
              <w:rFonts w:eastAsiaTheme="minorEastAsia"/>
              <w:szCs w:val="24"/>
              <w:lang w:eastAsia="ru-RU"/>
            </w:rPr>
          </w:pPr>
          <w:hyperlink w:anchor="_Toc231422545" w:history="1">
            <w:r w:rsidRPr="00C7550F">
              <w:rPr>
                <w:rStyle w:val="Hyperlink"/>
              </w:rPr>
              <w:t>Executive summary</w:t>
            </w:r>
            <w:r>
              <w:rPr>
                <w:webHidden/>
              </w:rPr>
              <w:tab/>
            </w:r>
            <w:r>
              <w:rPr>
                <w:webHidden/>
              </w:rPr>
              <w:fldChar w:fldCharType="begin"/>
            </w:r>
            <w:r>
              <w:rPr>
                <w:webHidden/>
              </w:rPr>
              <w:instrText xml:space="preserve"> PAGEREF _Toc231422545 \h </w:instrText>
            </w:r>
            <w:r>
              <w:rPr>
                <w:webHidden/>
              </w:rPr>
            </w:r>
            <w:r>
              <w:rPr>
                <w:webHidden/>
              </w:rPr>
              <w:fldChar w:fldCharType="separate"/>
            </w:r>
            <w:r>
              <w:rPr>
                <w:webHidden/>
              </w:rPr>
              <w:t>3</w:t>
            </w:r>
            <w:r>
              <w:rPr>
                <w:webHidden/>
              </w:rPr>
              <w:fldChar w:fldCharType="end"/>
            </w:r>
          </w:hyperlink>
        </w:p>
        <w:p w14:paraId="073D25E6" w14:textId="7B008784" w:rsidR="00D93791" w:rsidRDefault="00D93791">
          <w:pPr>
            <w:pStyle w:val="TOC1"/>
            <w:rPr>
              <w:rFonts w:eastAsiaTheme="minorEastAsia"/>
              <w:szCs w:val="24"/>
              <w:lang w:eastAsia="ru-RU"/>
            </w:rPr>
          </w:pPr>
          <w:hyperlink w:anchor="_Toc231422546" w:history="1">
            <w:r w:rsidRPr="00C7550F">
              <w:rPr>
                <w:rStyle w:val="Hyperlink"/>
              </w:rPr>
              <w:t>1. Delivery</w:t>
            </w:r>
            <w:r w:rsidRPr="00D93791">
              <w:rPr>
                <w:rStyle w:val="Hyperlink"/>
              </w:rPr>
              <w:t xml:space="preserve"> </w:t>
            </w:r>
            <w:r w:rsidRPr="00D93791">
              <w:rPr>
                <w:rStyle w:val="Hyperlink"/>
                <w:lang w:val="en-GB"/>
              </w:rPr>
              <w:t>i</w:t>
            </w:r>
            <w:r w:rsidRPr="00D93791">
              <w:rPr>
                <w:rStyle w:val="Hyperlink"/>
              </w:rPr>
              <w:t xml:space="preserve">ntelligence </w:t>
            </w:r>
            <w:r w:rsidRPr="00D93791">
              <w:rPr>
                <w:rStyle w:val="Hyperlink"/>
                <w:lang w:val="en-GB"/>
              </w:rPr>
              <w:t>d</w:t>
            </w:r>
            <w:r w:rsidRPr="00D93791">
              <w:rPr>
                <w:rStyle w:val="Hyperlink"/>
              </w:rPr>
              <w:t>ebt</w:t>
            </w:r>
            <w:r>
              <w:rPr>
                <w:webHidden/>
              </w:rPr>
              <w:tab/>
            </w:r>
            <w:r>
              <w:rPr>
                <w:webHidden/>
              </w:rPr>
              <w:fldChar w:fldCharType="begin"/>
            </w:r>
            <w:r>
              <w:rPr>
                <w:webHidden/>
              </w:rPr>
              <w:instrText xml:space="preserve"> PAGEREF _Toc231422546 \h </w:instrText>
            </w:r>
            <w:r>
              <w:rPr>
                <w:webHidden/>
              </w:rPr>
            </w:r>
            <w:r>
              <w:rPr>
                <w:webHidden/>
              </w:rPr>
              <w:fldChar w:fldCharType="separate"/>
            </w:r>
            <w:r>
              <w:rPr>
                <w:webHidden/>
              </w:rPr>
              <w:t>4</w:t>
            </w:r>
            <w:r>
              <w:rPr>
                <w:webHidden/>
              </w:rPr>
              <w:fldChar w:fldCharType="end"/>
            </w:r>
          </w:hyperlink>
        </w:p>
        <w:p w14:paraId="4FE39D61" w14:textId="058C6297" w:rsidR="00D93791" w:rsidRDefault="00D93791">
          <w:pPr>
            <w:pStyle w:val="TOC1"/>
            <w:rPr>
              <w:rFonts w:eastAsiaTheme="minorEastAsia"/>
              <w:szCs w:val="24"/>
              <w:lang w:eastAsia="ru-RU"/>
            </w:rPr>
          </w:pPr>
          <w:hyperlink w:anchor="_Toc231422547" w:history="1">
            <w:r w:rsidRPr="00C7550F">
              <w:rPr>
                <w:rStyle w:val="Hyperlink"/>
              </w:rPr>
              <w:t>2. The three stages of AI maturity</w:t>
            </w:r>
            <w:r>
              <w:rPr>
                <w:webHidden/>
              </w:rPr>
              <w:tab/>
            </w:r>
            <w:r>
              <w:rPr>
                <w:webHidden/>
              </w:rPr>
              <w:fldChar w:fldCharType="begin"/>
            </w:r>
            <w:r>
              <w:rPr>
                <w:webHidden/>
              </w:rPr>
              <w:instrText xml:space="preserve"> PAGEREF _Toc231422547 \h </w:instrText>
            </w:r>
            <w:r>
              <w:rPr>
                <w:webHidden/>
              </w:rPr>
            </w:r>
            <w:r>
              <w:rPr>
                <w:webHidden/>
              </w:rPr>
              <w:fldChar w:fldCharType="separate"/>
            </w:r>
            <w:r>
              <w:rPr>
                <w:webHidden/>
              </w:rPr>
              <w:t>7</w:t>
            </w:r>
            <w:r>
              <w:rPr>
                <w:webHidden/>
              </w:rPr>
              <w:fldChar w:fldCharType="end"/>
            </w:r>
          </w:hyperlink>
        </w:p>
        <w:p w14:paraId="6A196E3F" w14:textId="52E025B7" w:rsidR="00D93791" w:rsidRDefault="00D93791">
          <w:pPr>
            <w:pStyle w:val="TOC2"/>
            <w:tabs>
              <w:tab w:val="right" w:leader="dot" w:pos="9060"/>
            </w:tabs>
            <w:rPr>
              <w:rFonts w:eastAsiaTheme="minorEastAsia"/>
              <w:szCs w:val="24"/>
              <w:lang w:eastAsia="ru-RU"/>
            </w:rPr>
          </w:pPr>
          <w:hyperlink w:anchor="_Toc231422548" w:history="1">
            <w:r w:rsidRPr="00C7550F">
              <w:rPr>
                <w:rStyle w:val="Hyperlink"/>
              </w:rPr>
              <w:t>Three stages of AI maturity in enterprise delivery</w:t>
            </w:r>
            <w:r>
              <w:rPr>
                <w:webHidden/>
              </w:rPr>
              <w:tab/>
            </w:r>
            <w:r>
              <w:rPr>
                <w:webHidden/>
              </w:rPr>
              <w:fldChar w:fldCharType="begin"/>
            </w:r>
            <w:r>
              <w:rPr>
                <w:webHidden/>
              </w:rPr>
              <w:instrText xml:space="preserve"> PAGEREF _Toc231422548 \h </w:instrText>
            </w:r>
            <w:r>
              <w:rPr>
                <w:webHidden/>
              </w:rPr>
            </w:r>
            <w:r>
              <w:rPr>
                <w:webHidden/>
              </w:rPr>
              <w:fldChar w:fldCharType="separate"/>
            </w:r>
            <w:r>
              <w:rPr>
                <w:webHidden/>
              </w:rPr>
              <w:t>8</w:t>
            </w:r>
            <w:r>
              <w:rPr>
                <w:webHidden/>
              </w:rPr>
              <w:fldChar w:fldCharType="end"/>
            </w:r>
          </w:hyperlink>
        </w:p>
        <w:p w14:paraId="6CA7692F" w14:textId="1B2D594F" w:rsidR="00D93791" w:rsidRDefault="00D93791">
          <w:pPr>
            <w:pStyle w:val="TOC2"/>
            <w:tabs>
              <w:tab w:val="right" w:leader="dot" w:pos="9060"/>
            </w:tabs>
            <w:rPr>
              <w:rFonts w:eastAsiaTheme="minorEastAsia"/>
              <w:szCs w:val="24"/>
              <w:lang w:eastAsia="ru-RU"/>
            </w:rPr>
          </w:pPr>
          <w:hyperlink w:anchor="_Toc231422549" w:history="1">
            <w:r w:rsidRPr="00C7550F">
              <w:rPr>
                <w:rStyle w:val="Hyperlink"/>
              </w:rPr>
              <w:t>2a. Practitioner lens — which stage are you actually in?</w:t>
            </w:r>
            <w:r>
              <w:rPr>
                <w:webHidden/>
              </w:rPr>
              <w:tab/>
            </w:r>
            <w:r>
              <w:rPr>
                <w:webHidden/>
              </w:rPr>
              <w:fldChar w:fldCharType="begin"/>
            </w:r>
            <w:r>
              <w:rPr>
                <w:webHidden/>
              </w:rPr>
              <w:instrText xml:space="preserve"> PAGEREF _Toc231422549 \h </w:instrText>
            </w:r>
            <w:r>
              <w:rPr>
                <w:webHidden/>
              </w:rPr>
            </w:r>
            <w:r>
              <w:rPr>
                <w:webHidden/>
              </w:rPr>
              <w:fldChar w:fldCharType="separate"/>
            </w:r>
            <w:r>
              <w:rPr>
                <w:webHidden/>
              </w:rPr>
              <w:t>9</w:t>
            </w:r>
            <w:r>
              <w:rPr>
                <w:webHidden/>
              </w:rPr>
              <w:fldChar w:fldCharType="end"/>
            </w:r>
          </w:hyperlink>
        </w:p>
        <w:p w14:paraId="6D7B2B67" w14:textId="51CEFBBD" w:rsidR="00D93791" w:rsidRDefault="00D93791">
          <w:pPr>
            <w:pStyle w:val="TOC1"/>
            <w:rPr>
              <w:rFonts w:eastAsiaTheme="minorEastAsia"/>
              <w:szCs w:val="24"/>
              <w:lang w:eastAsia="ru-RU"/>
            </w:rPr>
          </w:pPr>
          <w:hyperlink w:anchor="_Toc231422550" w:history="1">
            <w:r w:rsidRPr="00C7550F">
              <w:rPr>
                <w:rStyle w:val="Hyperlink"/>
              </w:rPr>
              <w:t>3. Stage 2 is the missing layer</w:t>
            </w:r>
            <w:r>
              <w:rPr>
                <w:webHidden/>
              </w:rPr>
              <w:tab/>
            </w:r>
            <w:r>
              <w:rPr>
                <w:webHidden/>
              </w:rPr>
              <w:fldChar w:fldCharType="begin"/>
            </w:r>
            <w:r>
              <w:rPr>
                <w:webHidden/>
              </w:rPr>
              <w:instrText xml:space="preserve"> PAGEREF _Toc231422550 \h </w:instrText>
            </w:r>
            <w:r>
              <w:rPr>
                <w:webHidden/>
              </w:rPr>
            </w:r>
            <w:r>
              <w:rPr>
                <w:webHidden/>
              </w:rPr>
              <w:fldChar w:fldCharType="separate"/>
            </w:r>
            <w:r>
              <w:rPr>
                <w:webHidden/>
              </w:rPr>
              <w:t>11</w:t>
            </w:r>
            <w:r>
              <w:rPr>
                <w:webHidden/>
              </w:rPr>
              <w:fldChar w:fldCharType="end"/>
            </w:r>
          </w:hyperlink>
        </w:p>
        <w:p w14:paraId="293D0E06" w14:textId="692F23FA" w:rsidR="00D93791" w:rsidRDefault="00D93791">
          <w:pPr>
            <w:pStyle w:val="TOC2"/>
            <w:tabs>
              <w:tab w:val="right" w:leader="dot" w:pos="9060"/>
            </w:tabs>
            <w:rPr>
              <w:rFonts w:eastAsiaTheme="minorEastAsia"/>
              <w:szCs w:val="24"/>
              <w:lang w:eastAsia="ru-RU"/>
            </w:rPr>
          </w:pPr>
          <w:hyperlink w:anchor="_Toc231422551" w:history="1">
            <w:r w:rsidRPr="00C7550F">
              <w:rPr>
                <w:rStyle w:val="Hyperlink"/>
              </w:rPr>
              <w:t>3a. Practitioner lens — what the transition feels like inside the team</w:t>
            </w:r>
            <w:r>
              <w:rPr>
                <w:webHidden/>
              </w:rPr>
              <w:tab/>
            </w:r>
            <w:r>
              <w:rPr>
                <w:webHidden/>
              </w:rPr>
              <w:fldChar w:fldCharType="begin"/>
            </w:r>
            <w:r>
              <w:rPr>
                <w:webHidden/>
              </w:rPr>
              <w:instrText xml:space="preserve"> PAGEREF _Toc231422551 \h </w:instrText>
            </w:r>
            <w:r>
              <w:rPr>
                <w:webHidden/>
              </w:rPr>
            </w:r>
            <w:r>
              <w:rPr>
                <w:webHidden/>
              </w:rPr>
              <w:fldChar w:fldCharType="separate"/>
            </w:r>
            <w:r>
              <w:rPr>
                <w:webHidden/>
              </w:rPr>
              <w:t>11</w:t>
            </w:r>
            <w:r>
              <w:rPr>
                <w:webHidden/>
              </w:rPr>
              <w:fldChar w:fldCharType="end"/>
            </w:r>
          </w:hyperlink>
        </w:p>
        <w:p w14:paraId="264FBC8C" w14:textId="74C7A8D2" w:rsidR="00D93791" w:rsidRDefault="00D93791">
          <w:pPr>
            <w:pStyle w:val="TOC1"/>
            <w:rPr>
              <w:rFonts w:eastAsiaTheme="minorEastAsia"/>
              <w:szCs w:val="24"/>
              <w:lang w:eastAsia="ru-RU"/>
            </w:rPr>
          </w:pPr>
          <w:hyperlink w:anchor="_Toc231422552" w:history="1">
            <w:r w:rsidRPr="00C7550F">
              <w:rPr>
                <w:rStyle w:val="Hyperlink"/>
              </w:rPr>
              <w:t>4. Metadata is the scaling layer</w:t>
            </w:r>
            <w:r>
              <w:rPr>
                <w:webHidden/>
              </w:rPr>
              <w:tab/>
            </w:r>
            <w:r>
              <w:rPr>
                <w:webHidden/>
              </w:rPr>
              <w:fldChar w:fldCharType="begin"/>
            </w:r>
            <w:r>
              <w:rPr>
                <w:webHidden/>
              </w:rPr>
              <w:instrText xml:space="preserve"> PAGEREF _Toc231422552 \h </w:instrText>
            </w:r>
            <w:r>
              <w:rPr>
                <w:webHidden/>
              </w:rPr>
            </w:r>
            <w:r>
              <w:rPr>
                <w:webHidden/>
              </w:rPr>
              <w:fldChar w:fldCharType="separate"/>
            </w:r>
            <w:r>
              <w:rPr>
                <w:webHidden/>
              </w:rPr>
              <w:t>13</w:t>
            </w:r>
            <w:r>
              <w:rPr>
                <w:webHidden/>
              </w:rPr>
              <w:fldChar w:fldCharType="end"/>
            </w:r>
          </w:hyperlink>
        </w:p>
        <w:p w14:paraId="5C00FB75" w14:textId="03B9F556" w:rsidR="00D93791" w:rsidRDefault="00D93791">
          <w:pPr>
            <w:pStyle w:val="TOC1"/>
            <w:rPr>
              <w:rFonts w:eastAsiaTheme="minorEastAsia"/>
              <w:szCs w:val="24"/>
              <w:lang w:eastAsia="ru-RU"/>
            </w:rPr>
          </w:pPr>
          <w:hyperlink w:anchor="_Toc231422553" w:history="1">
            <w:r w:rsidRPr="00C7550F">
              <w:rPr>
                <w:rStyle w:val="Hyperlink"/>
              </w:rPr>
              <w:t>5. Why software engineering is pulling ahead</w:t>
            </w:r>
            <w:r>
              <w:rPr>
                <w:webHidden/>
              </w:rPr>
              <w:tab/>
            </w:r>
            <w:r>
              <w:rPr>
                <w:webHidden/>
              </w:rPr>
              <w:fldChar w:fldCharType="begin"/>
            </w:r>
            <w:r>
              <w:rPr>
                <w:webHidden/>
              </w:rPr>
              <w:instrText xml:space="preserve"> PAGEREF _Toc231422553 \h </w:instrText>
            </w:r>
            <w:r>
              <w:rPr>
                <w:webHidden/>
              </w:rPr>
            </w:r>
            <w:r>
              <w:rPr>
                <w:webHidden/>
              </w:rPr>
              <w:fldChar w:fldCharType="separate"/>
            </w:r>
            <w:r>
              <w:rPr>
                <w:webHidden/>
              </w:rPr>
              <w:t>15</w:t>
            </w:r>
            <w:r>
              <w:rPr>
                <w:webHidden/>
              </w:rPr>
              <w:fldChar w:fldCharType="end"/>
            </w:r>
          </w:hyperlink>
        </w:p>
        <w:p w14:paraId="2CBBA4FA" w14:textId="3FBA351D" w:rsidR="00D93791" w:rsidRDefault="00D93791">
          <w:pPr>
            <w:pStyle w:val="TOC1"/>
            <w:rPr>
              <w:rFonts w:eastAsiaTheme="minorEastAsia"/>
              <w:szCs w:val="24"/>
              <w:lang w:eastAsia="ru-RU"/>
            </w:rPr>
          </w:pPr>
          <w:hyperlink w:anchor="_Toc231422554" w:history="1">
            <w:r w:rsidRPr="00C7550F">
              <w:rPr>
                <w:rStyle w:val="Hyperlink"/>
              </w:rPr>
              <w:t>6. What leading financial institutions reveal</w:t>
            </w:r>
            <w:r>
              <w:rPr>
                <w:webHidden/>
              </w:rPr>
              <w:tab/>
            </w:r>
            <w:r>
              <w:rPr>
                <w:webHidden/>
              </w:rPr>
              <w:fldChar w:fldCharType="begin"/>
            </w:r>
            <w:r>
              <w:rPr>
                <w:webHidden/>
              </w:rPr>
              <w:instrText xml:space="preserve"> PAGEREF _Toc231422554 \h </w:instrText>
            </w:r>
            <w:r>
              <w:rPr>
                <w:webHidden/>
              </w:rPr>
            </w:r>
            <w:r>
              <w:rPr>
                <w:webHidden/>
              </w:rPr>
              <w:fldChar w:fldCharType="separate"/>
            </w:r>
            <w:r>
              <w:rPr>
                <w:webHidden/>
              </w:rPr>
              <w:t>17</w:t>
            </w:r>
            <w:r>
              <w:rPr>
                <w:webHidden/>
              </w:rPr>
              <w:fldChar w:fldCharType="end"/>
            </w:r>
          </w:hyperlink>
        </w:p>
        <w:p w14:paraId="35B4CCC2" w14:textId="0AB0A056" w:rsidR="00D93791" w:rsidRDefault="00D93791">
          <w:pPr>
            <w:pStyle w:val="TOC1"/>
            <w:rPr>
              <w:rFonts w:eastAsiaTheme="minorEastAsia"/>
              <w:szCs w:val="24"/>
              <w:lang w:eastAsia="ru-RU"/>
            </w:rPr>
          </w:pPr>
          <w:hyperlink w:anchor="_Toc231422555" w:history="1">
            <w:r w:rsidRPr="00C7550F">
              <w:rPr>
                <w:rStyle w:val="Hyperlink"/>
              </w:rPr>
              <w:t>7. Limits, counter-arguments and regression risks</w:t>
            </w:r>
            <w:r>
              <w:rPr>
                <w:webHidden/>
              </w:rPr>
              <w:tab/>
            </w:r>
            <w:r>
              <w:rPr>
                <w:webHidden/>
              </w:rPr>
              <w:fldChar w:fldCharType="begin"/>
            </w:r>
            <w:r>
              <w:rPr>
                <w:webHidden/>
              </w:rPr>
              <w:instrText xml:space="preserve"> PAGEREF _Toc231422555 \h </w:instrText>
            </w:r>
            <w:r>
              <w:rPr>
                <w:webHidden/>
              </w:rPr>
            </w:r>
            <w:r>
              <w:rPr>
                <w:webHidden/>
              </w:rPr>
              <w:fldChar w:fldCharType="separate"/>
            </w:r>
            <w:r>
              <w:rPr>
                <w:webHidden/>
              </w:rPr>
              <w:t>19</w:t>
            </w:r>
            <w:r>
              <w:rPr>
                <w:webHidden/>
              </w:rPr>
              <w:fldChar w:fldCharType="end"/>
            </w:r>
          </w:hyperlink>
        </w:p>
        <w:p w14:paraId="74200252" w14:textId="6A4EE4F8" w:rsidR="00D93791" w:rsidRDefault="00D93791">
          <w:pPr>
            <w:pStyle w:val="TOC2"/>
            <w:tabs>
              <w:tab w:val="right" w:leader="dot" w:pos="9060"/>
            </w:tabs>
            <w:rPr>
              <w:rFonts w:eastAsiaTheme="minorEastAsia"/>
              <w:szCs w:val="24"/>
              <w:lang w:eastAsia="ru-RU"/>
            </w:rPr>
          </w:pPr>
          <w:hyperlink w:anchor="_Toc231422556" w:history="1">
            <w:r w:rsidRPr="00C7550F">
              <w:rPr>
                <w:rStyle w:val="Hyperlink"/>
              </w:rPr>
              <w:t>7a. Practitioner lens — when Stage 2 collapses back to Stage 1</w:t>
            </w:r>
            <w:r>
              <w:rPr>
                <w:webHidden/>
              </w:rPr>
              <w:tab/>
            </w:r>
            <w:r>
              <w:rPr>
                <w:webHidden/>
              </w:rPr>
              <w:fldChar w:fldCharType="begin"/>
            </w:r>
            <w:r>
              <w:rPr>
                <w:webHidden/>
              </w:rPr>
              <w:instrText xml:space="preserve"> PAGEREF _Toc231422556 \h </w:instrText>
            </w:r>
            <w:r>
              <w:rPr>
                <w:webHidden/>
              </w:rPr>
            </w:r>
            <w:r>
              <w:rPr>
                <w:webHidden/>
              </w:rPr>
              <w:fldChar w:fldCharType="separate"/>
            </w:r>
            <w:r>
              <w:rPr>
                <w:webHidden/>
              </w:rPr>
              <w:t>19</w:t>
            </w:r>
            <w:r>
              <w:rPr>
                <w:webHidden/>
              </w:rPr>
              <w:fldChar w:fldCharType="end"/>
            </w:r>
          </w:hyperlink>
        </w:p>
        <w:p w14:paraId="0B05E772" w14:textId="40FD9957" w:rsidR="00D93791" w:rsidRDefault="00D93791">
          <w:pPr>
            <w:pStyle w:val="TOC1"/>
            <w:rPr>
              <w:rFonts w:eastAsiaTheme="minorEastAsia"/>
              <w:szCs w:val="24"/>
              <w:lang w:eastAsia="ru-RU"/>
            </w:rPr>
          </w:pPr>
          <w:hyperlink w:anchor="_Toc231422557" w:history="1">
            <w:r w:rsidRPr="00C7550F">
              <w:rPr>
                <w:rStyle w:val="Hyperlink"/>
              </w:rPr>
              <w:t>8. A 24-month path from personal AI to delivery intelligence</w:t>
            </w:r>
            <w:r>
              <w:rPr>
                <w:webHidden/>
              </w:rPr>
              <w:tab/>
            </w:r>
            <w:r>
              <w:rPr>
                <w:webHidden/>
              </w:rPr>
              <w:fldChar w:fldCharType="begin"/>
            </w:r>
            <w:r>
              <w:rPr>
                <w:webHidden/>
              </w:rPr>
              <w:instrText xml:space="preserve"> PAGEREF _Toc231422557 \h </w:instrText>
            </w:r>
            <w:r>
              <w:rPr>
                <w:webHidden/>
              </w:rPr>
            </w:r>
            <w:r>
              <w:rPr>
                <w:webHidden/>
              </w:rPr>
              <w:fldChar w:fldCharType="separate"/>
            </w:r>
            <w:r>
              <w:rPr>
                <w:webHidden/>
              </w:rPr>
              <w:t>21</w:t>
            </w:r>
            <w:r>
              <w:rPr>
                <w:webHidden/>
              </w:rPr>
              <w:fldChar w:fldCharType="end"/>
            </w:r>
          </w:hyperlink>
        </w:p>
        <w:p w14:paraId="7C8CCA5D" w14:textId="357725FF" w:rsidR="00D93791" w:rsidRDefault="00D93791">
          <w:pPr>
            <w:pStyle w:val="TOC2"/>
            <w:tabs>
              <w:tab w:val="right" w:leader="dot" w:pos="9060"/>
            </w:tabs>
            <w:rPr>
              <w:rFonts w:eastAsiaTheme="minorEastAsia"/>
              <w:szCs w:val="24"/>
              <w:lang w:eastAsia="ru-RU"/>
            </w:rPr>
          </w:pPr>
          <w:hyperlink w:anchor="_Toc231422558" w:history="1">
            <w:r w:rsidRPr="00C7550F">
              <w:rPr>
                <w:rStyle w:val="Hyperlink"/>
              </w:rPr>
              <w:t>A 24-month path from personal AI to delivery intelligence</w:t>
            </w:r>
            <w:r>
              <w:rPr>
                <w:webHidden/>
              </w:rPr>
              <w:tab/>
            </w:r>
            <w:r>
              <w:rPr>
                <w:webHidden/>
              </w:rPr>
              <w:fldChar w:fldCharType="begin"/>
            </w:r>
            <w:r>
              <w:rPr>
                <w:webHidden/>
              </w:rPr>
              <w:instrText xml:space="preserve"> PAGEREF _Toc231422558 \h </w:instrText>
            </w:r>
            <w:r>
              <w:rPr>
                <w:webHidden/>
              </w:rPr>
            </w:r>
            <w:r>
              <w:rPr>
                <w:webHidden/>
              </w:rPr>
              <w:fldChar w:fldCharType="separate"/>
            </w:r>
            <w:r>
              <w:rPr>
                <w:webHidden/>
              </w:rPr>
              <w:t>21</w:t>
            </w:r>
            <w:r>
              <w:rPr>
                <w:webHidden/>
              </w:rPr>
              <w:fldChar w:fldCharType="end"/>
            </w:r>
          </w:hyperlink>
        </w:p>
        <w:p w14:paraId="403C5CB4" w14:textId="1DC36D2A" w:rsidR="00D93791" w:rsidRDefault="00D93791">
          <w:pPr>
            <w:pStyle w:val="TOC2"/>
            <w:tabs>
              <w:tab w:val="right" w:leader="dot" w:pos="9060"/>
            </w:tabs>
            <w:rPr>
              <w:rFonts w:eastAsiaTheme="minorEastAsia"/>
              <w:szCs w:val="24"/>
              <w:lang w:eastAsia="ru-RU"/>
            </w:rPr>
          </w:pPr>
          <w:hyperlink w:anchor="_Toc231422559" w:history="1">
            <w:r w:rsidRPr="00C7550F">
              <w:rPr>
                <w:rStyle w:val="Hyperlink"/>
              </w:rPr>
              <w:t>Conclusion: the leadership choice</w:t>
            </w:r>
            <w:r>
              <w:rPr>
                <w:webHidden/>
              </w:rPr>
              <w:tab/>
            </w:r>
            <w:r>
              <w:rPr>
                <w:webHidden/>
              </w:rPr>
              <w:fldChar w:fldCharType="begin"/>
            </w:r>
            <w:r>
              <w:rPr>
                <w:webHidden/>
              </w:rPr>
              <w:instrText xml:space="preserve"> PAGEREF _Toc231422559 \h </w:instrText>
            </w:r>
            <w:r>
              <w:rPr>
                <w:webHidden/>
              </w:rPr>
            </w:r>
            <w:r>
              <w:rPr>
                <w:webHidden/>
              </w:rPr>
              <w:fldChar w:fldCharType="separate"/>
            </w:r>
            <w:r>
              <w:rPr>
                <w:webHidden/>
              </w:rPr>
              <w:t>23</w:t>
            </w:r>
            <w:r>
              <w:rPr>
                <w:webHidden/>
              </w:rPr>
              <w:fldChar w:fldCharType="end"/>
            </w:r>
          </w:hyperlink>
        </w:p>
        <w:p w14:paraId="66BD363C" w14:textId="4069E265" w:rsidR="00D93791" w:rsidRDefault="00D93791">
          <w:pPr>
            <w:pStyle w:val="TOC1"/>
            <w:rPr>
              <w:rFonts w:eastAsiaTheme="minorEastAsia"/>
              <w:szCs w:val="24"/>
              <w:lang w:eastAsia="ru-RU"/>
            </w:rPr>
          </w:pPr>
          <w:hyperlink w:anchor="_Toc231422560" w:history="1">
            <w:r w:rsidRPr="00C7550F">
              <w:rPr>
                <w:rStyle w:val="Hyperlink"/>
              </w:rPr>
              <w:t>Appendix</w:t>
            </w:r>
            <w:r>
              <w:rPr>
                <w:webHidden/>
              </w:rPr>
              <w:tab/>
            </w:r>
            <w:r>
              <w:rPr>
                <w:webHidden/>
              </w:rPr>
              <w:fldChar w:fldCharType="begin"/>
            </w:r>
            <w:r>
              <w:rPr>
                <w:webHidden/>
              </w:rPr>
              <w:instrText xml:space="preserve"> PAGEREF _Toc231422560 \h </w:instrText>
            </w:r>
            <w:r>
              <w:rPr>
                <w:webHidden/>
              </w:rPr>
            </w:r>
            <w:r>
              <w:rPr>
                <w:webHidden/>
              </w:rPr>
              <w:fldChar w:fldCharType="separate"/>
            </w:r>
            <w:r>
              <w:rPr>
                <w:webHidden/>
              </w:rPr>
              <w:t>24</w:t>
            </w:r>
            <w:r>
              <w:rPr>
                <w:webHidden/>
              </w:rPr>
              <w:fldChar w:fldCharType="end"/>
            </w:r>
          </w:hyperlink>
        </w:p>
        <w:p w14:paraId="03D69BA1" w14:textId="76B647D6" w:rsidR="00D93791" w:rsidRDefault="00D93791">
          <w:pPr>
            <w:pStyle w:val="TOC2"/>
            <w:tabs>
              <w:tab w:val="right" w:leader="dot" w:pos="9060"/>
            </w:tabs>
            <w:rPr>
              <w:rFonts w:eastAsiaTheme="minorEastAsia"/>
              <w:szCs w:val="24"/>
              <w:lang w:eastAsia="ru-RU"/>
            </w:rPr>
          </w:pPr>
          <w:hyperlink w:anchor="_Toc231422561" w:history="1">
            <w:r w:rsidRPr="00C7550F">
              <w:rPr>
                <w:rStyle w:val="Hyperlink"/>
              </w:rPr>
              <w:t>AI definitions</w:t>
            </w:r>
            <w:r>
              <w:rPr>
                <w:webHidden/>
              </w:rPr>
              <w:tab/>
            </w:r>
            <w:r>
              <w:rPr>
                <w:webHidden/>
              </w:rPr>
              <w:fldChar w:fldCharType="begin"/>
            </w:r>
            <w:r>
              <w:rPr>
                <w:webHidden/>
              </w:rPr>
              <w:instrText xml:space="preserve"> PAGEREF _Toc231422561 \h </w:instrText>
            </w:r>
            <w:r>
              <w:rPr>
                <w:webHidden/>
              </w:rPr>
            </w:r>
            <w:r>
              <w:rPr>
                <w:webHidden/>
              </w:rPr>
              <w:fldChar w:fldCharType="separate"/>
            </w:r>
            <w:r>
              <w:rPr>
                <w:webHidden/>
              </w:rPr>
              <w:t>24</w:t>
            </w:r>
            <w:r>
              <w:rPr>
                <w:webHidden/>
              </w:rPr>
              <w:fldChar w:fldCharType="end"/>
            </w:r>
          </w:hyperlink>
        </w:p>
        <w:p w14:paraId="5B1D1E51" w14:textId="6B03C8A4" w:rsidR="00D93791" w:rsidRDefault="00D93791">
          <w:pPr>
            <w:pStyle w:val="TOC1"/>
            <w:rPr>
              <w:rFonts w:eastAsiaTheme="minorEastAsia"/>
              <w:szCs w:val="24"/>
              <w:lang w:eastAsia="ru-RU"/>
            </w:rPr>
          </w:pPr>
          <w:hyperlink w:anchor="_Toc231422562" w:history="1">
            <w:r w:rsidRPr="00C7550F">
              <w:rPr>
                <w:rStyle w:val="Hyperlink"/>
              </w:rPr>
              <w:t>Endnotes</w:t>
            </w:r>
            <w:r>
              <w:rPr>
                <w:webHidden/>
              </w:rPr>
              <w:tab/>
            </w:r>
            <w:r>
              <w:rPr>
                <w:webHidden/>
              </w:rPr>
              <w:fldChar w:fldCharType="begin"/>
            </w:r>
            <w:r>
              <w:rPr>
                <w:webHidden/>
              </w:rPr>
              <w:instrText xml:space="preserve"> PAGEREF _Toc231422562 \h </w:instrText>
            </w:r>
            <w:r>
              <w:rPr>
                <w:webHidden/>
              </w:rPr>
            </w:r>
            <w:r>
              <w:rPr>
                <w:webHidden/>
              </w:rPr>
              <w:fldChar w:fldCharType="separate"/>
            </w:r>
            <w:r>
              <w:rPr>
                <w:webHidden/>
              </w:rPr>
              <w:t>24</w:t>
            </w:r>
            <w:r>
              <w:rPr>
                <w:webHidden/>
              </w:rPr>
              <w:fldChar w:fldCharType="end"/>
            </w:r>
          </w:hyperlink>
        </w:p>
        <w:p w14:paraId="0720F76D" w14:textId="14181B45" w:rsidR="00D93791" w:rsidRDefault="00D93791">
          <w:pPr>
            <w:pStyle w:val="TOC1"/>
            <w:rPr>
              <w:rFonts w:eastAsiaTheme="minorEastAsia"/>
              <w:szCs w:val="24"/>
              <w:lang w:eastAsia="ru-RU"/>
            </w:rPr>
          </w:pPr>
          <w:hyperlink w:anchor="_Toc231422563" w:history="1">
            <w:r w:rsidRPr="00C7550F">
              <w:rPr>
                <w:rStyle w:val="Hyperlink"/>
              </w:rPr>
              <w:t>SmartCo</w:t>
            </w:r>
            <w:r>
              <w:rPr>
                <w:webHidden/>
              </w:rPr>
              <w:tab/>
            </w:r>
            <w:r>
              <w:rPr>
                <w:webHidden/>
              </w:rPr>
              <w:fldChar w:fldCharType="begin"/>
            </w:r>
            <w:r>
              <w:rPr>
                <w:webHidden/>
              </w:rPr>
              <w:instrText xml:space="preserve"> PAGEREF _Toc231422563 \h </w:instrText>
            </w:r>
            <w:r>
              <w:rPr>
                <w:webHidden/>
              </w:rPr>
            </w:r>
            <w:r>
              <w:rPr>
                <w:webHidden/>
              </w:rPr>
              <w:fldChar w:fldCharType="separate"/>
            </w:r>
            <w:r>
              <w:rPr>
                <w:webHidden/>
              </w:rPr>
              <w:t>26</w:t>
            </w:r>
            <w:r>
              <w:rPr>
                <w:webHidden/>
              </w:rPr>
              <w:fldChar w:fldCharType="end"/>
            </w:r>
          </w:hyperlink>
        </w:p>
        <w:p w14:paraId="16C0B697" w14:textId="194AF378" w:rsidR="00D93791" w:rsidRDefault="00D93791">
          <w:pPr>
            <w:pStyle w:val="TOC1"/>
            <w:rPr>
              <w:rFonts w:eastAsiaTheme="minorEastAsia"/>
              <w:szCs w:val="24"/>
              <w:lang w:eastAsia="ru-RU"/>
            </w:rPr>
          </w:pPr>
          <w:hyperlink w:anchor="_Toc231422564" w:history="1">
            <w:r w:rsidRPr="00C7550F">
              <w:rPr>
                <w:rStyle w:val="Hyperlink"/>
              </w:rPr>
              <w:t>About the authors</w:t>
            </w:r>
            <w:r>
              <w:rPr>
                <w:webHidden/>
              </w:rPr>
              <w:tab/>
            </w:r>
            <w:r>
              <w:rPr>
                <w:webHidden/>
              </w:rPr>
              <w:fldChar w:fldCharType="begin"/>
            </w:r>
            <w:r>
              <w:rPr>
                <w:webHidden/>
              </w:rPr>
              <w:instrText xml:space="preserve"> PAGEREF _Toc231422564 \h </w:instrText>
            </w:r>
            <w:r>
              <w:rPr>
                <w:webHidden/>
              </w:rPr>
            </w:r>
            <w:r>
              <w:rPr>
                <w:webHidden/>
              </w:rPr>
              <w:fldChar w:fldCharType="separate"/>
            </w:r>
            <w:r>
              <w:rPr>
                <w:webHidden/>
              </w:rPr>
              <w:t>27</w:t>
            </w:r>
            <w:r>
              <w:rPr>
                <w:webHidden/>
              </w:rPr>
              <w:fldChar w:fldCharType="end"/>
            </w:r>
          </w:hyperlink>
        </w:p>
        <w:p w14:paraId="6F59273C" w14:textId="7A2975DA" w:rsidR="00E21A79" w:rsidRPr="000A3696" w:rsidRDefault="00611ABF">
          <w:r>
            <w:fldChar w:fldCharType="end"/>
          </w:r>
        </w:p>
      </w:sdtContent>
    </w:sdt>
    <w:p w14:paraId="0DED5CD4" w14:textId="3C2EF8D4" w:rsidR="00233848" w:rsidRPr="00FD5EEC" w:rsidRDefault="00233848">
      <w:pPr>
        <w:rPr>
          <w:color w:val="000000" w:themeColor="text2"/>
          <w:sz w:val="14"/>
          <w:szCs w:val="14"/>
        </w:rPr>
      </w:pPr>
    </w:p>
    <w:p w14:paraId="1E48B893" w14:textId="7C17758C" w:rsidR="005A4FAA" w:rsidRDefault="00E81D68" w:rsidP="00CA2D3E">
      <w:pPr>
        <w:pStyle w:val="Heading1"/>
        <w:rPr>
          <w:rFonts w:hint="eastAsia"/>
        </w:rPr>
      </w:pPr>
      <w:bookmarkStart w:id="1" w:name="_Toc231422544"/>
      <w:r>
        <w:lastRenderedPageBreak/>
        <w:t>Foreword</w:t>
      </w:r>
      <w:bookmarkEnd w:id="1"/>
    </w:p>
    <w:p w14:paraId="2E544810" w14:textId="77777777" w:rsidR="005C1F87" w:rsidRPr="00FD5EEC" w:rsidRDefault="005C1F87" w:rsidP="005C1F87">
      <w:r w:rsidRPr="00FD5EEC">
        <w:t>AI is creating real momentum in programme delivery and many organisations are already seeing the benefits. Across delivery teams, it is reducing manual work and enabling teams to, communicate more clearly.</w:t>
      </w:r>
    </w:p>
    <w:p w14:paraId="725D62A1" w14:textId="77777777" w:rsidR="005C1F87" w:rsidRPr="00FD5EEC" w:rsidRDefault="005C1F87" w:rsidP="005C1F87">
      <w:r w:rsidRPr="00FD5EEC">
        <w:t>At the same time, as adoption grows, a more structural challenge is beginning to emerge. Alongside these gains, there is an increasing need to ensure that the work being accelerated today also strengthens how the organisation learns, improves and makes decisions over time. In many cases, delivery activity is moving ahead, but the underlying evidence is not yet being captured in a way that is comparable or reusable. Over time, this can create a disconnect between what organisations are delivering and what they can fully explain and improve.</w:t>
      </w:r>
    </w:p>
    <w:p w14:paraId="039DAC02" w14:textId="77777777" w:rsidR="005C1F87" w:rsidRPr="00FD5EEC" w:rsidRDefault="005C1F87" w:rsidP="005C1F87"/>
    <w:p w14:paraId="52DC8365" w14:textId="77777777" w:rsidR="005C1F87" w:rsidRPr="00FD5EEC" w:rsidRDefault="005C1F87" w:rsidP="005C1F87">
      <w:r w:rsidRPr="00FD5EEC">
        <w:t xml:space="preserve">In this paper, we introduce the concept of </w:t>
      </w:r>
      <w:r w:rsidRPr="00FD5EEC">
        <w:rPr>
          <w:b/>
        </w:rPr>
        <w:t>Delivery Intelligence Debt,</w:t>
      </w:r>
      <w:r w:rsidRPr="00FD5EEC">
        <w:t xml:space="preserve"> the gap between rising AI activity and an organisation’s ability to turn that activity into usable, governed insight. Like any form of debt, it does not appear immediately. It builds gradually, often alongside positive progress, and becomes visible when organisations look to answer broader questions around performance, risk, and outcomes across their portfolios.</w:t>
      </w:r>
    </w:p>
    <w:p w14:paraId="70A99C25" w14:textId="77777777" w:rsidR="005C1F87" w:rsidRPr="00FD5EEC" w:rsidRDefault="005C1F87" w:rsidP="005C1F87"/>
    <w:p w14:paraId="35D82B35" w14:textId="013C9B88" w:rsidR="005C1F87" w:rsidRPr="00482A60" w:rsidRDefault="005C1F87" w:rsidP="005C1F87">
      <w:pPr>
        <w:rPr>
          <w:rStyle w:val="SubtleEmphasis"/>
          <w:lang w:val="en-GB"/>
        </w:rPr>
      </w:pPr>
      <w:r w:rsidRPr="00FD5EEC">
        <w:t>This matters because programme delivery has always been as much about insight as execution. In complex, regulated environments, leaders rely on structured, trusted signals to make decisions, intervene early and manage risk with confidence. Without that foundation, there is a risk that AI enhances activity without fully strengthening organisational intelligence.</w:t>
      </w:r>
      <w:r w:rsidRPr="00FD5EEC">
        <w:br/>
      </w:r>
      <w:r w:rsidRPr="00FD5EEC">
        <w:br/>
      </w:r>
      <w:r w:rsidRPr="00FD5EEC">
        <w:rPr>
          <w:rStyle w:val="SubtleEmphasis"/>
        </w:rPr>
        <w:t xml:space="preserve">Callum Campbell, Head of </w:t>
      </w:r>
      <w:r w:rsidR="004268E2" w:rsidRPr="00FD5EEC">
        <w:rPr>
          <w:rStyle w:val="SubtleEmphasis"/>
        </w:rPr>
        <w:t>Clients and Growth</w:t>
      </w:r>
      <w:r w:rsidR="00482A60">
        <w:rPr>
          <w:rStyle w:val="SubtleEmphasis"/>
          <w:lang w:val="en-GB"/>
        </w:rPr>
        <w:t xml:space="preserve"> at SmartCo</w:t>
      </w:r>
    </w:p>
    <w:p w14:paraId="786CF1B2" w14:textId="77777777" w:rsidR="008C06E0" w:rsidRPr="008C06E0" w:rsidRDefault="005C1F87" w:rsidP="008C06E0">
      <w:pPr>
        <w:rPr>
          <w:i/>
          <w:iCs/>
          <w:color w:val="404040" w:themeColor="text1" w:themeTint="BF"/>
          <w:lang w:val="en-GB"/>
        </w:rPr>
      </w:pPr>
      <w:r w:rsidRPr="00FD5EEC">
        <w:rPr>
          <w:rStyle w:val="SubtleEmphasis"/>
        </w:rPr>
        <w:t xml:space="preserve">Sahar Khan, </w:t>
      </w:r>
      <w:r w:rsidR="008C06E0" w:rsidRPr="008C06E0">
        <w:rPr>
          <w:i/>
          <w:iCs/>
          <w:color w:val="404040" w:themeColor="text1" w:themeTint="BF"/>
          <w:lang w:val="en-GB"/>
        </w:rPr>
        <w:t>Transformation and AI expert in financial services</w:t>
      </w:r>
    </w:p>
    <w:p w14:paraId="40FE5C28" w14:textId="06813FDD" w:rsidR="005C1F87" w:rsidRPr="00FD5EEC" w:rsidRDefault="005C1F87" w:rsidP="005C1F87">
      <w:pPr>
        <w:rPr>
          <w:rStyle w:val="SubtleEmphasis"/>
        </w:rPr>
      </w:pPr>
    </w:p>
    <w:p w14:paraId="0BD27ABA" w14:textId="77777777" w:rsidR="00AD664A" w:rsidRPr="00FD5EEC" w:rsidRDefault="00AD664A" w:rsidP="00AD664A">
      <w:pPr>
        <w:pStyle w:val="Heading1"/>
        <w:rPr>
          <w:rFonts w:hint="eastAsia"/>
        </w:rPr>
      </w:pPr>
      <w:bookmarkStart w:id="2" w:name="_Toc231422545"/>
      <w:r w:rsidRPr="00FD5EEC">
        <w:t>Executive summary</w:t>
      </w:r>
      <w:bookmarkEnd w:id="2"/>
    </w:p>
    <w:p w14:paraId="24BADC5B" w14:textId="77777777" w:rsidR="00AD664A" w:rsidRPr="00FD5EEC" w:rsidRDefault="00AD664A" w:rsidP="00AD664A">
      <w:r w:rsidRPr="00FD5EEC">
        <w:t>Most large organisations are mistaking AI adoption for AI transformation in programme delivery. Copilots, note-takers and ad hoc analysis are producing real time savings, but the outputs sit in email threads, decks and meeting transcripts. The enterprise gets faster typing without building reusable delivery intelligence. We call this gap Delivery Intelligence Debt: the compounding cost of accelerating AI use without the data structure, metadata and governance that turn it into institutional learning.</w:t>
      </w:r>
    </w:p>
    <w:p w14:paraId="2FA45E09" w14:textId="77777777" w:rsidR="00AD664A" w:rsidRPr="00FD5EEC" w:rsidRDefault="00AD664A" w:rsidP="00AD664A">
      <w:r w:rsidRPr="00FD5EEC">
        <w:t>Programme delivery sits on a three-stage maturity curve. Stage 1 is AI-assisted delivery — useful but largely personal. Stage 2 is structured delivery automation, where AI outputs flow into governed workflows with shared taxonomies, metadata and ownership. Stage 3 is enterprise delivery intelligence, where accumulated history forecasts schedule slippage, dependency risk and benefits drift. Without Stage 2, Stage 3 is unreachable.</w:t>
      </w:r>
    </w:p>
    <w:p w14:paraId="4FB843FA" w14:textId="77777777" w:rsidR="00AD664A" w:rsidRPr="00FD5EEC" w:rsidRDefault="00AD664A" w:rsidP="00AD664A">
      <w:r w:rsidRPr="00FD5EEC">
        <w:t>Four observations frame the argument. AI use in UK project management has nearly doubled in two years to 70%. Gartner finds that 63% of organisations lack the data-management practices AI needs. Deloitte reports that 68% have moved 30% or fewer of their generative-AI experiments fully into production. And research on the "jagged frontier" of AI capability shows that AI used outside well-understood task boundaries can degrade performance by 19 percentage points.</w:t>
      </w:r>
    </w:p>
    <w:p w14:paraId="6B14BD50" w14:textId="77777777" w:rsidR="00AD664A" w:rsidRPr="00FD5EEC" w:rsidRDefault="00AD664A" w:rsidP="00AD664A">
      <w:r w:rsidRPr="00FD5EEC">
        <w:t xml:space="preserve">This paper is for </w:t>
      </w:r>
      <w:r w:rsidRPr="00FD5EEC">
        <w:rPr>
          <w:b/>
        </w:rPr>
        <w:t>Heads of PMO, programme directors, transformation leaders and the CIOs they report to.</w:t>
      </w:r>
      <w:r w:rsidRPr="00FD5EEC">
        <w:t xml:space="preserve"> The recommended sequence is practical: scope one delivery domain in the first 90 days, build the data and metadata substrate in months 3–9, and only then attempt predictive intelligence in months 9–24.</w:t>
      </w:r>
    </w:p>
    <w:p w14:paraId="29F0BE4D" w14:textId="77777777" w:rsidR="005F7237" w:rsidRPr="00FD5EEC" w:rsidRDefault="005F7237" w:rsidP="00AD664A"/>
    <w:p w14:paraId="7E4FDEDE" w14:textId="77777777" w:rsidR="005F7237" w:rsidRPr="00FD5EEC" w:rsidRDefault="005F7237" w:rsidP="00AD664A"/>
    <w:tbl>
      <w:tblPr>
        <w:tblW w:w="8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0"/>
      </w:tblGrid>
      <w:tr w:rsidR="00210EDB" w:rsidRPr="00210EDB" w14:paraId="36CC854A" w14:textId="77777777" w:rsidTr="00C21337">
        <w:trPr>
          <w:trHeight w:val="2208"/>
        </w:trPr>
        <w:tc>
          <w:tcPr>
            <w:tcW w:w="8990" w:type="dxa"/>
            <w:tcBorders>
              <w:top w:val="none" w:sz="0" w:space="0" w:color="FFFFFF"/>
              <w:left w:val="single" w:sz="24" w:space="0" w:color="E6D343"/>
              <w:bottom w:val="none" w:sz="0" w:space="0" w:color="FFFFFF"/>
              <w:right w:val="none" w:sz="0" w:space="0" w:color="FFFFFF"/>
            </w:tcBorders>
            <w:shd w:val="clear" w:color="auto" w:fill="FBF4C2"/>
            <w:tcMar>
              <w:top w:w="240" w:type="dxa"/>
              <w:left w:w="280" w:type="dxa"/>
              <w:bottom w:w="240" w:type="dxa"/>
              <w:right w:w="280" w:type="dxa"/>
            </w:tcMar>
          </w:tcPr>
          <w:p w14:paraId="5E086C7A" w14:textId="009FAE4D" w:rsidR="00210EDB" w:rsidRPr="003E66E1" w:rsidRDefault="00210EDB" w:rsidP="00210EDB">
            <w:pPr>
              <w:rPr>
                <w:lang w:val="en-GB"/>
              </w:rPr>
            </w:pPr>
            <w:r w:rsidRPr="00FD5EEC">
              <w:rPr>
                <w:b/>
              </w:rPr>
              <w:t xml:space="preserve">The argument in </w:t>
            </w:r>
            <w:r w:rsidR="003E66E1">
              <w:rPr>
                <w:b/>
                <w:lang w:val="en-GB"/>
              </w:rPr>
              <w:t>brief</w:t>
            </w:r>
          </w:p>
          <w:p w14:paraId="04366BA7" w14:textId="77777777" w:rsidR="00210EDB" w:rsidRPr="00FD5EEC" w:rsidRDefault="00210EDB" w:rsidP="00210EDB">
            <w:r w:rsidRPr="00FD5EEC">
              <w:t>AI becomes transformational in programme delivery only when it turns delivery activity into structured, attributable and reusable evidence. Anything less creates faster documents, not better delivery intelligence.</w:t>
            </w:r>
          </w:p>
        </w:tc>
      </w:tr>
    </w:tbl>
    <w:p w14:paraId="5F223462" w14:textId="77777777" w:rsidR="00210EDB" w:rsidRPr="00FD5EEC" w:rsidRDefault="00210EDB" w:rsidP="00210EDB"/>
    <w:tbl>
      <w:tblPr>
        <w:tblW w:w="901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09"/>
        <w:gridCol w:w="4509"/>
      </w:tblGrid>
      <w:tr w:rsidR="00210EDB" w:rsidRPr="00210EDB" w14:paraId="65FA23ED" w14:textId="77777777" w:rsidTr="00C21337">
        <w:trPr>
          <w:trHeight w:val="2650"/>
        </w:trPr>
        <w:tc>
          <w:tcPr>
            <w:tcW w:w="4509" w:type="dxa"/>
            <w:tcBorders>
              <w:top w:val="none" w:sz="0" w:space="0" w:color="FFFFFF"/>
              <w:left w:val="none" w:sz="0" w:space="0" w:color="FFFFFF"/>
              <w:bottom w:val="none" w:sz="0" w:space="0" w:color="FFFFFF"/>
              <w:right w:val="none" w:sz="0" w:space="0" w:color="FFFFFF"/>
            </w:tcBorders>
            <w:shd w:val="clear" w:color="auto" w:fill="0065FC" w:themeFill="accent1"/>
            <w:tcMar>
              <w:top w:w="320" w:type="dxa"/>
              <w:left w:w="320" w:type="dxa"/>
              <w:bottom w:w="320" w:type="dxa"/>
              <w:right w:w="320" w:type="dxa"/>
            </w:tcMar>
          </w:tcPr>
          <w:p w14:paraId="3E407EE6" w14:textId="77777777" w:rsidR="00210EDB" w:rsidRPr="00FD5EEC" w:rsidRDefault="00210EDB" w:rsidP="009657A3">
            <w:pPr>
              <w:pStyle w:val="Title"/>
              <w:rPr>
                <w:rFonts w:hint="eastAsia"/>
                <w:color w:val="FFFFFF" w:themeColor="background2"/>
              </w:rPr>
            </w:pPr>
            <w:r w:rsidRPr="00FD5EEC">
              <w:rPr>
                <w:color w:val="FFFFFF" w:themeColor="background2"/>
              </w:rPr>
              <w:t>70%</w:t>
            </w:r>
          </w:p>
          <w:p w14:paraId="4B511B97" w14:textId="77777777" w:rsidR="00210EDB" w:rsidRPr="00FD5EEC" w:rsidRDefault="00210EDB" w:rsidP="00210EDB">
            <w:pPr>
              <w:rPr>
                <w:color w:val="FFFFFF" w:themeColor="background2"/>
              </w:rPr>
            </w:pPr>
            <w:r w:rsidRPr="00FD5EEC">
              <w:rPr>
                <w:color w:val="FFFFFF" w:themeColor="background2"/>
              </w:rPr>
              <w:t>of UK project professionals say their organisation now uses AI — but only 27% say it is fully embedded into workflows</w:t>
            </w:r>
          </w:p>
        </w:tc>
        <w:tc>
          <w:tcPr>
            <w:tcW w:w="4509" w:type="dxa"/>
            <w:tcBorders>
              <w:top w:val="none" w:sz="0" w:space="0" w:color="FFFFFF"/>
              <w:left w:val="none" w:sz="0" w:space="0" w:color="FFFFFF"/>
              <w:bottom w:val="none" w:sz="0" w:space="0" w:color="FFFFFF"/>
              <w:right w:val="none" w:sz="0" w:space="0" w:color="FFFFFF"/>
            </w:tcBorders>
            <w:shd w:val="clear" w:color="auto" w:fill="E6D443" w:themeFill="accent4"/>
            <w:tcMar>
              <w:top w:w="320" w:type="dxa"/>
              <w:left w:w="320" w:type="dxa"/>
              <w:bottom w:w="320" w:type="dxa"/>
              <w:right w:w="320" w:type="dxa"/>
            </w:tcMar>
          </w:tcPr>
          <w:p w14:paraId="019C4820" w14:textId="77777777" w:rsidR="00210EDB" w:rsidRPr="00FD5EEC" w:rsidRDefault="00210EDB" w:rsidP="009657A3">
            <w:pPr>
              <w:pStyle w:val="Title"/>
              <w:rPr>
                <w:rFonts w:hint="eastAsia"/>
              </w:rPr>
            </w:pPr>
            <w:r w:rsidRPr="00FD5EEC">
              <w:t>63%</w:t>
            </w:r>
          </w:p>
          <w:p w14:paraId="6387A60D" w14:textId="77777777" w:rsidR="00210EDB" w:rsidRPr="00FD5EEC" w:rsidRDefault="00210EDB" w:rsidP="00210EDB">
            <w:r w:rsidRPr="00FD5EEC">
              <w:t>of organisations lack the data-management practices AI projects require, according to Gartner</w:t>
            </w:r>
          </w:p>
        </w:tc>
      </w:tr>
    </w:tbl>
    <w:p w14:paraId="48413348" w14:textId="049CCFBE" w:rsidR="00210EDB" w:rsidRPr="00FD5EEC" w:rsidRDefault="00210EDB" w:rsidP="00DE1763">
      <w:pPr>
        <w:pStyle w:val="Heading1"/>
        <w:rPr>
          <w:rFonts w:asciiTheme="minorHAnsi" w:hAnsiTheme="minorHAnsi"/>
        </w:rPr>
      </w:pPr>
      <w:bookmarkStart w:id="3" w:name="_Toc231422546"/>
      <w:r w:rsidRPr="00FD5EEC">
        <w:t xml:space="preserve">1. Delivery </w:t>
      </w:r>
      <w:r w:rsidR="00A17602" w:rsidRPr="00A17602">
        <w:rPr>
          <w:rFonts w:asciiTheme="minorHAnsi" w:hAnsiTheme="minorHAnsi"/>
          <w:b/>
          <w:bCs/>
          <w:lang w:val="en-GB"/>
        </w:rPr>
        <w:t>i</w:t>
      </w:r>
      <w:r w:rsidRPr="00A17602">
        <w:rPr>
          <w:b/>
          <w:bCs/>
        </w:rPr>
        <w:t xml:space="preserve">ntelligence </w:t>
      </w:r>
      <w:r w:rsidR="00A17602" w:rsidRPr="00A17602">
        <w:rPr>
          <w:rFonts w:asciiTheme="minorHAnsi" w:hAnsiTheme="minorHAnsi"/>
          <w:b/>
          <w:bCs/>
          <w:lang w:val="en-GB"/>
        </w:rPr>
        <w:t>d</w:t>
      </w:r>
      <w:r w:rsidRPr="00A17602">
        <w:rPr>
          <w:b/>
          <w:bCs/>
        </w:rPr>
        <w:t>ebt</w:t>
      </w:r>
      <w:bookmarkEnd w:id="3"/>
    </w:p>
    <w:p w14:paraId="0859387C" w14:textId="77777777" w:rsidR="00210EDB" w:rsidRPr="00FD5EEC" w:rsidRDefault="00210EDB" w:rsidP="00210EDB">
      <w:r w:rsidRPr="00FD5EEC">
        <w:rPr>
          <w:b/>
        </w:rPr>
        <w:t>Delivery Intelligence Debt is the gap between an organisation’s AI activity and its ability to learn from that activity.</w:t>
      </w:r>
      <w:r w:rsidRPr="00FD5EEC">
        <w:t xml:space="preserve"> It accumulates whenever AI is used to go faster on a local task without leaving behind structured, attributable, reusable evidence: tagged RAID items, decision records with provenance, dependency classifications, forecast deltas, benefits assumptions. The work happens; the institutional memory does not.</w:t>
      </w:r>
    </w:p>
    <w:p w14:paraId="61D8B307" w14:textId="77777777" w:rsidR="00210EDB" w:rsidRPr="00FD5EEC" w:rsidRDefault="00210EDB" w:rsidP="00210EDB">
      <w:r w:rsidRPr="00FD5EEC">
        <w:t xml:space="preserve">The debt is invisible at first because Stage 1 productivity gains feel like progress. Status reports get drafted faster. Meeting summaries appear automatically. None of this shows up as a problem on a single programme. It shows up two years later, when leadership asks why — despite all the AI investment — the enterprise still </w:t>
      </w:r>
      <w:r w:rsidRPr="00FD5EEC">
        <w:lastRenderedPageBreak/>
        <w:t>cannot reliably forecast slippage, compare like for like across portfolios, or detect leading indicators of trouble.</w:t>
      </w:r>
    </w:p>
    <w:p w14:paraId="51590668" w14:textId="77777777" w:rsidR="00210EDB" w:rsidRPr="00FD5EEC" w:rsidRDefault="00210EDB" w:rsidP="00210EDB">
      <w:r w:rsidRPr="00FD5EEC">
        <w:t>Three things make the debt expensive. First, free-text outputs cannot be retrofitted with meaning at scale; semantic layers help but cannot recover decision context that was never captured. Second, fragmented adoption can actively degrade outcomes when AI is used outside its competence boundary, while making the output look more polished. Third, the longer a firm operates in Stage 1, the harder the cultural shift to Stage 2 becomes, because individual productivity has been habituated as the success metric.</w:t>
      </w:r>
    </w:p>
    <w:p w14:paraId="5F57AF14" w14:textId="77777777" w:rsidR="00210EDB" w:rsidRPr="00FD5EEC" w:rsidRDefault="00210EDB" w:rsidP="00210EDB">
      <w:r w:rsidRPr="00FD5EEC">
        <w:t>DORA’s 2025 research helps explain the mechanism. It frames AI adoption as a J-curve — an initial productivity dip, or "tuition cost", before longer-term returns materialise — and treats AI as an amplifier that magnifies the strengths of high-performing organisations and the weaknesses of struggling ones. The dip in the maturity curve is not a generic adoption tax. It is the result of AI being layered onto an operating model that is not yet ready to compound its outputs. The same lens reframes shadow AI: not rogue users, but a change-saturation symptom of leadership failing to sequence AI adoption coherently.</w:t>
      </w:r>
    </w:p>
    <w:p w14:paraId="41E4704D" w14:textId="77777777" w:rsidR="00210EDB" w:rsidRPr="00FD5EEC" w:rsidRDefault="00210EDB" w:rsidP="00210EDB">
      <w:r w:rsidRPr="00FD5EEC">
        <w:t>Where the J-curve dip actually falls is the most important leadership question in the maturity journey. Without a structured approach, Stage 2 is when productivity declines — Stage 1 individual gains stop compounding, informal workarounds proliferate, and the absence of a governed data layer becomes a drag on the work. With a structured approach, Stage 2 is instead a deliberate phased build: productivity holds steady on Stage 1 gains while the data, taxonomy and governance substrate is laid in parallel, then steps up sharply when Stage 3 capability comes online. The gap between the two paths — the value the unstructured organisation never captures — is Delivery Intelligence Debt.</w:t>
      </w:r>
    </w:p>
    <w:p w14:paraId="57457C15" w14:textId="15D66F7A" w:rsidR="006842A9" w:rsidRDefault="001D023C" w:rsidP="006842A9">
      <w:pPr>
        <w:spacing w:line="276" w:lineRule="auto"/>
        <w:rPr>
          <w:b/>
          <w:bCs/>
          <w:sz w:val="36"/>
          <w:szCs w:val="36"/>
        </w:rPr>
      </w:pPr>
      <w:r w:rsidRPr="00FD5EEC">
        <w:rPr>
          <w:b/>
          <w:sz w:val="40"/>
          <w:szCs w:val="40"/>
        </w:rPr>
        <w:br/>
      </w:r>
    </w:p>
    <w:p w14:paraId="73B5123C" w14:textId="37577EAC" w:rsidR="00210EDB" w:rsidRPr="00B6131E" w:rsidRDefault="006922C3" w:rsidP="00B6131E">
      <w:pPr>
        <w:spacing w:line="259" w:lineRule="auto"/>
        <w:rPr>
          <w:b/>
          <w:sz w:val="36"/>
          <w:szCs w:val="36"/>
        </w:rPr>
      </w:pPr>
      <w:r w:rsidRPr="00FD5EEC">
        <w:rPr>
          <w:b/>
          <w:sz w:val="36"/>
          <w:szCs w:val="36"/>
        </w:rPr>
        <w:lastRenderedPageBreak/>
        <w:t xml:space="preserve">Value gained over the course </w:t>
      </w:r>
      <w:r w:rsidR="00B56534" w:rsidRPr="00FD5EEC">
        <w:rPr>
          <w:b/>
          <w:sz w:val="36"/>
          <w:szCs w:val="36"/>
        </w:rPr>
        <w:t>of</w:t>
      </w:r>
      <w:r w:rsidR="001D023C" w:rsidRPr="00FD5EEC">
        <w:rPr>
          <w:b/>
          <w:sz w:val="36"/>
          <w:szCs w:val="36"/>
        </w:rPr>
        <w:t xml:space="preserve"> </w:t>
      </w:r>
      <w:r w:rsidR="001D023C" w:rsidRPr="00FD5EEC">
        <w:rPr>
          <w:b/>
          <w:sz w:val="36"/>
          <w:szCs w:val="36"/>
        </w:rPr>
        <w:br/>
      </w:r>
      <w:r w:rsidR="00B56534" w:rsidRPr="00FD5EEC">
        <w:rPr>
          <w:b/>
          <w:color w:val="0065FC" w:themeColor="accent1"/>
          <w:sz w:val="36"/>
          <w:szCs w:val="36"/>
        </w:rPr>
        <w:t>AI adoption in</w:t>
      </w:r>
      <w:r w:rsidR="001D023C" w:rsidRPr="00FD5EEC">
        <w:rPr>
          <w:b/>
          <w:color w:val="0065FC" w:themeColor="accent1"/>
          <w:sz w:val="36"/>
          <w:szCs w:val="36"/>
        </w:rPr>
        <w:t xml:space="preserve"> </w:t>
      </w:r>
      <w:r w:rsidR="00B56534" w:rsidRPr="00FD5EEC">
        <w:rPr>
          <w:b/>
          <w:color w:val="0065FC" w:themeColor="accent1"/>
          <w:sz w:val="36"/>
          <w:szCs w:val="36"/>
        </w:rPr>
        <w:t>Enterprise Delivery</w:t>
      </w:r>
      <w:r w:rsidR="00B56534" w:rsidRPr="00FD5EEC">
        <w:rPr>
          <w:b/>
          <w:color w:val="0065FC" w:themeColor="accent1"/>
          <w:sz w:val="36"/>
          <w:szCs w:val="36"/>
        </w:rPr>
        <w:tab/>
      </w:r>
    </w:p>
    <w:p w14:paraId="45409753" w14:textId="6EF8F5F8" w:rsidR="00E30D5F" w:rsidRPr="00FD5EEC" w:rsidRDefault="001D023C" w:rsidP="001D023C">
      <w:r w:rsidRPr="001D023C">
        <w:t>A phased journey that compounds value — from individual productivity to enterprise-wide delivery intelligence.</w:t>
      </w:r>
    </w:p>
    <w:p w14:paraId="005787E4" w14:textId="432683FB" w:rsidR="002B2A34" w:rsidRPr="00FD5EEC" w:rsidRDefault="002B2A34" w:rsidP="00210EDB">
      <w:r w:rsidRPr="00FD5EEC">
        <w:drawing>
          <wp:inline distT="0" distB="0" distL="0" distR="0" wp14:anchorId="37A1FC7D" wp14:editId="26719CE6">
            <wp:extent cx="5759449" cy="2520149"/>
            <wp:effectExtent l="0" t="0" r="0" b="0"/>
            <wp:docPr id="26402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28654"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9449" cy="2520149"/>
                    </a:xfrm>
                    <a:prstGeom prst="rect">
                      <a:avLst/>
                    </a:prstGeom>
                  </pic:spPr>
                </pic:pic>
              </a:graphicData>
            </a:graphic>
          </wp:inline>
        </w:drawing>
      </w:r>
    </w:p>
    <w:p w14:paraId="3AD2FF8C" w14:textId="77777777" w:rsidR="003B7CC3" w:rsidRPr="00FD5EEC" w:rsidRDefault="00210EDB" w:rsidP="00210EDB">
      <w:pPr>
        <w:rPr>
          <w:rStyle w:val="SubtleEmphasis"/>
        </w:rPr>
      </w:pPr>
      <w:r w:rsidRPr="00FD5EEC">
        <w:rPr>
          <w:rStyle w:val="SubtleEmphasis"/>
        </w:rPr>
        <w:t>Figure 1. Value gained over the course of AI adoption in enterprise delivery. The gap between the structured and unstructured paths is Delivery Intelligence Debt accumulating over time.</w:t>
      </w:r>
      <w:r w:rsidR="003B7CC3" w:rsidRPr="00FD5EEC">
        <w:rPr>
          <w:rStyle w:val="SubtleEmphasis"/>
        </w:rPr>
        <w:br/>
      </w:r>
    </w:p>
    <w:tbl>
      <w:tblPr>
        <w:tblStyle w:val="TableGrid"/>
        <w:tblW w:w="89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27" w:type="dxa"/>
          <w:left w:w="227" w:type="dxa"/>
          <w:bottom w:w="227" w:type="dxa"/>
          <w:right w:w="227" w:type="dxa"/>
        </w:tblCellMar>
        <w:tblLook w:val="0000" w:firstRow="0" w:lastRow="0" w:firstColumn="0" w:lastColumn="0" w:noHBand="0" w:noVBand="0"/>
      </w:tblPr>
      <w:tblGrid>
        <w:gridCol w:w="2665"/>
        <w:gridCol w:w="474"/>
        <w:gridCol w:w="2665"/>
        <w:gridCol w:w="474"/>
        <w:gridCol w:w="2721"/>
      </w:tblGrid>
      <w:tr w:rsidR="00AF4AA6" w:rsidRPr="00590047" w14:paraId="597590F0" w14:textId="77777777" w:rsidTr="005F7237">
        <w:tc>
          <w:tcPr>
            <w:tcW w:w="2665" w:type="dxa"/>
            <w:tcBorders>
              <w:left w:val="single" w:sz="36" w:space="0" w:color="0065FC" w:themeColor="accent1"/>
            </w:tcBorders>
            <w:shd w:val="clear" w:color="auto" w:fill="CCE0FE"/>
          </w:tcPr>
          <w:p w14:paraId="6EE5DB09" w14:textId="77777777" w:rsidR="00AF4AA6" w:rsidRDefault="00AF4AA6" w:rsidP="00014189">
            <w:pPr>
              <w:spacing w:line="276" w:lineRule="auto"/>
              <w:rPr>
                <w:color w:val="000000" w:themeColor="text1"/>
                <w:sz w:val="20"/>
                <w:szCs w:val="18"/>
              </w:rPr>
            </w:pPr>
            <w:r w:rsidRPr="00BC1653">
              <w:rPr>
                <w:b/>
                <w:bCs/>
                <w:color w:val="0065FC" w:themeColor="accent1"/>
              </w:rPr>
              <w:t>STAGE 1 · PERSONAL PRODUCTIVITY</w:t>
            </w:r>
            <w:r w:rsidRPr="00BC1653">
              <w:rPr>
                <w:b/>
                <w:bCs/>
                <w:color w:val="0065FC" w:themeColor="accent1"/>
              </w:rPr>
              <w:br/>
            </w:r>
            <w:r>
              <w:rPr>
                <w:color w:val="000000" w:themeColor="text1"/>
              </w:rPr>
              <w:br/>
            </w:r>
            <w:r w:rsidRPr="00014189">
              <w:rPr>
                <w:color w:val="000000" w:themeColor="text1"/>
                <w:sz w:val="20"/>
                <w:szCs w:val="18"/>
              </w:rPr>
              <w:t>Individuals use AI tools to support day-to-day delivery tasks. Gains are real but largely personal — not yet captured as reusable institutional evidence.</w:t>
            </w:r>
          </w:p>
          <w:p w14:paraId="4E7E2ADF" w14:textId="3F6DB5D7" w:rsidR="00AF4AA6" w:rsidRPr="00FD5EEC" w:rsidRDefault="00AF4AA6" w:rsidP="00014189">
            <w:pPr>
              <w:spacing w:line="276" w:lineRule="auto"/>
              <w:rPr>
                <w:rStyle w:val="SubtleEmphasis"/>
                <w:i w:val="0"/>
              </w:rPr>
            </w:pPr>
            <w:r>
              <w:rPr>
                <w:color w:val="404040" w:themeColor="text1" w:themeTint="BF"/>
              </w:rPr>
              <w:br/>
            </w:r>
            <w:r w:rsidRPr="00014189">
              <w:rPr>
                <w:i/>
                <w:iCs/>
                <w:color w:val="404040" w:themeColor="text1" w:themeTint="BF"/>
                <w:sz w:val="20"/>
                <w:szCs w:val="18"/>
              </w:rPr>
              <w:t>"Faster typing, no learning."</w:t>
            </w:r>
          </w:p>
        </w:tc>
        <w:tc>
          <w:tcPr>
            <w:tcW w:w="474" w:type="dxa"/>
            <w:tcBorders>
              <w:right w:val="single" w:sz="36" w:space="0" w:color="E65C43" w:themeColor="accent3"/>
            </w:tcBorders>
            <w:shd w:val="clear" w:color="auto" w:fill="FFFFFF" w:themeFill="background1"/>
          </w:tcPr>
          <w:p w14:paraId="60988424" w14:textId="77777777" w:rsidR="00AF4AA6" w:rsidRPr="00BC1653" w:rsidRDefault="00AF4AA6" w:rsidP="001C798E">
            <w:pPr>
              <w:spacing w:line="276" w:lineRule="auto"/>
              <w:rPr>
                <w:b/>
                <w:bCs/>
                <w:color w:val="E65C43" w:themeColor="accent3"/>
              </w:rPr>
            </w:pPr>
          </w:p>
        </w:tc>
        <w:tc>
          <w:tcPr>
            <w:tcW w:w="2665" w:type="dxa"/>
            <w:tcBorders>
              <w:left w:val="single" w:sz="36" w:space="0" w:color="E65C43" w:themeColor="accent3"/>
            </w:tcBorders>
            <w:shd w:val="clear" w:color="auto" w:fill="FADED9"/>
          </w:tcPr>
          <w:p w14:paraId="6B9FFC69" w14:textId="17CAF7FE" w:rsidR="00AF4AA6" w:rsidRPr="00BC1653" w:rsidRDefault="00AF4AA6" w:rsidP="001C798E">
            <w:pPr>
              <w:spacing w:line="276" w:lineRule="auto"/>
              <w:rPr>
                <w:b/>
                <w:bCs/>
                <w:color w:val="E65C43" w:themeColor="accent3"/>
              </w:rPr>
            </w:pPr>
            <w:r w:rsidRPr="00BC1653">
              <w:rPr>
                <w:b/>
                <w:bCs/>
                <w:color w:val="E65C43" w:themeColor="accent3"/>
              </w:rPr>
              <w:t>STAGE 2 · DELIVERY AUTOMATION</w:t>
            </w:r>
          </w:p>
          <w:p w14:paraId="7B0A9C2D" w14:textId="77777777" w:rsidR="00AF4AA6" w:rsidRDefault="00AF4AA6" w:rsidP="001C798E">
            <w:pPr>
              <w:spacing w:line="276" w:lineRule="auto"/>
              <w:rPr>
                <w:color w:val="000000" w:themeColor="text1"/>
                <w:sz w:val="20"/>
                <w:szCs w:val="20"/>
              </w:rPr>
            </w:pPr>
          </w:p>
          <w:p w14:paraId="6815F195" w14:textId="77777777" w:rsidR="00AF4AA6" w:rsidRDefault="00AF4AA6" w:rsidP="001C798E">
            <w:pPr>
              <w:spacing w:line="276" w:lineRule="auto"/>
              <w:rPr>
                <w:color w:val="000000" w:themeColor="text1"/>
                <w:sz w:val="20"/>
                <w:szCs w:val="20"/>
              </w:rPr>
            </w:pPr>
            <w:r w:rsidRPr="001C798E">
              <w:rPr>
                <w:color w:val="000000" w:themeColor="text1"/>
                <w:sz w:val="20"/>
                <w:szCs w:val="20"/>
              </w:rPr>
              <w:t xml:space="preserve">AI outputs flow into governed workflows with shared taxonomy, metadata and ownership. The bridge most organisations underbuild — and the source of the dip. </w:t>
            </w:r>
          </w:p>
          <w:p w14:paraId="6E552528" w14:textId="77777777" w:rsidR="00AF4AA6" w:rsidRDefault="00AF4AA6" w:rsidP="001C798E">
            <w:pPr>
              <w:spacing w:line="276" w:lineRule="auto"/>
              <w:rPr>
                <w:rStyle w:val="SubtleEmphasis"/>
                <w:sz w:val="20"/>
                <w:szCs w:val="18"/>
              </w:rPr>
            </w:pPr>
          </w:p>
          <w:p w14:paraId="593F7E02" w14:textId="2CE1D27F" w:rsidR="00AF4AA6" w:rsidRPr="001C798E" w:rsidRDefault="00AF4AA6" w:rsidP="001C798E">
            <w:pPr>
              <w:spacing w:line="276" w:lineRule="auto"/>
              <w:rPr>
                <w:rStyle w:val="SubtleEmphasis"/>
              </w:rPr>
            </w:pPr>
            <w:r w:rsidRPr="001C798E">
              <w:rPr>
                <w:rStyle w:val="SubtleEmphasis"/>
                <w:sz w:val="20"/>
                <w:szCs w:val="18"/>
              </w:rPr>
              <w:t>"The missing layer."</w:t>
            </w:r>
          </w:p>
        </w:tc>
        <w:tc>
          <w:tcPr>
            <w:tcW w:w="474" w:type="dxa"/>
            <w:tcBorders>
              <w:right w:val="single" w:sz="36" w:space="0" w:color="E6D443" w:themeColor="accent4"/>
            </w:tcBorders>
            <w:shd w:val="clear" w:color="auto" w:fill="FFFFFF" w:themeFill="background1"/>
          </w:tcPr>
          <w:p w14:paraId="5B4CC73B" w14:textId="77777777" w:rsidR="00AF4AA6" w:rsidRDefault="00AF4AA6" w:rsidP="00CC7600">
            <w:pPr>
              <w:spacing w:line="276" w:lineRule="auto"/>
              <w:rPr>
                <w:b/>
                <w:bCs/>
                <w:color w:val="E1CA1F"/>
              </w:rPr>
            </w:pPr>
          </w:p>
          <w:p w14:paraId="0382C34F" w14:textId="77777777" w:rsidR="001261B1" w:rsidRDefault="001261B1" w:rsidP="001261B1">
            <w:pPr>
              <w:rPr>
                <w:b/>
                <w:bCs/>
                <w:color w:val="E1CA1F"/>
              </w:rPr>
            </w:pPr>
          </w:p>
          <w:p w14:paraId="57452108" w14:textId="77777777" w:rsidR="001261B1" w:rsidRPr="001261B1" w:rsidRDefault="001261B1" w:rsidP="001261B1"/>
        </w:tc>
        <w:tc>
          <w:tcPr>
            <w:tcW w:w="2721" w:type="dxa"/>
            <w:tcBorders>
              <w:left w:val="single" w:sz="36" w:space="0" w:color="E6D443" w:themeColor="accent4"/>
            </w:tcBorders>
            <w:shd w:val="clear" w:color="auto" w:fill="FAF6D9"/>
          </w:tcPr>
          <w:p w14:paraId="27C39984" w14:textId="26B05F4F" w:rsidR="00AF4AA6" w:rsidRPr="00952320" w:rsidRDefault="00AF4AA6" w:rsidP="00CC7600">
            <w:pPr>
              <w:spacing w:line="276" w:lineRule="auto"/>
              <w:rPr>
                <w:b/>
                <w:color w:val="000000" w:themeColor="text1"/>
                <w:sz w:val="20"/>
                <w:szCs w:val="20"/>
              </w:rPr>
            </w:pPr>
            <w:r w:rsidRPr="00952320">
              <w:rPr>
                <w:b/>
                <w:color w:val="000000" w:themeColor="text1"/>
              </w:rPr>
              <w:t xml:space="preserve">STAGE 3 · DELIVERY INTELLIGENCE </w:t>
            </w:r>
          </w:p>
          <w:p w14:paraId="73D1FA20" w14:textId="745B0CC6" w:rsidR="00AF4AA6" w:rsidRPr="00FD5EEC" w:rsidRDefault="00AF4AA6" w:rsidP="00CC7600">
            <w:pPr>
              <w:spacing w:line="276" w:lineRule="auto"/>
              <w:rPr>
                <w:rStyle w:val="SubtleEmphasis"/>
                <w:i w:val="0"/>
              </w:rPr>
            </w:pPr>
            <w:r w:rsidRPr="00CC7600">
              <w:rPr>
                <w:sz w:val="20"/>
                <w:szCs w:val="20"/>
              </w:rPr>
              <w:br/>
              <w:t>Structured history drives predictive visibility across the portfolio. Without the Stage 2 foundation, benefits cannot be realised or sustained at scale.</w:t>
            </w:r>
            <w:r w:rsidRPr="00CC7600">
              <w:rPr>
                <w:color w:val="404040" w:themeColor="text1" w:themeTint="BF"/>
                <w:sz w:val="20"/>
                <w:szCs w:val="18"/>
              </w:rPr>
              <w:t xml:space="preserve"> </w:t>
            </w:r>
            <w:r>
              <w:rPr>
                <w:color w:val="404040" w:themeColor="text1" w:themeTint="BF"/>
              </w:rPr>
              <w:br/>
            </w:r>
            <w:r>
              <w:rPr>
                <w:i/>
                <w:iCs/>
                <w:color w:val="404040" w:themeColor="text1" w:themeTint="BF"/>
              </w:rPr>
              <w:br/>
            </w:r>
            <w:r w:rsidRPr="00CC7600">
              <w:rPr>
                <w:i/>
                <w:iCs/>
                <w:color w:val="404040" w:themeColor="text1" w:themeTint="BF"/>
                <w:sz w:val="20"/>
                <w:szCs w:val="18"/>
              </w:rPr>
              <w:t>"Learning, not just doing."</w:t>
            </w:r>
          </w:p>
        </w:tc>
      </w:tr>
    </w:tbl>
    <w:p w14:paraId="2B0AFB8F" w14:textId="77FEF1B7" w:rsidR="00210EDB" w:rsidRPr="00FD5EEC" w:rsidRDefault="00210EDB" w:rsidP="005F7237">
      <w:pPr>
        <w:pStyle w:val="Heading1"/>
        <w:rPr>
          <w:rFonts w:hint="eastAsia"/>
          <w:i/>
          <w:color w:val="404040" w:themeColor="text1" w:themeTint="BF"/>
        </w:rPr>
      </w:pPr>
      <w:bookmarkStart w:id="4" w:name="_Toc231422547"/>
      <w:r w:rsidRPr="00FD5EEC">
        <w:lastRenderedPageBreak/>
        <w:t>2. The three stages of AI maturity</w:t>
      </w:r>
      <w:bookmarkEnd w:id="4"/>
    </w:p>
    <w:p w14:paraId="5F616A46" w14:textId="77777777" w:rsidR="00210EDB" w:rsidRPr="00FD5EEC" w:rsidRDefault="00210EDB" w:rsidP="00210EDB">
      <w:r w:rsidRPr="00FD5EEC">
        <w:t>The maturity journey is best understood as three stages. They are not technology categories; they describe how work, data and governance change as AI moves from the individual desktop into the delivery operating model.</w:t>
      </w:r>
    </w:p>
    <w:p w14:paraId="3736EAA7" w14:textId="77777777" w:rsidR="00210EDB" w:rsidRPr="00FD5EEC" w:rsidRDefault="00210EDB" w:rsidP="00210EDB">
      <w:r w:rsidRPr="00FD5EEC">
        <w:rPr>
          <w:b/>
        </w:rPr>
        <w:t xml:space="preserve">Stage 1 — AI-assisted delivery. </w:t>
      </w:r>
      <w:r w:rsidRPr="00FD5EEC">
        <w:t>Personal productivity. Meeting notes, summary emails, draft status reports, document search, action capture. Microsoft’s early-user research found users 29% faster across search, writing and summarisation. A Forrester study reported time savings of up to 34% on content creation. Microsoft’s case study with Commercial Bank of Dubai reports an IT PMO generating 3,200 AI meeting summaries in a single month. The defining property: outputs are personal — they help the user but do not accumulate into a shared, comparable record. APM’s 2026 research makes the gap visible: 70% of project professionals say their organisation now uses AI, but only 27% say it is fully embedded into workflows.</w:t>
      </w:r>
    </w:p>
    <w:p w14:paraId="50D4DFBC" w14:textId="77777777" w:rsidR="00210EDB" w:rsidRPr="00FD5EEC" w:rsidRDefault="00210EDB" w:rsidP="00210EDB">
      <w:r w:rsidRPr="00FD5EEC">
        <w:rPr>
          <w:b/>
        </w:rPr>
        <w:t xml:space="preserve">Stage 2 — Structured delivery automation. </w:t>
      </w:r>
      <w:r w:rsidRPr="00FD5EEC">
        <w:t>AI output stops being a personal aid and becomes part of the controlled delivery system. The bankable value is not faster drafting but the automation of repeatable processes: extracting RAID items into canonical logs, generating actions with owners and dates, creating decision records with provenance, classifying dependencies, routing exceptions through the right controls. The hard work is metadata discipline — standard fields, consistent definitions, review steps, versioning. Morgan Stanley’s AI Assistant reached 98% adoption across Financial Advisor teams, and its Debrief capability sits explicitly between colleagues and systems of record. That is not a copilot; it is a workflow layer.</w:t>
      </w:r>
    </w:p>
    <w:p w14:paraId="11980BB0" w14:textId="77777777" w:rsidR="00210EDB" w:rsidRPr="00FD5EEC" w:rsidRDefault="00210EDB" w:rsidP="00210EDB">
      <w:r w:rsidRPr="00FD5EEC">
        <w:rPr>
          <w:b/>
        </w:rPr>
        <w:t xml:space="preserve">Stage 3 — Enterprise delivery intelligence. </w:t>
      </w:r>
      <w:r w:rsidRPr="00FD5EEC">
        <w:t xml:space="preserve">Most organisations talk about Stage 3; few can credibly reach it yet. Here, the organisation uses historical delivery data to predict slippage, identify risk cascades, detect benefits drift and recommend interventions before issues materialise. Stage 3 is impossible without Stage 2. Microsoft’s semantic-layer guidance is explicit that AI systems consume both data </w:t>
      </w:r>
      <w:r w:rsidRPr="00FD5EEC">
        <w:lastRenderedPageBreak/>
        <w:t>and metadata, and that organisations need gold layers, AI-friendly naming, documentation and an enterprise ontology.</w:t>
      </w:r>
    </w:p>
    <w:p w14:paraId="2DA9E1E7" w14:textId="3A0B4FF0" w:rsidR="00D902B4" w:rsidRPr="00FD5EEC" w:rsidRDefault="00C165D6" w:rsidP="00210EDB">
      <w:bookmarkStart w:id="5" w:name="_Toc231422548"/>
      <w:r w:rsidRPr="004A29EA">
        <w:rPr>
          <w:rStyle w:val="Heading2Char"/>
        </w:rPr>
        <w:t>Three stages of AI maturity in enterprise delivery</w:t>
      </w:r>
      <w:bookmarkEnd w:id="5"/>
      <w:r w:rsidRPr="00FD5EEC">
        <w:br/>
      </w:r>
      <w:r w:rsidR="004A29EA" w:rsidRPr="004A29EA">
        <w:t>Focus, capabilities, data posture and key evidence at each stage.</w:t>
      </w:r>
    </w:p>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113" w:type="dxa"/>
          <w:left w:w="113" w:type="dxa"/>
          <w:bottom w:w="113" w:type="dxa"/>
          <w:right w:w="113" w:type="dxa"/>
        </w:tblCellMar>
        <w:tblLook w:val="0000" w:firstRow="0" w:lastRow="0" w:firstColumn="0" w:lastColumn="0" w:noHBand="0" w:noVBand="0"/>
      </w:tblPr>
      <w:tblGrid>
        <w:gridCol w:w="3023"/>
        <w:gridCol w:w="3023"/>
        <w:gridCol w:w="3024"/>
      </w:tblGrid>
      <w:tr w:rsidR="00D902B4" w:rsidRPr="00FD5EEC" w14:paraId="02761221" w14:textId="77777777" w:rsidTr="00FD5EEC">
        <w:tc>
          <w:tcPr>
            <w:tcW w:w="3023" w:type="dxa"/>
            <w:tcBorders>
              <w:top w:val="nil"/>
              <w:left w:val="nil"/>
              <w:bottom w:val="nil"/>
              <w:right w:val="nil"/>
            </w:tcBorders>
            <w:shd w:val="clear" w:color="auto" w:fill="CBE0FF" w:themeFill="accent1" w:themeFillTint="33"/>
          </w:tcPr>
          <w:p w14:paraId="4071C73E" w14:textId="7CC2B04C" w:rsidR="00D902B4" w:rsidRPr="00FD5EEC" w:rsidRDefault="006730B2" w:rsidP="00210EDB">
            <w:r w:rsidRPr="004A5709">
              <w:rPr>
                <w:b/>
                <w:color w:val="0065FC" w:themeColor="accent1"/>
                <w:sz w:val="18"/>
                <w:szCs w:val="16"/>
              </w:rPr>
              <w:t>STAGE 01</w:t>
            </w:r>
            <w:r w:rsidRPr="004A5709">
              <w:rPr>
                <w:color w:val="0065FC" w:themeColor="accent1"/>
                <w:sz w:val="18"/>
                <w:szCs w:val="16"/>
              </w:rPr>
              <w:t xml:space="preserve"> </w:t>
            </w:r>
            <w:r w:rsidRPr="00FD5EEC">
              <w:br/>
            </w:r>
            <w:r w:rsidRPr="004A5709">
              <w:rPr>
                <w:b/>
                <w:sz w:val="20"/>
                <w:szCs w:val="18"/>
              </w:rPr>
              <w:t>AI-assisted delivery</w:t>
            </w:r>
          </w:p>
        </w:tc>
        <w:tc>
          <w:tcPr>
            <w:tcW w:w="3023" w:type="dxa"/>
            <w:tcBorders>
              <w:top w:val="nil"/>
              <w:left w:val="nil"/>
              <w:bottom w:val="nil"/>
              <w:right w:val="nil"/>
            </w:tcBorders>
            <w:shd w:val="clear" w:color="auto" w:fill="FAF6D9" w:themeFill="accent4" w:themeFillTint="33"/>
          </w:tcPr>
          <w:p w14:paraId="67F56B17" w14:textId="36B29B04" w:rsidR="00D902B4" w:rsidRPr="00FD5EEC" w:rsidRDefault="006E76F0" w:rsidP="00210EDB">
            <w:r w:rsidRPr="00EF7848">
              <w:rPr>
                <w:b/>
                <w:color w:val="C4B01A" w:themeColor="accent4" w:themeShade="BF"/>
                <w:sz w:val="18"/>
                <w:szCs w:val="16"/>
              </w:rPr>
              <w:t>STAGE 02</w:t>
            </w:r>
            <w:r w:rsidRPr="00EF7848">
              <w:rPr>
                <w:color w:val="C4B01A" w:themeColor="accent4" w:themeShade="BF"/>
                <w:sz w:val="18"/>
                <w:szCs w:val="16"/>
              </w:rPr>
              <w:t xml:space="preserve"> </w:t>
            </w:r>
            <w:r w:rsidR="00EF7848" w:rsidRPr="00FD5EEC">
              <w:rPr>
                <w:color w:val="C4B01A" w:themeColor="accent4" w:themeShade="BF"/>
                <w:sz w:val="18"/>
                <w:szCs w:val="16"/>
              </w:rPr>
              <w:br/>
            </w:r>
            <w:r w:rsidRPr="00EF7848">
              <w:rPr>
                <w:b/>
                <w:sz w:val="20"/>
                <w:szCs w:val="18"/>
              </w:rPr>
              <w:t>Structured automation</w:t>
            </w:r>
          </w:p>
        </w:tc>
        <w:tc>
          <w:tcPr>
            <w:tcW w:w="3024" w:type="dxa"/>
            <w:tcBorders>
              <w:top w:val="nil"/>
              <w:left w:val="nil"/>
              <w:bottom w:val="nil"/>
              <w:right w:val="nil"/>
            </w:tcBorders>
            <w:shd w:val="clear" w:color="auto" w:fill="D9FAEC" w:themeFill="accent2" w:themeFillTint="33"/>
          </w:tcPr>
          <w:p w14:paraId="4D1A3BD4" w14:textId="55D8D9B1" w:rsidR="00D902B4" w:rsidRPr="00FD5EEC" w:rsidRDefault="007628BE" w:rsidP="00210EDB">
            <w:r w:rsidRPr="002A1E76">
              <w:rPr>
                <w:b/>
                <w:color w:val="43E6A2" w:themeColor="accent2"/>
                <w:sz w:val="18"/>
                <w:szCs w:val="16"/>
              </w:rPr>
              <w:t>STAGE 03</w:t>
            </w:r>
            <w:r w:rsidRPr="002A1E76">
              <w:rPr>
                <w:color w:val="43E6A2" w:themeColor="accent2"/>
                <w:sz w:val="18"/>
                <w:szCs w:val="16"/>
              </w:rPr>
              <w:t xml:space="preserve"> </w:t>
            </w:r>
            <w:r w:rsidR="002A1E76" w:rsidRPr="00FD5EEC">
              <w:br/>
            </w:r>
            <w:r w:rsidRPr="002A1E76">
              <w:rPr>
                <w:b/>
                <w:sz w:val="20"/>
                <w:szCs w:val="18"/>
              </w:rPr>
              <w:t>Delivery intelligence</w:t>
            </w:r>
          </w:p>
        </w:tc>
      </w:tr>
      <w:tr w:rsidR="00D902B4" w:rsidRPr="00FD5EEC" w14:paraId="506ACBD8" w14:textId="77777777" w:rsidTr="00FD5EEC">
        <w:tc>
          <w:tcPr>
            <w:tcW w:w="3023" w:type="dxa"/>
            <w:tcBorders>
              <w:top w:val="nil"/>
            </w:tcBorders>
          </w:tcPr>
          <w:p w14:paraId="06A234DD" w14:textId="39898CB0" w:rsidR="00D902B4" w:rsidRPr="00FD5EEC" w:rsidRDefault="00A46986" w:rsidP="00CC0806">
            <w:pPr>
              <w:spacing w:line="276" w:lineRule="auto"/>
            </w:pPr>
            <w:r w:rsidRPr="00FD5EEC">
              <w:rPr>
                <w:b/>
                <w:color w:val="808080" w:themeColor="background1" w:themeShade="80"/>
                <w:sz w:val="14"/>
                <w:szCs w:val="12"/>
              </w:rPr>
              <w:t>FOCUS</w:t>
            </w:r>
            <w:r w:rsidRPr="00FD5EEC">
              <w:rPr>
                <w:b/>
              </w:rPr>
              <w:br/>
            </w:r>
            <w:r w:rsidRPr="00FD5EEC">
              <w:rPr>
                <w:b/>
                <w:sz w:val="20"/>
                <w:szCs w:val="18"/>
              </w:rPr>
              <w:t>Personal productivity</w:t>
            </w:r>
            <w:r w:rsidRPr="00FD5EEC">
              <w:rPr>
                <w:sz w:val="20"/>
                <w:szCs w:val="18"/>
              </w:rPr>
              <w:t xml:space="preserve"> </w:t>
            </w:r>
            <w:r w:rsidR="004A5709" w:rsidRPr="00FD5EEC">
              <w:rPr>
                <w:sz w:val="20"/>
                <w:szCs w:val="18"/>
              </w:rPr>
              <w:br/>
            </w:r>
            <w:r w:rsidRPr="00FD5EEC">
              <w:rPr>
                <w:sz w:val="18"/>
                <w:szCs w:val="16"/>
              </w:rPr>
              <w:t>Outputs help the user but do not accumulate.</w:t>
            </w:r>
          </w:p>
        </w:tc>
        <w:tc>
          <w:tcPr>
            <w:tcW w:w="3023" w:type="dxa"/>
            <w:tcBorders>
              <w:top w:val="nil"/>
            </w:tcBorders>
          </w:tcPr>
          <w:p w14:paraId="17D2B099" w14:textId="4461C794" w:rsidR="00D902B4" w:rsidRPr="00FD5EEC" w:rsidRDefault="0089114D" w:rsidP="00EF7848">
            <w:pPr>
              <w:spacing w:line="276" w:lineRule="auto"/>
            </w:pPr>
            <w:r w:rsidRPr="00EF7848">
              <w:rPr>
                <w:b/>
                <w:color w:val="808080" w:themeColor="background1" w:themeShade="80"/>
                <w:sz w:val="14"/>
                <w:szCs w:val="12"/>
              </w:rPr>
              <w:t>FOCUS</w:t>
            </w:r>
            <w:r w:rsidRPr="00EF7848">
              <w:rPr>
                <w:color w:val="808080" w:themeColor="background1" w:themeShade="80"/>
                <w:sz w:val="14"/>
                <w:szCs w:val="12"/>
              </w:rPr>
              <w:t xml:space="preserve"> </w:t>
            </w:r>
            <w:r w:rsidR="00EF7848" w:rsidRPr="00FD5EEC">
              <w:br/>
            </w:r>
            <w:r w:rsidRPr="00EF7848">
              <w:rPr>
                <w:b/>
                <w:sz w:val="20"/>
                <w:szCs w:val="18"/>
              </w:rPr>
              <w:t>Workflow integration</w:t>
            </w:r>
            <w:r w:rsidRPr="00EF7848">
              <w:rPr>
                <w:sz w:val="20"/>
                <w:szCs w:val="18"/>
              </w:rPr>
              <w:t xml:space="preserve"> </w:t>
            </w:r>
            <w:r w:rsidR="00EF7848" w:rsidRPr="00FD5EEC">
              <w:br/>
            </w:r>
            <w:r w:rsidRPr="00EF7848">
              <w:rPr>
                <w:sz w:val="18"/>
                <w:szCs w:val="16"/>
              </w:rPr>
              <w:t>AI output enters the controlled delivery system.</w:t>
            </w:r>
          </w:p>
        </w:tc>
        <w:tc>
          <w:tcPr>
            <w:tcW w:w="3024" w:type="dxa"/>
            <w:tcBorders>
              <w:top w:val="nil"/>
            </w:tcBorders>
          </w:tcPr>
          <w:p w14:paraId="08CD8B6F" w14:textId="7236579E" w:rsidR="00D902B4" w:rsidRPr="00FD5EEC" w:rsidRDefault="008D3F8B" w:rsidP="002A1E76">
            <w:pPr>
              <w:spacing w:line="276" w:lineRule="auto"/>
            </w:pPr>
            <w:r w:rsidRPr="002A1E76">
              <w:rPr>
                <w:b/>
                <w:color w:val="808080" w:themeColor="background1" w:themeShade="80"/>
                <w:sz w:val="14"/>
                <w:szCs w:val="12"/>
              </w:rPr>
              <w:t>FOCUS</w:t>
            </w:r>
            <w:r w:rsidRPr="002A1E76">
              <w:rPr>
                <w:color w:val="808080" w:themeColor="background1" w:themeShade="80"/>
                <w:sz w:val="14"/>
                <w:szCs w:val="12"/>
              </w:rPr>
              <w:t xml:space="preserve"> </w:t>
            </w:r>
            <w:r w:rsidRPr="00FD5EEC">
              <w:br/>
            </w:r>
            <w:r w:rsidRPr="002A1E76">
              <w:rPr>
                <w:b/>
                <w:sz w:val="20"/>
                <w:szCs w:val="18"/>
              </w:rPr>
              <w:t>Predictive insight</w:t>
            </w:r>
            <w:r w:rsidRPr="002A1E76">
              <w:rPr>
                <w:sz w:val="20"/>
                <w:szCs w:val="18"/>
              </w:rPr>
              <w:t xml:space="preserve"> </w:t>
            </w:r>
            <w:r w:rsidR="002A1E76" w:rsidRPr="00FD5EEC">
              <w:rPr>
                <w:sz w:val="20"/>
                <w:szCs w:val="18"/>
              </w:rPr>
              <w:br/>
            </w:r>
            <w:r w:rsidRPr="002A1E76">
              <w:rPr>
                <w:sz w:val="20"/>
                <w:szCs w:val="18"/>
              </w:rPr>
              <w:t>Anticipates slippage, risk cascades, benefits drift.</w:t>
            </w:r>
          </w:p>
        </w:tc>
      </w:tr>
      <w:tr w:rsidR="00D902B4" w:rsidRPr="00FD5EEC" w14:paraId="1A59316A" w14:textId="77777777" w:rsidTr="00D50195">
        <w:tc>
          <w:tcPr>
            <w:tcW w:w="3023" w:type="dxa"/>
          </w:tcPr>
          <w:p w14:paraId="5F29C3F1" w14:textId="77777777" w:rsidR="00A46986" w:rsidRPr="00FD5EEC" w:rsidRDefault="00A46986" w:rsidP="00A46986">
            <w:pPr>
              <w:rPr>
                <w:color w:val="808080" w:themeColor="background1" w:themeShade="80"/>
                <w:sz w:val="14"/>
                <w:szCs w:val="12"/>
              </w:rPr>
            </w:pPr>
            <w:r w:rsidRPr="00FD5EEC">
              <w:rPr>
                <w:b/>
                <w:color w:val="808080" w:themeColor="background1" w:themeShade="80"/>
                <w:sz w:val="14"/>
                <w:szCs w:val="12"/>
              </w:rPr>
              <w:t>CAPABILITIES</w:t>
            </w:r>
          </w:p>
          <w:p w14:paraId="25C9DE25" w14:textId="0845F8F9" w:rsidR="00331D64" w:rsidRPr="00FD5EEC" w:rsidRDefault="00331D64" w:rsidP="00CC0806">
            <w:pPr>
              <w:pStyle w:val="ListParagraph"/>
              <w:ind w:left="357" w:hanging="357"/>
              <w:rPr>
                <w:sz w:val="18"/>
                <w:szCs w:val="16"/>
              </w:rPr>
            </w:pPr>
            <w:r w:rsidRPr="00FD5EEC">
              <w:rPr>
                <w:sz w:val="18"/>
                <w:szCs w:val="16"/>
              </w:rPr>
              <w:t xml:space="preserve">Meeting summaries </w:t>
            </w:r>
          </w:p>
          <w:p w14:paraId="4C5C09B5" w14:textId="5888843D" w:rsidR="00331D64" w:rsidRPr="00FD5EEC" w:rsidRDefault="00331D64" w:rsidP="00CC0806">
            <w:pPr>
              <w:pStyle w:val="ListParagraph"/>
              <w:ind w:left="357" w:hanging="357"/>
              <w:rPr>
                <w:sz w:val="18"/>
                <w:szCs w:val="16"/>
              </w:rPr>
            </w:pPr>
            <w:r w:rsidRPr="00FD5EEC">
              <w:rPr>
                <w:sz w:val="18"/>
                <w:szCs w:val="16"/>
              </w:rPr>
              <w:t xml:space="preserve">Draft status reports </w:t>
            </w:r>
          </w:p>
          <w:p w14:paraId="1463D820" w14:textId="77777777" w:rsidR="00331D64" w:rsidRPr="00FD5EEC" w:rsidRDefault="00331D64" w:rsidP="00CC0806">
            <w:pPr>
              <w:pStyle w:val="ListParagraph"/>
              <w:ind w:left="357" w:hanging="357"/>
              <w:rPr>
                <w:sz w:val="18"/>
                <w:szCs w:val="16"/>
              </w:rPr>
            </w:pPr>
            <w:r w:rsidRPr="00FD5EEC">
              <w:rPr>
                <w:sz w:val="18"/>
                <w:szCs w:val="16"/>
              </w:rPr>
              <w:t xml:space="preserve">Document search </w:t>
            </w:r>
          </w:p>
          <w:p w14:paraId="2C1B0D9A" w14:textId="4A14A0A6" w:rsidR="00D902B4" w:rsidRPr="00FD5EEC" w:rsidRDefault="00331D64" w:rsidP="00CC0806">
            <w:pPr>
              <w:pStyle w:val="ListParagraph"/>
              <w:ind w:left="357" w:hanging="357"/>
              <w:rPr>
                <w:sz w:val="18"/>
                <w:szCs w:val="16"/>
              </w:rPr>
            </w:pPr>
            <w:r w:rsidRPr="00FD5EEC">
              <w:rPr>
                <w:sz w:val="18"/>
                <w:szCs w:val="16"/>
              </w:rPr>
              <w:t>Action capture</w:t>
            </w:r>
          </w:p>
        </w:tc>
        <w:tc>
          <w:tcPr>
            <w:tcW w:w="3023" w:type="dxa"/>
          </w:tcPr>
          <w:p w14:paraId="5AD75EBD" w14:textId="77777777" w:rsidR="003C5CE6" w:rsidRPr="00FD5EEC" w:rsidRDefault="003C5CE6" w:rsidP="003C5CE6">
            <w:pPr>
              <w:rPr>
                <w:color w:val="808080" w:themeColor="background1" w:themeShade="80"/>
                <w:sz w:val="14"/>
                <w:szCs w:val="12"/>
              </w:rPr>
            </w:pPr>
            <w:r w:rsidRPr="00FD5EEC">
              <w:rPr>
                <w:b/>
                <w:color w:val="808080" w:themeColor="background1" w:themeShade="80"/>
                <w:sz w:val="14"/>
                <w:szCs w:val="12"/>
              </w:rPr>
              <w:t>CAPABILITIES</w:t>
            </w:r>
          </w:p>
          <w:p w14:paraId="135A63E3" w14:textId="77777777" w:rsidR="003C5CE6" w:rsidRPr="00FD5EEC" w:rsidRDefault="003C5CE6" w:rsidP="00EF7848">
            <w:pPr>
              <w:numPr>
                <w:ilvl w:val="0"/>
                <w:numId w:val="16"/>
              </w:numPr>
              <w:spacing w:line="276" w:lineRule="auto"/>
              <w:ind w:left="357" w:hanging="357"/>
              <w:rPr>
                <w:sz w:val="18"/>
                <w:szCs w:val="16"/>
              </w:rPr>
            </w:pPr>
            <w:r w:rsidRPr="00FD5EEC">
              <w:rPr>
                <w:sz w:val="18"/>
                <w:szCs w:val="16"/>
              </w:rPr>
              <w:t>Tagged RAID logs</w:t>
            </w:r>
          </w:p>
          <w:p w14:paraId="0DB6AC2C" w14:textId="77777777" w:rsidR="003C5CE6" w:rsidRPr="00FD5EEC" w:rsidRDefault="003C5CE6" w:rsidP="00EF7848">
            <w:pPr>
              <w:numPr>
                <w:ilvl w:val="0"/>
                <w:numId w:val="16"/>
              </w:numPr>
              <w:spacing w:line="276" w:lineRule="auto"/>
              <w:ind w:left="357" w:hanging="357"/>
              <w:rPr>
                <w:sz w:val="18"/>
                <w:szCs w:val="16"/>
              </w:rPr>
            </w:pPr>
            <w:r w:rsidRPr="00FD5EEC">
              <w:rPr>
                <w:sz w:val="18"/>
                <w:szCs w:val="16"/>
              </w:rPr>
              <w:t>Decision records w/ provenance</w:t>
            </w:r>
          </w:p>
          <w:p w14:paraId="33F7CA02" w14:textId="77777777" w:rsidR="003C5CE6" w:rsidRPr="00FD5EEC" w:rsidRDefault="003C5CE6" w:rsidP="00EF7848">
            <w:pPr>
              <w:numPr>
                <w:ilvl w:val="0"/>
                <w:numId w:val="16"/>
              </w:numPr>
              <w:spacing w:line="276" w:lineRule="auto"/>
              <w:ind w:left="357" w:hanging="357"/>
              <w:rPr>
                <w:sz w:val="18"/>
                <w:szCs w:val="16"/>
              </w:rPr>
            </w:pPr>
            <w:r w:rsidRPr="00FD5EEC">
              <w:rPr>
                <w:sz w:val="18"/>
                <w:szCs w:val="16"/>
              </w:rPr>
              <w:t>Routed exceptions</w:t>
            </w:r>
          </w:p>
          <w:p w14:paraId="440D8724" w14:textId="77777777" w:rsidR="003C5CE6" w:rsidRPr="00FD5EEC" w:rsidRDefault="003C5CE6" w:rsidP="00EF7848">
            <w:pPr>
              <w:numPr>
                <w:ilvl w:val="0"/>
                <w:numId w:val="16"/>
              </w:numPr>
              <w:spacing w:line="276" w:lineRule="auto"/>
              <w:ind w:left="357" w:hanging="357"/>
              <w:rPr>
                <w:sz w:val="18"/>
                <w:szCs w:val="16"/>
              </w:rPr>
            </w:pPr>
            <w:r w:rsidRPr="00FD5EEC">
              <w:rPr>
                <w:sz w:val="18"/>
                <w:szCs w:val="16"/>
              </w:rPr>
              <w:t>Governed metadata fields</w:t>
            </w:r>
          </w:p>
          <w:p w14:paraId="24E58CF0" w14:textId="77777777" w:rsidR="00D902B4" w:rsidRPr="00FD5EEC" w:rsidRDefault="00D902B4" w:rsidP="00210EDB"/>
        </w:tc>
        <w:tc>
          <w:tcPr>
            <w:tcW w:w="3024" w:type="dxa"/>
          </w:tcPr>
          <w:p w14:paraId="6C439EBA" w14:textId="77777777" w:rsidR="006A4606" w:rsidRPr="00FD5EEC" w:rsidRDefault="006A4606" w:rsidP="006A4606">
            <w:pPr>
              <w:rPr>
                <w:color w:val="808080" w:themeColor="background1" w:themeShade="80"/>
                <w:sz w:val="14"/>
                <w:szCs w:val="12"/>
              </w:rPr>
            </w:pPr>
            <w:r w:rsidRPr="00FD5EEC">
              <w:rPr>
                <w:b/>
                <w:color w:val="808080" w:themeColor="background1" w:themeShade="80"/>
                <w:sz w:val="14"/>
                <w:szCs w:val="12"/>
              </w:rPr>
              <w:t>CAPABILITIES</w:t>
            </w:r>
          </w:p>
          <w:p w14:paraId="792D488B" w14:textId="77777777" w:rsidR="006A4606" w:rsidRPr="00FD5EEC" w:rsidRDefault="006A4606" w:rsidP="002A1E76">
            <w:pPr>
              <w:numPr>
                <w:ilvl w:val="0"/>
                <w:numId w:val="17"/>
              </w:numPr>
              <w:spacing w:line="276" w:lineRule="auto"/>
              <w:ind w:left="357" w:hanging="357"/>
              <w:rPr>
                <w:sz w:val="18"/>
                <w:szCs w:val="16"/>
              </w:rPr>
            </w:pPr>
            <w:r w:rsidRPr="00FD5EEC">
              <w:rPr>
                <w:sz w:val="18"/>
                <w:szCs w:val="16"/>
              </w:rPr>
              <w:t>Schedule slippage models</w:t>
            </w:r>
          </w:p>
          <w:p w14:paraId="5944E9D1" w14:textId="77777777" w:rsidR="006A4606" w:rsidRPr="00FD5EEC" w:rsidRDefault="006A4606" w:rsidP="002A1E76">
            <w:pPr>
              <w:numPr>
                <w:ilvl w:val="0"/>
                <w:numId w:val="17"/>
              </w:numPr>
              <w:spacing w:line="276" w:lineRule="auto"/>
              <w:ind w:left="357" w:hanging="357"/>
              <w:rPr>
                <w:sz w:val="18"/>
                <w:szCs w:val="16"/>
              </w:rPr>
            </w:pPr>
            <w:r w:rsidRPr="00FD5EEC">
              <w:rPr>
                <w:sz w:val="18"/>
                <w:szCs w:val="16"/>
              </w:rPr>
              <w:t>Dependency risk cascades</w:t>
            </w:r>
          </w:p>
          <w:p w14:paraId="43CAD15D" w14:textId="77777777" w:rsidR="006A4606" w:rsidRPr="00FD5EEC" w:rsidRDefault="006A4606" w:rsidP="002A1E76">
            <w:pPr>
              <w:numPr>
                <w:ilvl w:val="0"/>
                <w:numId w:val="17"/>
              </w:numPr>
              <w:spacing w:line="276" w:lineRule="auto"/>
              <w:ind w:left="357" w:hanging="357"/>
              <w:rPr>
                <w:sz w:val="18"/>
                <w:szCs w:val="16"/>
              </w:rPr>
            </w:pPr>
            <w:r w:rsidRPr="00FD5EEC">
              <w:rPr>
                <w:sz w:val="18"/>
                <w:szCs w:val="16"/>
              </w:rPr>
              <w:t>Benefits drift detection</w:t>
            </w:r>
          </w:p>
          <w:p w14:paraId="56CEBFD7" w14:textId="77777777" w:rsidR="006A4606" w:rsidRPr="00FD5EEC" w:rsidRDefault="006A4606" w:rsidP="002A1E76">
            <w:pPr>
              <w:numPr>
                <w:ilvl w:val="0"/>
                <w:numId w:val="17"/>
              </w:numPr>
              <w:spacing w:line="276" w:lineRule="auto"/>
              <w:ind w:left="357" w:hanging="357"/>
              <w:rPr>
                <w:sz w:val="18"/>
                <w:szCs w:val="16"/>
              </w:rPr>
            </w:pPr>
            <w:r w:rsidRPr="00FD5EEC">
              <w:rPr>
                <w:sz w:val="18"/>
                <w:szCs w:val="16"/>
              </w:rPr>
              <w:t>Recommendation engines</w:t>
            </w:r>
          </w:p>
          <w:p w14:paraId="155C8B50" w14:textId="77777777" w:rsidR="00D902B4" w:rsidRPr="00FD5EEC" w:rsidRDefault="00D902B4" w:rsidP="00210EDB"/>
        </w:tc>
      </w:tr>
      <w:tr w:rsidR="00D902B4" w:rsidRPr="00FD5EEC" w14:paraId="513F6C54" w14:textId="77777777" w:rsidTr="00D50195">
        <w:tc>
          <w:tcPr>
            <w:tcW w:w="3023" w:type="dxa"/>
          </w:tcPr>
          <w:p w14:paraId="25B67502" w14:textId="4674780A" w:rsidR="00C322F8" w:rsidRPr="00FD5EEC" w:rsidRDefault="00C322F8" w:rsidP="00210EDB">
            <w:pPr>
              <w:rPr>
                <w:color w:val="808080" w:themeColor="background1" w:themeShade="80"/>
                <w:sz w:val="14"/>
                <w:szCs w:val="12"/>
              </w:rPr>
            </w:pPr>
            <w:r w:rsidRPr="00EA29E6">
              <w:rPr>
                <w:b/>
                <w:color w:val="808080" w:themeColor="background1" w:themeShade="80"/>
                <w:sz w:val="14"/>
                <w:szCs w:val="12"/>
              </w:rPr>
              <w:t>DATA &amp; METADATA</w:t>
            </w:r>
            <w:r w:rsidRPr="00EA29E6">
              <w:rPr>
                <w:color w:val="808080" w:themeColor="background1" w:themeShade="80"/>
                <w:sz w:val="14"/>
                <w:szCs w:val="12"/>
              </w:rPr>
              <w:t xml:space="preserve"> </w:t>
            </w:r>
          </w:p>
          <w:p w14:paraId="7BE2F1DB" w14:textId="77777777" w:rsidR="00C322F8" w:rsidRPr="00FD5EEC" w:rsidRDefault="00C322F8" w:rsidP="00210EDB">
            <w:pPr>
              <w:rPr>
                <w:sz w:val="18"/>
                <w:szCs w:val="16"/>
              </w:rPr>
            </w:pPr>
            <w:r w:rsidRPr="00D3031B">
              <w:rPr>
                <w:sz w:val="18"/>
                <w:szCs w:val="16"/>
              </w:rPr>
              <w:t xml:space="preserve">Free-text outputs. </w:t>
            </w:r>
          </w:p>
          <w:p w14:paraId="6AC96F92" w14:textId="63B39834" w:rsidR="00D902B4" w:rsidRPr="00FD5EEC" w:rsidRDefault="00C322F8" w:rsidP="00210EDB">
            <w:r w:rsidRPr="00D3031B">
              <w:rPr>
                <w:sz w:val="18"/>
                <w:szCs w:val="16"/>
              </w:rPr>
              <w:t>No standard taxonomy or ownership.</w:t>
            </w:r>
          </w:p>
        </w:tc>
        <w:tc>
          <w:tcPr>
            <w:tcW w:w="3023" w:type="dxa"/>
          </w:tcPr>
          <w:p w14:paraId="7BA957B3" w14:textId="3C59CB95" w:rsidR="00B84D05" w:rsidRPr="00FD5EEC" w:rsidRDefault="00B84D05" w:rsidP="00EF7848">
            <w:pPr>
              <w:spacing w:line="276" w:lineRule="auto"/>
              <w:rPr>
                <w:sz w:val="18"/>
                <w:szCs w:val="16"/>
              </w:rPr>
            </w:pPr>
            <w:r w:rsidRPr="00FD5EEC">
              <w:rPr>
                <w:b/>
                <w:color w:val="808080" w:themeColor="background1" w:themeShade="80"/>
                <w:sz w:val="14"/>
                <w:szCs w:val="12"/>
              </w:rPr>
              <w:t>DATA &amp; METADATA</w:t>
            </w:r>
            <w:r w:rsidRPr="00FD5EEC">
              <w:rPr>
                <w:color w:val="808080" w:themeColor="background1" w:themeShade="80"/>
                <w:sz w:val="14"/>
                <w:szCs w:val="12"/>
              </w:rPr>
              <w:t xml:space="preserve"> </w:t>
            </w:r>
            <w:r w:rsidR="00EF7848" w:rsidRPr="00FD5EEC">
              <w:br/>
            </w:r>
            <w:r w:rsidRPr="00FD5EEC">
              <w:rPr>
                <w:sz w:val="18"/>
                <w:szCs w:val="16"/>
              </w:rPr>
              <w:t>Standard fields, definitions, named ownership, human review gate.</w:t>
            </w:r>
          </w:p>
          <w:p w14:paraId="4CCA197E" w14:textId="77777777" w:rsidR="00D902B4" w:rsidRPr="00FD5EEC" w:rsidRDefault="00D902B4" w:rsidP="00210EDB"/>
        </w:tc>
        <w:tc>
          <w:tcPr>
            <w:tcW w:w="3024" w:type="dxa"/>
          </w:tcPr>
          <w:p w14:paraId="0040CE85" w14:textId="7A7286EC" w:rsidR="00D902B4" w:rsidRPr="00FD5EEC" w:rsidRDefault="000F7354" w:rsidP="005E416B">
            <w:pPr>
              <w:spacing w:line="276" w:lineRule="auto"/>
            </w:pPr>
            <w:r w:rsidRPr="002A1E76">
              <w:rPr>
                <w:b/>
                <w:color w:val="808080" w:themeColor="background1" w:themeShade="80"/>
                <w:sz w:val="14"/>
                <w:szCs w:val="12"/>
              </w:rPr>
              <w:t>DATA &amp; METADATA</w:t>
            </w:r>
            <w:r w:rsidRPr="002A1E76">
              <w:rPr>
                <w:color w:val="808080" w:themeColor="background1" w:themeShade="80"/>
                <w:sz w:val="14"/>
                <w:szCs w:val="12"/>
              </w:rPr>
              <w:t xml:space="preserve"> </w:t>
            </w:r>
            <w:r w:rsidR="002A1E76" w:rsidRPr="00FD5EEC">
              <w:rPr>
                <w:color w:val="808080" w:themeColor="background1" w:themeShade="80"/>
                <w:sz w:val="14"/>
                <w:szCs w:val="12"/>
              </w:rPr>
              <w:br/>
            </w:r>
            <w:r w:rsidRPr="002A1E76">
              <w:rPr>
                <w:sz w:val="18"/>
                <w:szCs w:val="16"/>
              </w:rPr>
              <w:t>Semantic layer over historical delivery data. Lineage and model monitoring documented.</w:t>
            </w:r>
          </w:p>
        </w:tc>
      </w:tr>
      <w:tr w:rsidR="00D902B4" w:rsidRPr="00FD5EEC" w14:paraId="23E67C0E" w14:textId="77777777" w:rsidTr="00D50195">
        <w:tc>
          <w:tcPr>
            <w:tcW w:w="3023" w:type="dxa"/>
          </w:tcPr>
          <w:p w14:paraId="6D8B5E6C" w14:textId="77777777" w:rsidR="003252E2" w:rsidRPr="00FD5EEC" w:rsidRDefault="003252E2" w:rsidP="00210EDB">
            <w:pPr>
              <w:rPr>
                <w:color w:val="808080" w:themeColor="background1" w:themeShade="80"/>
                <w:sz w:val="14"/>
                <w:szCs w:val="12"/>
              </w:rPr>
            </w:pPr>
            <w:r w:rsidRPr="00CC0806">
              <w:rPr>
                <w:b/>
                <w:color w:val="808080" w:themeColor="background1" w:themeShade="80"/>
                <w:sz w:val="14"/>
                <w:szCs w:val="12"/>
              </w:rPr>
              <w:t>EVIDENCE</w:t>
            </w:r>
            <w:r w:rsidRPr="00CC0806">
              <w:rPr>
                <w:color w:val="808080" w:themeColor="background1" w:themeShade="80"/>
                <w:sz w:val="14"/>
                <w:szCs w:val="12"/>
              </w:rPr>
              <w:t xml:space="preserve"> </w:t>
            </w:r>
          </w:p>
          <w:p w14:paraId="092BAC36" w14:textId="03D7169E" w:rsidR="00D902B4" w:rsidRPr="00FD5EEC" w:rsidRDefault="003252E2" w:rsidP="00210EDB">
            <w:r w:rsidRPr="00D3031B">
              <w:rPr>
                <w:sz w:val="18"/>
                <w:szCs w:val="16"/>
              </w:rPr>
              <w:t>Microsoft: 29% faster on search/writing tasks. APM: 70% adoption, only 27% fully embedded.</w:t>
            </w:r>
          </w:p>
        </w:tc>
        <w:tc>
          <w:tcPr>
            <w:tcW w:w="3023" w:type="dxa"/>
          </w:tcPr>
          <w:p w14:paraId="0F598048" w14:textId="7AECD11A" w:rsidR="00B84D05" w:rsidRPr="00FD5EEC" w:rsidRDefault="00B84D05" w:rsidP="00EF7848">
            <w:pPr>
              <w:spacing w:line="276" w:lineRule="auto"/>
            </w:pPr>
            <w:r w:rsidRPr="00FD5EEC">
              <w:rPr>
                <w:b/>
                <w:color w:val="808080" w:themeColor="background1" w:themeShade="80"/>
                <w:sz w:val="14"/>
                <w:szCs w:val="12"/>
              </w:rPr>
              <w:t>EVIDENCE</w:t>
            </w:r>
            <w:r w:rsidRPr="00FD5EEC">
              <w:rPr>
                <w:color w:val="808080" w:themeColor="background1" w:themeShade="80"/>
                <w:sz w:val="14"/>
                <w:szCs w:val="12"/>
              </w:rPr>
              <w:t xml:space="preserve"> </w:t>
            </w:r>
            <w:r w:rsidR="00EF7848" w:rsidRPr="00FD5EEC">
              <w:br/>
            </w:r>
            <w:r w:rsidRPr="00FD5EEC">
              <w:rPr>
                <w:sz w:val="18"/>
                <w:szCs w:val="16"/>
              </w:rPr>
              <w:t>Morgan Stanley AI Assistant: 98% adoption. Debrief sits between calls and systems of record.</w:t>
            </w:r>
          </w:p>
          <w:p w14:paraId="6B7A3F5F" w14:textId="77777777" w:rsidR="00D902B4" w:rsidRPr="00FD5EEC" w:rsidRDefault="00D902B4" w:rsidP="00210EDB"/>
        </w:tc>
        <w:tc>
          <w:tcPr>
            <w:tcW w:w="3024" w:type="dxa"/>
          </w:tcPr>
          <w:p w14:paraId="4BDE22B6" w14:textId="516975CB" w:rsidR="00D902B4" w:rsidRPr="00FD5EEC" w:rsidRDefault="003655FC" w:rsidP="00B06B6C">
            <w:pPr>
              <w:spacing w:line="276" w:lineRule="auto"/>
            </w:pPr>
            <w:r w:rsidRPr="00FD5EEC">
              <w:rPr>
                <w:b/>
                <w:color w:val="808080" w:themeColor="background1" w:themeShade="80"/>
                <w:sz w:val="14"/>
                <w:szCs w:val="12"/>
              </w:rPr>
              <w:t>EVIDENCE</w:t>
            </w:r>
            <w:r w:rsidRPr="003655FC">
              <w:t xml:space="preserve"> </w:t>
            </w:r>
            <w:r w:rsidR="002A1E76" w:rsidRPr="00FD5EEC">
              <w:br/>
            </w:r>
            <w:r w:rsidRPr="00FD5EEC">
              <w:rPr>
                <w:sz w:val="18"/>
                <w:szCs w:val="16"/>
              </w:rPr>
              <w:t>Emerging — strongest in code delivery and customer ops. Delivery-specific evidence still developing in 2026</w:t>
            </w:r>
            <w:r w:rsidRPr="003655FC">
              <w:t>.</w:t>
            </w:r>
          </w:p>
        </w:tc>
      </w:tr>
      <w:tr w:rsidR="00D902B4" w:rsidRPr="00FD5EEC" w14:paraId="1547010D" w14:textId="77777777" w:rsidTr="00D50195">
        <w:tc>
          <w:tcPr>
            <w:tcW w:w="3023" w:type="dxa"/>
            <w:vAlign w:val="center"/>
          </w:tcPr>
          <w:p w14:paraId="5C31FA0E" w14:textId="2949353B" w:rsidR="00D902B4" w:rsidRPr="00BF6F42" w:rsidRDefault="004A5709" w:rsidP="00EF7848">
            <w:pPr>
              <w:spacing w:line="240" w:lineRule="auto"/>
              <w:rPr>
                <w:b/>
                <w:sz w:val="20"/>
                <w:szCs w:val="18"/>
              </w:rPr>
            </w:pPr>
            <w:r w:rsidRPr="00BF6F42">
              <w:rPr>
                <w:b/>
                <w:color w:val="0065FC" w:themeColor="accent1"/>
                <w:sz w:val="20"/>
                <w:szCs w:val="18"/>
              </w:rPr>
              <w:t>TIME: IMMEDIATE</w:t>
            </w:r>
          </w:p>
        </w:tc>
        <w:tc>
          <w:tcPr>
            <w:tcW w:w="3023" w:type="dxa"/>
            <w:vAlign w:val="center"/>
          </w:tcPr>
          <w:p w14:paraId="0452C42E" w14:textId="12B0626B" w:rsidR="00D902B4" w:rsidRPr="00BF6F42" w:rsidRDefault="00EF7848" w:rsidP="00EF7848">
            <w:pPr>
              <w:spacing w:line="240" w:lineRule="auto"/>
              <w:rPr>
                <w:b/>
                <w:sz w:val="20"/>
                <w:szCs w:val="18"/>
              </w:rPr>
            </w:pPr>
            <w:r w:rsidRPr="00BF6F42">
              <w:rPr>
                <w:b/>
                <w:color w:val="C4B01A" w:themeColor="accent4" w:themeShade="BF"/>
                <w:sz w:val="20"/>
                <w:szCs w:val="18"/>
              </w:rPr>
              <w:t>TIME: 3 – 9 MONTHS</w:t>
            </w:r>
          </w:p>
        </w:tc>
        <w:tc>
          <w:tcPr>
            <w:tcW w:w="3024" w:type="dxa"/>
          </w:tcPr>
          <w:p w14:paraId="763CCB0F" w14:textId="5B5881EF" w:rsidR="00D902B4" w:rsidRPr="00BF6F42" w:rsidRDefault="005A70EF" w:rsidP="005A70EF">
            <w:pPr>
              <w:spacing w:line="240" w:lineRule="auto"/>
              <w:rPr>
                <w:b/>
                <w:color w:val="43E6A2" w:themeColor="accent2"/>
                <w:sz w:val="20"/>
                <w:szCs w:val="18"/>
              </w:rPr>
            </w:pPr>
            <w:r w:rsidRPr="00BF6F42">
              <w:rPr>
                <w:b/>
                <w:color w:val="43E6A2" w:themeColor="accent2"/>
                <w:sz w:val="20"/>
                <w:szCs w:val="18"/>
              </w:rPr>
              <w:t>TIME: 12+ MONTHS</w:t>
            </w:r>
          </w:p>
        </w:tc>
      </w:tr>
    </w:tbl>
    <w:p w14:paraId="110510FE" w14:textId="3B46FECD" w:rsidR="00210EDB" w:rsidRPr="00FD5EEC" w:rsidRDefault="00210EDB" w:rsidP="00210EDB"/>
    <w:p w14:paraId="0A69A0A4" w14:textId="055AF3CD" w:rsidR="00210EDB" w:rsidRPr="00FD5EEC" w:rsidRDefault="00210EDB" w:rsidP="00210EDB">
      <w:pPr>
        <w:rPr>
          <w:rStyle w:val="SubtleEmphasis"/>
        </w:rPr>
      </w:pPr>
      <w:r w:rsidRPr="00FD5EEC">
        <w:rPr>
          <w:rStyle w:val="SubtleEmphasis"/>
        </w:rPr>
        <w:t>Figure 2. The three stages of AI maturity in enterprise delivery — focus, capabilities, data and metadata posture, and key evidence at each stage.</w:t>
      </w:r>
      <w:r w:rsidR="00EF0DFE" w:rsidRPr="00FD5EEC">
        <w:rPr>
          <w:rStyle w:val="SubtleEmphasis"/>
        </w:rPr>
        <w:br/>
      </w:r>
    </w:p>
    <w:p w14:paraId="085D73D2" w14:textId="5CECD040" w:rsidR="00210EDB" w:rsidRDefault="00210EDB" w:rsidP="00210EDB">
      <w:pPr>
        <w:rPr>
          <w:lang w:val="pl-PL"/>
        </w:rPr>
      </w:pPr>
      <w:r w:rsidRPr="00FD5EEC">
        <w:t xml:space="preserve">What this looks like in practice. Stage 3 is not a generic dashboard. It is a portfolio view that draws from the structured taxonomy built in Stage 2: risk scores derived </w:t>
      </w:r>
      <w:r w:rsidRPr="00FD5EEC">
        <w:lastRenderedPageBreak/>
        <w:t>from tagged RAID items, milestone status from governed records, forecast variance from lineage-tracked spend data, and AI-generated recommendations whose inputs can be inspected. Without Stage 2, none of this view can be built — the underlying data is too fragmented to support it.</w:t>
      </w:r>
    </w:p>
    <w:p w14:paraId="79126116" w14:textId="63C25B3A" w:rsidR="00DB342A" w:rsidRPr="00DB342A" w:rsidRDefault="00DB342A" w:rsidP="00210EDB">
      <w:pPr>
        <w:rPr>
          <w:lang w:val="pl-PL"/>
        </w:rPr>
      </w:pPr>
      <w:r w:rsidRPr="00DB342A">
        <w:drawing>
          <wp:inline distT="0" distB="0" distL="0" distR="0" wp14:anchorId="4749F981" wp14:editId="45ECE91D">
            <wp:extent cx="5714610" cy="2505500"/>
            <wp:effectExtent l="0" t="0" r="635" b="9525"/>
            <wp:docPr id="1924422169" name="Picture 9" descr="P12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22169" name="Picture 9" descr="P126#yIS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1047"/>
                    <a:stretch>
                      <a:fillRect/>
                    </a:stretch>
                  </pic:blipFill>
                  <pic:spPr bwMode="auto">
                    <a:xfrm>
                      <a:off x="0" y="0"/>
                      <a:ext cx="5721210" cy="2508393"/>
                    </a:xfrm>
                    <a:prstGeom prst="rect">
                      <a:avLst/>
                    </a:prstGeom>
                    <a:noFill/>
                    <a:ln>
                      <a:noFill/>
                    </a:ln>
                    <a:extLst>
                      <a:ext uri="{53640926-AAD7-44D8-BBD7-CCE9431645EC}">
                        <a14:shadowObscured xmlns:a14="http://schemas.microsoft.com/office/drawing/2010/main"/>
                      </a:ext>
                    </a:extLst>
                  </pic:spPr>
                </pic:pic>
              </a:graphicData>
            </a:graphic>
          </wp:inline>
        </w:drawing>
      </w:r>
    </w:p>
    <w:p w14:paraId="0431013B" w14:textId="77777777" w:rsidR="00210EDB" w:rsidRPr="00FD5EEC" w:rsidRDefault="00210EDB" w:rsidP="00210EDB">
      <w:pPr>
        <w:rPr>
          <w:rStyle w:val="SubtleEmphasis"/>
        </w:rPr>
      </w:pPr>
      <w:r w:rsidRPr="00FD5EEC">
        <w:rPr>
          <w:rStyle w:val="SubtleEmphasis"/>
        </w:rPr>
        <w:t>Figure 2b. Illustrative Stage 3 portfolio view — predictive risk, governed lineage, AI-generated recommendations. Built on the Stage 2 data substrate.</w:t>
      </w:r>
    </w:p>
    <w:p w14:paraId="6708E1EA" w14:textId="77777777" w:rsidR="00210EDB" w:rsidRPr="00FD5EEC" w:rsidRDefault="00210EDB" w:rsidP="00DE1763">
      <w:pPr>
        <w:pStyle w:val="Heading2"/>
        <w:rPr>
          <w:rFonts w:hint="eastAsia"/>
        </w:rPr>
      </w:pPr>
      <w:bookmarkStart w:id="6" w:name="_Toc231422549"/>
      <w:r w:rsidRPr="00FD5EEC">
        <w:t>2a. Practitioner lens — which stage are you actually in?</w:t>
      </w:r>
      <w:bookmarkEnd w:id="6"/>
    </w:p>
    <w:p w14:paraId="5ACFB1A9" w14:textId="5C889BFB" w:rsidR="00210EDB" w:rsidRPr="00FD5EEC" w:rsidRDefault="00210EDB" w:rsidP="00210EDB">
      <w:r w:rsidRPr="00FD5EEC">
        <w:rPr>
          <w:i/>
        </w:rPr>
        <w:t xml:space="preserve">By Sahar Khan, </w:t>
      </w:r>
      <w:r w:rsidR="00650B70" w:rsidRPr="008C06E0">
        <w:rPr>
          <w:i/>
          <w:iCs/>
          <w:color w:val="404040" w:themeColor="text1" w:themeTint="BF"/>
          <w:lang w:val="en-GB"/>
        </w:rPr>
        <w:t>Transformation and AI expert in financial services</w:t>
      </w:r>
    </w:p>
    <w:p w14:paraId="6CDF908F" w14:textId="77777777" w:rsidR="00210EDB" w:rsidRPr="00FD5EEC" w:rsidRDefault="00210EDB" w:rsidP="00210EDB">
      <w:r w:rsidRPr="00FD5EEC">
        <w:t>The three-stage model is most useful as a mirror, not a map. Most delivery leaders will instinctively place themselves in Stage 2. In practice, the majority are still in Stage 1 with Stage 2 ambitions. The questions below are drawn from PMO assessment work across UK public sector and financial services programmes. Each has a yes/no answer that does not depend on interpretation.</w:t>
      </w:r>
    </w:p>
    <w:p w14:paraId="57B9BAEE" w14:textId="77777777" w:rsidR="00210EDB" w:rsidRPr="00FD5EEC" w:rsidRDefault="00210EDB" w:rsidP="00210EDB"/>
    <w:tbl>
      <w:tblPr>
        <w:tblW w:w="90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2"/>
        <w:gridCol w:w="3002"/>
        <w:gridCol w:w="3001"/>
      </w:tblGrid>
      <w:tr w:rsidR="00210EDB" w:rsidRPr="00210EDB" w14:paraId="5DD610BF" w14:textId="77777777" w:rsidTr="00177D6D">
        <w:trPr>
          <w:trHeight w:val="274"/>
          <w:tblHeader/>
        </w:trPr>
        <w:tc>
          <w:tcPr>
            <w:tcW w:w="3002" w:type="dxa"/>
            <w:tcBorders>
              <w:top w:val="single" w:sz="4" w:space="0" w:color="D7DCE3"/>
              <w:left w:val="single" w:sz="4" w:space="0" w:color="D7DCE3"/>
              <w:bottom w:val="single" w:sz="4" w:space="0" w:color="D7DCE3"/>
              <w:right w:val="single" w:sz="4" w:space="0" w:color="D7DCE3"/>
            </w:tcBorders>
            <w:shd w:val="clear" w:color="auto" w:fill="43E6A2" w:themeFill="accent2"/>
            <w:tcMar>
              <w:top w:w="140" w:type="dxa"/>
              <w:left w:w="160" w:type="dxa"/>
              <w:bottom w:w="140" w:type="dxa"/>
              <w:right w:w="160" w:type="dxa"/>
            </w:tcMar>
            <w:vAlign w:val="center"/>
          </w:tcPr>
          <w:p w14:paraId="0B451568" w14:textId="77777777" w:rsidR="00210EDB" w:rsidRPr="00FD5EEC" w:rsidRDefault="00210EDB" w:rsidP="00BB4A4B">
            <w:pPr>
              <w:pStyle w:val="NoSpacing"/>
              <w:rPr>
                <w:b/>
                <w:color w:val="FFFFFF" w:themeColor="background1"/>
                <w:lang w:val="ru-RU"/>
              </w:rPr>
            </w:pPr>
            <w:proofErr w:type="spellStart"/>
            <w:r w:rsidRPr="00FD5EEC">
              <w:rPr>
                <w:b/>
                <w:color w:val="000000" w:themeColor="text1"/>
                <w:lang w:val="ru-RU"/>
              </w:rPr>
              <w:lastRenderedPageBreak/>
              <w:t>Stage</w:t>
            </w:r>
            <w:proofErr w:type="spellEnd"/>
            <w:r w:rsidRPr="00FD5EEC">
              <w:rPr>
                <w:b/>
                <w:color w:val="000000" w:themeColor="text1"/>
                <w:lang w:val="ru-RU"/>
              </w:rPr>
              <w:t xml:space="preserve"> 1 </w:t>
            </w:r>
            <w:proofErr w:type="spellStart"/>
            <w:r w:rsidRPr="00FD5EEC">
              <w:rPr>
                <w:b/>
                <w:color w:val="000000" w:themeColor="text1"/>
                <w:lang w:val="ru-RU"/>
              </w:rPr>
              <w:t>indicators</w:t>
            </w:r>
            <w:proofErr w:type="spellEnd"/>
          </w:p>
        </w:tc>
        <w:tc>
          <w:tcPr>
            <w:tcW w:w="3002" w:type="dxa"/>
            <w:tcBorders>
              <w:top w:val="single" w:sz="4" w:space="0" w:color="D7DCE3"/>
              <w:left w:val="single" w:sz="4" w:space="0" w:color="D7DCE3"/>
              <w:bottom w:val="single" w:sz="4" w:space="0" w:color="D7DCE3"/>
              <w:right w:val="single" w:sz="4" w:space="0" w:color="D7DCE3"/>
            </w:tcBorders>
            <w:shd w:val="clear" w:color="auto" w:fill="E6D443" w:themeFill="accent4"/>
            <w:tcMar>
              <w:top w:w="140" w:type="dxa"/>
              <w:left w:w="160" w:type="dxa"/>
              <w:bottom w:w="140" w:type="dxa"/>
              <w:right w:w="160" w:type="dxa"/>
            </w:tcMar>
            <w:vAlign w:val="center"/>
          </w:tcPr>
          <w:p w14:paraId="7452DB32" w14:textId="77777777" w:rsidR="00210EDB" w:rsidRPr="00FD5EEC" w:rsidRDefault="00210EDB" w:rsidP="00BB4A4B">
            <w:pPr>
              <w:pStyle w:val="NoSpacing"/>
              <w:rPr>
                <w:b/>
                <w:color w:val="FFFFFF" w:themeColor="background1"/>
                <w:lang w:val="ru-RU"/>
              </w:rPr>
            </w:pPr>
            <w:proofErr w:type="spellStart"/>
            <w:r w:rsidRPr="00FD5EEC">
              <w:rPr>
                <w:b/>
                <w:color w:val="000000" w:themeColor="text1"/>
                <w:lang w:val="ru-RU"/>
              </w:rPr>
              <w:t>Stage</w:t>
            </w:r>
            <w:proofErr w:type="spellEnd"/>
            <w:r w:rsidRPr="00FD5EEC">
              <w:rPr>
                <w:b/>
                <w:color w:val="000000" w:themeColor="text1"/>
                <w:lang w:val="ru-RU"/>
              </w:rPr>
              <w:t xml:space="preserve"> 2 </w:t>
            </w:r>
            <w:proofErr w:type="spellStart"/>
            <w:r w:rsidRPr="00FD5EEC">
              <w:rPr>
                <w:b/>
                <w:color w:val="000000" w:themeColor="text1"/>
                <w:lang w:val="ru-RU"/>
              </w:rPr>
              <w:t>indicators</w:t>
            </w:r>
            <w:proofErr w:type="spellEnd"/>
          </w:p>
        </w:tc>
        <w:tc>
          <w:tcPr>
            <w:tcW w:w="3001" w:type="dxa"/>
            <w:tcBorders>
              <w:top w:val="single" w:sz="4" w:space="0" w:color="D7DCE3"/>
              <w:left w:val="single" w:sz="4" w:space="0" w:color="D7DCE3"/>
              <w:bottom w:val="single" w:sz="4" w:space="0" w:color="D7DCE3"/>
              <w:right w:val="single" w:sz="4" w:space="0" w:color="D7DCE3"/>
            </w:tcBorders>
            <w:shd w:val="clear" w:color="auto" w:fill="E65C43" w:themeFill="accent3"/>
            <w:tcMar>
              <w:top w:w="140" w:type="dxa"/>
              <w:left w:w="160" w:type="dxa"/>
              <w:bottom w:w="140" w:type="dxa"/>
              <w:right w:w="160" w:type="dxa"/>
            </w:tcMar>
            <w:vAlign w:val="center"/>
          </w:tcPr>
          <w:p w14:paraId="29AFF1A5" w14:textId="77777777" w:rsidR="00210EDB" w:rsidRPr="00FD5EEC" w:rsidRDefault="00210EDB" w:rsidP="00BB4A4B">
            <w:pPr>
              <w:pStyle w:val="NoSpacing"/>
              <w:rPr>
                <w:b/>
                <w:color w:val="FFFFFF" w:themeColor="background1"/>
                <w:lang w:val="ru-RU"/>
              </w:rPr>
            </w:pPr>
            <w:proofErr w:type="spellStart"/>
            <w:r w:rsidRPr="00FD5EEC">
              <w:rPr>
                <w:b/>
                <w:color w:val="FFFFFF" w:themeColor="background1"/>
                <w:lang w:val="ru-RU"/>
              </w:rPr>
              <w:t>Stage</w:t>
            </w:r>
            <w:proofErr w:type="spellEnd"/>
            <w:r w:rsidRPr="00FD5EEC">
              <w:rPr>
                <w:b/>
                <w:color w:val="FFFFFF" w:themeColor="background1"/>
                <w:lang w:val="ru-RU"/>
              </w:rPr>
              <w:t xml:space="preserve"> 3 </w:t>
            </w:r>
            <w:proofErr w:type="spellStart"/>
            <w:r w:rsidRPr="00FD5EEC">
              <w:rPr>
                <w:b/>
                <w:color w:val="FFFFFF" w:themeColor="background1"/>
                <w:lang w:val="ru-RU"/>
              </w:rPr>
              <w:t>indicators</w:t>
            </w:r>
            <w:proofErr w:type="spellEnd"/>
          </w:p>
        </w:tc>
      </w:tr>
      <w:tr w:rsidR="00210EDB" w:rsidRPr="00210EDB" w14:paraId="1CF6FAF7" w14:textId="77777777" w:rsidTr="00177D6D">
        <w:trPr>
          <w:trHeight w:val="7018"/>
        </w:trPr>
        <w:tc>
          <w:tcPr>
            <w:tcW w:w="3002" w:type="dxa"/>
            <w:tcBorders>
              <w:top w:val="single" w:sz="4" w:space="0" w:color="D7DCE3"/>
              <w:left w:val="single" w:sz="4" w:space="0" w:color="D7DCE3"/>
              <w:bottom w:val="single" w:sz="4" w:space="0" w:color="D7DCE3"/>
              <w:right w:val="single" w:sz="4" w:space="0" w:color="D7DCE3"/>
            </w:tcBorders>
            <w:shd w:val="clear" w:color="auto" w:fill="FFFFFF"/>
            <w:tcMar>
              <w:top w:w="140" w:type="dxa"/>
              <w:left w:w="160" w:type="dxa"/>
              <w:bottom w:w="140" w:type="dxa"/>
              <w:right w:w="160" w:type="dxa"/>
            </w:tcMar>
          </w:tcPr>
          <w:p w14:paraId="784D4600" w14:textId="77777777" w:rsidR="00210EDB" w:rsidRPr="00FD5EEC" w:rsidRDefault="00210EDB" w:rsidP="00210EDB">
            <w:r w:rsidRPr="00FD5EEC">
              <w:t>• AI tools used by some team members.</w:t>
            </w:r>
          </w:p>
          <w:p w14:paraId="47836D4E" w14:textId="77777777" w:rsidR="00210EDB" w:rsidRPr="00FD5EEC" w:rsidRDefault="00210EDB" w:rsidP="00210EDB">
            <w:r w:rsidRPr="00FD5EEC">
              <w:t>• Meeting summaries or draft status reports in regular use.</w:t>
            </w:r>
          </w:p>
          <w:p w14:paraId="18051431" w14:textId="77777777" w:rsidR="00210EDB" w:rsidRPr="00FD5EEC" w:rsidRDefault="00210EDB" w:rsidP="00210EDB">
            <w:r w:rsidRPr="00FD5EEC">
              <w:t>• Outputs reviewed by the individual who generated them.</w:t>
            </w:r>
          </w:p>
          <w:p w14:paraId="15E460E3" w14:textId="77777777" w:rsidR="00210EDB" w:rsidRPr="00FD5EEC" w:rsidRDefault="00210EDB" w:rsidP="00210EDB">
            <w:r w:rsidRPr="00FD5EEC">
              <w:t>• No standard storage, tagging or ownership model.</w:t>
            </w:r>
          </w:p>
          <w:p w14:paraId="7565AA12" w14:textId="77777777" w:rsidR="00210EDB" w:rsidRPr="00FD5EEC" w:rsidRDefault="00210EDB" w:rsidP="00210EDB">
            <w:r w:rsidRPr="00FD5EEC">
              <w:t>• Core terms (risk, milestone, dependency) not consistently defined.</w:t>
            </w:r>
          </w:p>
        </w:tc>
        <w:tc>
          <w:tcPr>
            <w:tcW w:w="3002" w:type="dxa"/>
            <w:tcBorders>
              <w:top w:val="single" w:sz="4" w:space="0" w:color="D7DCE3"/>
              <w:left w:val="single" w:sz="4" w:space="0" w:color="D7DCE3"/>
              <w:bottom w:val="single" w:sz="4" w:space="0" w:color="D7DCE3"/>
              <w:right w:val="single" w:sz="4" w:space="0" w:color="D7DCE3"/>
            </w:tcBorders>
            <w:shd w:val="clear" w:color="auto" w:fill="FFFFFF"/>
            <w:tcMar>
              <w:top w:w="140" w:type="dxa"/>
              <w:left w:w="160" w:type="dxa"/>
              <w:bottom w:w="140" w:type="dxa"/>
              <w:right w:w="160" w:type="dxa"/>
            </w:tcMar>
          </w:tcPr>
          <w:p w14:paraId="583A6AED" w14:textId="77777777" w:rsidR="00210EDB" w:rsidRPr="00FD5EEC" w:rsidRDefault="00210EDB" w:rsidP="00210EDB">
            <w:r w:rsidRPr="00FD5EEC">
              <w:t>• AI outputs flow into at least one system of record.</w:t>
            </w:r>
          </w:p>
          <w:p w14:paraId="5424DFA3" w14:textId="77777777" w:rsidR="00210EDB" w:rsidRPr="00FD5EEC" w:rsidRDefault="00210EDB" w:rsidP="00210EDB">
            <w:r w:rsidRPr="00FD5EEC">
              <w:t>• RAID, actions or decisions populated with named ownership.</w:t>
            </w:r>
          </w:p>
          <w:p w14:paraId="25A44C61" w14:textId="77777777" w:rsidR="00210EDB" w:rsidRPr="00FD5EEC" w:rsidRDefault="00210EDB" w:rsidP="00210EDB">
            <w:r w:rsidRPr="00FD5EEC">
              <w:t>• Agreed taxonomy for at least one artefact type.</w:t>
            </w:r>
          </w:p>
          <w:p w14:paraId="2B12E8C0" w14:textId="77777777" w:rsidR="00210EDB" w:rsidRPr="00FD5EEC" w:rsidRDefault="00210EDB" w:rsidP="00210EDB">
            <w:r w:rsidRPr="00FD5EEC">
              <w:t>• Human review before AI output becomes a governance artefact.</w:t>
            </w:r>
          </w:p>
          <w:p w14:paraId="0F77DA7B" w14:textId="77777777" w:rsidR="00210EDB" w:rsidRPr="00FD5EEC" w:rsidRDefault="00210EDB" w:rsidP="00210EDB">
            <w:r w:rsidRPr="00FD5EEC">
              <w:t>• The accountable person can be named if the output is wrong.</w:t>
            </w:r>
          </w:p>
        </w:tc>
        <w:tc>
          <w:tcPr>
            <w:tcW w:w="3001" w:type="dxa"/>
            <w:tcBorders>
              <w:top w:val="single" w:sz="4" w:space="0" w:color="D7DCE3"/>
              <w:left w:val="single" w:sz="4" w:space="0" w:color="D7DCE3"/>
              <w:bottom w:val="single" w:sz="4" w:space="0" w:color="D7DCE3"/>
              <w:right w:val="single" w:sz="4" w:space="0" w:color="D7DCE3"/>
            </w:tcBorders>
            <w:shd w:val="clear" w:color="auto" w:fill="FFFFFF"/>
            <w:tcMar>
              <w:top w:w="140" w:type="dxa"/>
              <w:left w:w="160" w:type="dxa"/>
              <w:bottom w:w="140" w:type="dxa"/>
              <w:right w:w="160" w:type="dxa"/>
            </w:tcMar>
          </w:tcPr>
          <w:p w14:paraId="0405542A" w14:textId="77777777" w:rsidR="00210EDB" w:rsidRPr="00FD5EEC" w:rsidRDefault="00210EDB" w:rsidP="00210EDB">
            <w:r w:rsidRPr="00FD5EEC">
              <w:t>• Six to twelve months of structured delivery history exists.</w:t>
            </w:r>
          </w:p>
          <w:p w14:paraId="5B7A7A91" w14:textId="77777777" w:rsidR="00210EDB" w:rsidRPr="00FD5EEC" w:rsidRDefault="00210EDB" w:rsidP="00210EDB">
            <w:r w:rsidRPr="00FD5EEC">
              <w:t>• A model or analytical layer uses that history.</w:t>
            </w:r>
          </w:p>
          <w:p w14:paraId="04BCE612" w14:textId="77777777" w:rsidR="00210EDB" w:rsidRPr="00FD5EEC" w:rsidRDefault="00210EDB" w:rsidP="00210EDB">
            <w:r w:rsidRPr="00FD5EEC">
              <w:t>• A predictive signal has influenced a decision before the problem materialised.</w:t>
            </w:r>
          </w:p>
          <w:p w14:paraId="5DD2E866" w14:textId="77777777" w:rsidR="00210EDB" w:rsidRPr="00FD5EEC" w:rsidRDefault="00210EDB" w:rsidP="00210EDB">
            <w:r w:rsidRPr="00FD5EEC">
              <w:t>• Lineage and governance are documented.</w:t>
            </w:r>
          </w:p>
          <w:p w14:paraId="7F2A832B" w14:textId="77777777" w:rsidR="00210EDB" w:rsidRPr="00FD5EEC" w:rsidRDefault="00210EDB" w:rsidP="00210EDB">
            <w:r w:rsidRPr="00FD5EEC">
              <w:t>• Model performance is monitored, not merely demonstrated.</w:t>
            </w:r>
          </w:p>
        </w:tc>
      </w:tr>
    </w:tbl>
    <w:p w14:paraId="4A069066" w14:textId="0295E36D" w:rsidR="00210EDB" w:rsidRPr="00FD5EEC" w:rsidRDefault="00037DFF" w:rsidP="00210EDB">
      <w:pPr>
        <w:rPr>
          <w:rStyle w:val="SubtleEmphasis"/>
        </w:rPr>
      </w:pPr>
      <w:r w:rsidRPr="00FD5EEC">
        <w:rPr>
          <w:rStyle w:val="SubtleEmphasis"/>
        </w:rPr>
        <w:br/>
      </w:r>
      <w:r w:rsidR="00210EDB" w:rsidRPr="00FD5EEC">
        <w:rPr>
          <w:rStyle w:val="SubtleEmphasis"/>
        </w:rPr>
        <w:t>Figure 3. A practical self-assessment. The point is not to label the whole organisation, but to identify the highest stage that is genuinely true for one delivery domain today.</w:t>
      </w:r>
    </w:p>
    <w:p w14:paraId="78DE7B82" w14:textId="77777777" w:rsidR="00210EDB" w:rsidRPr="00FD5EEC" w:rsidRDefault="00210EDB" w:rsidP="00210EDB">
      <w:r w:rsidRPr="00FD5EEC">
        <w:t>Three Stage 1 yeses plus two Stage 1 noes (on storage and taxonomy) and you are in Stage 1. Five Stage 2 yeses and you are genuinely in Stage 2 for that domain. Most organisations cannot honestly tick the Stage 3 boxes in 2026, and that is fine. The point is to know it — and to stop investing as though Stage 3 is one tool purchase away.</w:t>
      </w:r>
    </w:p>
    <w:p w14:paraId="0A351DFF" w14:textId="77777777" w:rsidR="00210EDB" w:rsidRPr="00FD5EEC" w:rsidRDefault="00210EDB" w:rsidP="00EF0DFE">
      <w:pPr>
        <w:pStyle w:val="Heading1"/>
        <w:rPr>
          <w:rFonts w:hint="eastAsia"/>
        </w:rPr>
      </w:pPr>
      <w:bookmarkStart w:id="7" w:name="_Toc231422550"/>
      <w:r w:rsidRPr="00FD5EEC">
        <w:lastRenderedPageBreak/>
        <w:t>3. Stage 2 is the missing layer</w:t>
      </w:r>
      <w:bookmarkEnd w:id="7"/>
    </w:p>
    <w:p w14:paraId="32CC652D" w14:textId="77777777" w:rsidR="00210EDB" w:rsidRPr="00FD5EEC" w:rsidRDefault="00210EDB" w:rsidP="00210EDB">
      <w:r w:rsidRPr="00FD5EEC">
        <w:t>The most common failure in enterprise AI adoption is to jump from Stage 1 excitement to Stage 3 aspiration without doing Stage 2 design. The language of AI strategy moves quickly to agents, predictive analytics and portfolio intelligence. The delivery operating model is less glamorous: definitions, fields, owners, review steps, exceptions, audit trails — and the unglamorous work of getting one term to mean one thing across a portfolio.</w:t>
      </w:r>
    </w:p>
    <w:p w14:paraId="66524942" w14:textId="77777777" w:rsidR="00210EDB" w:rsidRPr="00FD5EEC" w:rsidRDefault="00210EDB" w:rsidP="00210EDB">
      <w:r w:rsidRPr="00FD5EEC">
        <w:t>That work matters because programme delivery is full of ambiguous language. A milestone can mean a contractual date, an internal planning point or a sponsor-facing narrative marker. A dependency can mean a technical sequence, a commercial constraint or a resource contention. A risk can be a true uncertainty, a disguised issue or a politically safer way to describe a decision that has not been made.</w:t>
      </w:r>
    </w:p>
    <w:p w14:paraId="7DD167FA" w14:textId="77777777" w:rsidR="00210EDB" w:rsidRPr="00FD5EEC" w:rsidRDefault="00210EDB" w:rsidP="00210EDB">
      <w:r w:rsidRPr="00FD5EEC">
        <w:t>AI does not remove that ambiguity. It amplifies whatever structure is already present. In a strong delivery environment, AI helps extract, classify, summarise and route work. In a weak environment, AI produces cleaner narrative around inconsistent definitions: the output looks more polished, but the underlying signal stays weak.</w:t>
      </w:r>
    </w:p>
    <w:p w14:paraId="658EDD73" w14:textId="77777777" w:rsidR="00210EDB" w:rsidRPr="00FD5EEC" w:rsidRDefault="00210EDB" w:rsidP="00210EDB">
      <w:r w:rsidRPr="00FD5EEC">
        <w:t>Stage 2 therefore has two jobs. The first is operational: reduce manual effort in repeatable delivery processes. The second is strategic: create a governed evidence base for future intelligence. The second job is the one most organisations underinvest in.</w:t>
      </w:r>
    </w:p>
    <w:p w14:paraId="34D279E4" w14:textId="77777777" w:rsidR="00210EDB" w:rsidRPr="00FD5EEC" w:rsidRDefault="00210EDB" w:rsidP="00DE1763">
      <w:pPr>
        <w:pStyle w:val="Heading2"/>
        <w:rPr>
          <w:rFonts w:hint="eastAsia"/>
        </w:rPr>
      </w:pPr>
      <w:bookmarkStart w:id="8" w:name="_Toc231422551"/>
      <w:r w:rsidRPr="00FD5EEC">
        <w:t>3a. Practitioner lens — what the transition feels like inside the team</w:t>
      </w:r>
      <w:bookmarkEnd w:id="8"/>
    </w:p>
    <w:p w14:paraId="099AF600" w14:textId="190B2934" w:rsidR="00210EDB" w:rsidRPr="00B02F34" w:rsidRDefault="00210EDB" w:rsidP="00210EDB">
      <w:pPr>
        <w:rPr>
          <w:rStyle w:val="SubtleEmphasis"/>
          <w:lang w:val="en-GB"/>
        </w:rPr>
      </w:pPr>
      <w:r w:rsidRPr="00FD5EEC">
        <w:rPr>
          <w:rStyle w:val="SubtleEmphasis"/>
        </w:rPr>
        <w:t xml:space="preserve">By Sahar Khan, </w:t>
      </w:r>
      <w:r w:rsidR="00B02F34" w:rsidRPr="00B02F34">
        <w:rPr>
          <w:i/>
          <w:iCs/>
          <w:color w:val="404040" w:themeColor="text1" w:themeTint="BF"/>
          <w:lang w:val="en-GB"/>
        </w:rPr>
        <w:t>Transformation and AI expert in financial services</w:t>
      </w:r>
    </w:p>
    <w:p w14:paraId="18DC0D22" w14:textId="77777777" w:rsidR="00210EDB" w:rsidRPr="00FD5EEC" w:rsidRDefault="00210EDB" w:rsidP="00210EDB">
      <w:r w:rsidRPr="00FD5EEC">
        <w:t xml:space="preserve">The maturity journey is correctly described as an operating-model problem, but that framing omits the experience of the people living through it. The transition from </w:t>
      </w:r>
      <w:r w:rsidRPr="00FD5EEC">
        <w:lastRenderedPageBreak/>
        <w:t>Stage 1 to Stage 2 is not primarily a data architecture challenge for most delivery teams. It is a trust and identity challenge.</w:t>
      </w:r>
    </w:p>
    <w:p w14:paraId="4CF08E7E" w14:textId="77777777" w:rsidR="00210EDB" w:rsidRPr="00FD5EEC" w:rsidRDefault="00210EDB" w:rsidP="00210EDB">
      <w:r w:rsidRPr="00FD5EEC">
        <w:rPr>
          <w:b/>
        </w:rPr>
        <w:t xml:space="preserve">The experienced PM problem. </w:t>
      </w:r>
      <w:r w:rsidRPr="00FD5EEC">
        <w:t>Senior PMs often resist Stage 2 not because they distrust AI, but because structured tagging feels like a demotion of their judgement. A PM who has spent fifteen years reading a room and sensing a dependency risk before it appears in any log rightly asks what a taxonomy does for them. The answer is that Stage 2 captures the output of their judgement in a reusable form — it does not replace the judgement itself. That distinction has to be made explicitly. Implementations that skip it will see their most experienced people produce the least structured outputs, which is the worst possible outcome.</w:t>
      </w:r>
    </w:p>
    <w:p w14:paraId="43975A01" w14:textId="77777777" w:rsidR="00210EDB" w:rsidRPr="00FD5EEC" w:rsidRDefault="00210EDB" w:rsidP="00210EDB">
      <w:r w:rsidRPr="00FD5EEC">
        <w:rPr>
          <w:b/>
        </w:rPr>
        <w:t xml:space="preserve">The job security question. </w:t>
      </w:r>
      <w:r w:rsidRPr="00FD5EEC">
        <w:t>Delivery teams ask about this, directly or indirectly, in almost every AI rollout. Stage 2 automation does reduce time on administrative tasks — status drafting, RAID population, action capture — and that will eventually affect resourcing. What it does not do, when implemented well, is remove the need for delivery judgement, stakeholder navigation, risk escalation and the capacity to hold a programme together under pressure. The PMO role shifts from producing governance artefacts to owning the quality of the data those artefacts are built from. That is a more skilled role, not a lesser one — but the shift needs to be named, and teams need to see a credible path to it.</w:t>
      </w:r>
    </w:p>
    <w:p w14:paraId="2064B73A" w14:textId="77777777" w:rsidR="00210EDB" w:rsidRPr="00FD5EEC" w:rsidRDefault="00210EDB" w:rsidP="00210EDB">
      <w:r w:rsidRPr="00FD5EEC">
        <w:rPr>
          <w:b/>
        </w:rPr>
        <w:t xml:space="preserve">The uneven adoption pattern. </w:t>
      </w:r>
      <w:r w:rsidRPr="00FD5EEC">
        <w:t>Junior analysts adopt fastest, because tools are immediately useful for first drafts. Mid-level PMs adopt selectively, integrating what fits their workflow. Senior PMs and programme directors adopt last and least consistently, often relying on their teams to surface AI-assisted outputs without generating them. This is not a training problem — it is a relevance and trust problem. If the taxonomy asks senior PMs to do something they find meaningless, the design needs to change, not the people.</w:t>
      </w:r>
    </w:p>
    <w:p w14:paraId="0BFB5C3A" w14:textId="4F15305C" w:rsidR="00CC4597" w:rsidRPr="00177D6D" w:rsidRDefault="00210EDB" w:rsidP="00210EDB">
      <w:pPr>
        <w:rPr>
          <w:lang w:val="pl-PL"/>
        </w:rPr>
      </w:pPr>
      <w:r w:rsidRPr="00FD5EEC">
        <w:rPr>
          <w:b/>
        </w:rPr>
        <w:t xml:space="preserve">What good change management looks like. </w:t>
      </w:r>
      <w:r w:rsidRPr="00FD5EEC">
        <w:t xml:space="preserve">Three things work in practice. Design with sceptics — not to be managed, but to make the design better; the experienced PM who resists tagging will identify the genuinely ambiguous fields faster than any </w:t>
      </w:r>
      <w:r w:rsidRPr="00FD5EEC">
        <w:lastRenderedPageBreak/>
        <w:t>consultant. Measure quality and completeness of structured outputs, not just adoption rates; early completeness problems are design problems, not culture problems. And protect the review step: under delivery pressure, human review is the first thing to be dropped, and the whole Stage 2 value proposition depends on it holding.</w:t>
      </w:r>
    </w:p>
    <w:tbl>
      <w:tblPr>
        <w:tblW w:w="8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0"/>
      </w:tblGrid>
      <w:tr w:rsidR="00210EDB" w:rsidRPr="00210EDB" w14:paraId="139181C0" w14:textId="77777777" w:rsidTr="00177D6D">
        <w:trPr>
          <w:trHeight w:val="1726"/>
        </w:trPr>
        <w:tc>
          <w:tcPr>
            <w:tcW w:w="8990" w:type="dxa"/>
            <w:tcBorders>
              <w:top w:val="none" w:sz="0" w:space="0" w:color="FFFFFF"/>
              <w:left w:val="single" w:sz="24" w:space="0" w:color="E6D343"/>
              <w:bottom w:val="none" w:sz="0" w:space="0" w:color="FFFFFF"/>
              <w:right w:val="none" w:sz="0" w:space="0" w:color="FFFFFF"/>
            </w:tcBorders>
            <w:shd w:val="clear" w:color="auto" w:fill="FBF4C2"/>
            <w:tcMar>
              <w:top w:w="240" w:type="dxa"/>
              <w:left w:w="280" w:type="dxa"/>
              <w:bottom w:w="240" w:type="dxa"/>
              <w:right w:w="280" w:type="dxa"/>
            </w:tcMar>
          </w:tcPr>
          <w:p w14:paraId="51325433" w14:textId="77777777" w:rsidR="00210EDB" w:rsidRPr="00FD5EEC" w:rsidRDefault="00210EDB" w:rsidP="00210EDB">
            <w:r w:rsidRPr="00FD5EEC">
              <w:rPr>
                <w:b/>
              </w:rPr>
              <w:t>The takeaway</w:t>
            </w:r>
          </w:p>
          <w:p w14:paraId="12D514F4" w14:textId="77777777" w:rsidR="00210EDB" w:rsidRPr="00FD5EEC" w:rsidRDefault="00210EDB" w:rsidP="00210EDB">
            <w:r w:rsidRPr="00FD5EEC">
              <w:t>If the best delivery people in the organisation produce the least structured data, Stage 2 has been designed badly. The fix is in the design, not in the people.</w:t>
            </w:r>
          </w:p>
        </w:tc>
      </w:tr>
    </w:tbl>
    <w:p w14:paraId="502B6390" w14:textId="77777777" w:rsidR="00210EDB" w:rsidRPr="00FD5EEC" w:rsidRDefault="00210EDB" w:rsidP="00EF0DFE">
      <w:pPr>
        <w:pStyle w:val="Heading1"/>
        <w:rPr>
          <w:rFonts w:hint="eastAsia"/>
        </w:rPr>
      </w:pPr>
      <w:bookmarkStart w:id="9" w:name="_Toc231422552"/>
      <w:r w:rsidRPr="00FD5EEC">
        <w:t>4. Metadata is the scaling layer</w:t>
      </w:r>
      <w:bookmarkEnd w:id="9"/>
    </w:p>
    <w:p w14:paraId="2B9769B9" w14:textId="77777777" w:rsidR="00210EDB" w:rsidRPr="00FD5EEC" w:rsidRDefault="00210EDB" w:rsidP="00210EDB">
      <w:r w:rsidRPr="00FD5EEC">
        <w:t>The hardest lesson in enterprise AI is that models are not the binding constraint for long. Data design is. Gartner is more direct: most organisations lack the data-management practices AI requires, and unsupported projects will be abandoned. In programme delivery, that means the design work begins before the first automation is built. If the organisation has not agreed how to identify a milestone, classify a risk, record a dependency, define a control failure or capture a decision, then the predictive layer has no stable foundation to stand on.</w:t>
      </w:r>
    </w:p>
    <w:p w14:paraId="6ABFB2F3" w14:textId="77777777" w:rsidR="00210EDB" w:rsidRPr="00FD5EEC" w:rsidRDefault="00210EDB" w:rsidP="00210EDB">
      <w:r w:rsidRPr="00FD5EEC">
        <w:t>Metadata is what turns narrative into comparable signals. It tells an AI system what a field means, where it came from, when it changed, who owns it and how much to trust it. The UK government’s AI-ready data guidance, the Open Data Institute’s framework and NIST’s generative-AI profile converge on the same conclusion: data must be self-describing, governed and contextually complete. Translated into programme delivery, a serious Stage 2 design should at least standardise the following fields.</w:t>
      </w:r>
    </w:p>
    <w:p w14:paraId="5740FED3" w14:textId="77777777" w:rsidR="00210EDB" w:rsidRPr="00FD5EEC" w:rsidRDefault="00210EDB" w:rsidP="00210EDB"/>
    <w:tbl>
      <w:tblPr>
        <w:tblW w:w="9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113" w:type="dxa"/>
          <w:bottom w:w="113" w:type="dxa"/>
          <w:right w:w="113" w:type="dxa"/>
        </w:tblCellMar>
        <w:tblLook w:val="0000" w:firstRow="0" w:lastRow="0" w:firstColumn="0" w:lastColumn="0" w:noHBand="0" w:noVBand="0"/>
      </w:tblPr>
      <w:tblGrid>
        <w:gridCol w:w="2219"/>
        <w:gridCol w:w="6787"/>
      </w:tblGrid>
      <w:tr w:rsidR="00210EDB" w:rsidRPr="00210EDB" w14:paraId="4EAD2F67" w14:textId="77777777" w:rsidTr="00177D6D">
        <w:trPr>
          <w:trHeight w:val="570"/>
          <w:tblHeader/>
        </w:trPr>
        <w:tc>
          <w:tcPr>
            <w:tcW w:w="2219" w:type="dxa"/>
            <w:tcBorders>
              <w:top w:val="single" w:sz="4" w:space="0" w:color="D7DCE3"/>
              <w:left w:val="single" w:sz="4" w:space="0" w:color="D7DCE3"/>
              <w:bottom w:val="single" w:sz="4" w:space="0" w:color="D7DCE3"/>
              <w:right w:val="single" w:sz="4" w:space="0" w:color="D7DCE3"/>
            </w:tcBorders>
            <w:shd w:val="clear" w:color="auto" w:fill="43E6A2" w:themeFill="accent2"/>
            <w:tcMar>
              <w:top w:w="140" w:type="dxa"/>
              <w:left w:w="160" w:type="dxa"/>
              <w:bottom w:w="140" w:type="dxa"/>
              <w:right w:w="160" w:type="dxa"/>
            </w:tcMar>
            <w:vAlign w:val="center"/>
          </w:tcPr>
          <w:p w14:paraId="737CC9BA" w14:textId="77777777" w:rsidR="00210EDB" w:rsidRPr="00FD5EEC" w:rsidRDefault="00210EDB" w:rsidP="00BB4A4B">
            <w:pPr>
              <w:pStyle w:val="NoSpacing"/>
              <w:rPr>
                <w:b/>
                <w:color w:val="FFFFFF" w:themeColor="background1"/>
                <w:lang w:val="ru-RU"/>
              </w:rPr>
            </w:pPr>
            <w:proofErr w:type="spellStart"/>
            <w:r w:rsidRPr="00FD5EEC">
              <w:rPr>
                <w:b/>
                <w:color w:val="000000" w:themeColor="text1"/>
                <w:lang w:val="ru-RU"/>
              </w:rPr>
              <w:lastRenderedPageBreak/>
              <w:t>Category</w:t>
            </w:r>
            <w:proofErr w:type="spellEnd"/>
          </w:p>
        </w:tc>
        <w:tc>
          <w:tcPr>
            <w:tcW w:w="6787" w:type="dxa"/>
            <w:tcBorders>
              <w:top w:val="single" w:sz="4" w:space="0" w:color="D7DCE3"/>
              <w:left w:val="single" w:sz="4" w:space="0" w:color="D7DCE3"/>
              <w:bottom w:val="single" w:sz="4" w:space="0" w:color="D7DCE3"/>
              <w:right w:val="single" w:sz="4" w:space="0" w:color="D7DCE3"/>
            </w:tcBorders>
            <w:shd w:val="clear" w:color="auto" w:fill="E65C43" w:themeFill="accent3"/>
            <w:tcMar>
              <w:top w:w="140" w:type="dxa"/>
              <w:left w:w="160" w:type="dxa"/>
              <w:bottom w:w="140" w:type="dxa"/>
              <w:right w:w="160" w:type="dxa"/>
            </w:tcMar>
            <w:vAlign w:val="center"/>
          </w:tcPr>
          <w:p w14:paraId="1553E60D" w14:textId="77777777" w:rsidR="00210EDB" w:rsidRPr="00FD5EEC" w:rsidRDefault="00210EDB" w:rsidP="0EA2843C">
            <w:pPr>
              <w:pStyle w:val="NoSpacing"/>
              <w:rPr>
                <w:b/>
                <w:color w:val="FFFFFF" w:themeColor="background1"/>
                <w:lang w:val="ru-RU"/>
              </w:rPr>
            </w:pPr>
            <w:proofErr w:type="spellStart"/>
            <w:r w:rsidRPr="00FD5EEC">
              <w:rPr>
                <w:b/>
                <w:color w:val="FFFFFF" w:themeColor="background2"/>
                <w:lang w:val="ru-RU"/>
              </w:rPr>
              <w:t>Minimum</w:t>
            </w:r>
            <w:proofErr w:type="spellEnd"/>
            <w:r w:rsidRPr="00FD5EEC">
              <w:rPr>
                <w:b/>
                <w:color w:val="FFFFFF" w:themeColor="background2"/>
                <w:lang w:val="ru-RU"/>
              </w:rPr>
              <w:t xml:space="preserve"> </w:t>
            </w:r>
            <w:proofErr w:type="spellStart"/>
            <w:r w:rsidRPr="00FD5EEC">
              <w:rPr>
                <w:b/>
                <w:color w:val="FFFFFF" w:themeColor="background2"/>
                <w:lang w:val="ru-RU"/>
              </w:rPr>
              <w:t>viable</w:t>
            </w:r>
            <w:proofErr w:type="spellEnd"/>
            <w:r w:rsidRPr="00FD5EEC">
              <w:rPr>
                <w:b/>
                <w:color w:val="FFFFFF" w:themeColor="background2"/>
                <w:lang w:val="ru-RU"/>
              </w:rPr>
              <w:t xml:space="preserve"> </w:t>
            </w:r>
            <w:proofErr w:type="spellStart"/>
            <w:r w:rsidRPr="00FD5EEC">
              <w:rPr>
                <w:b/>
                <w:color w:val="FFFFFF" w:themeColor="background2"/>
                <w:lang w:val="ru-RU"/>
              </w:rPr>
              <w:t>delivery</w:t>
            </w:r>
            <w:proofErr w:type="spellEnd"/>
            <w:r w:rsidRPr="00FD5EEC">
              <w:rPr>
                <w:b/>
                <w:color w:val="FFFFFF" w:themeColor="background2"/>
                <w:lang w:val="ru-RU"/>
              </w:rPr>
              <w:t xml:space="preserve"> </w:t>
            </w:r>
            <w:proofErr w:type="spellStart"/>
            <w:r w:rsidRPr="00FD5EEC">
              <w:rPr>
                <w:b/>
                <w:color w:val="FFFFFF" w:themeColor="background2"/>
                <w:lang w:val="ru-RU"/>
              </w:rPr>
              <w:t>fields</w:t>
            </w:r>
            <w:proofErr w:type="spellEnd"/>
          </w:p>
        </w:tc>
      </w:tr>
      <w:tr w:rsidR="00210EDB" w:rsidRPr="00210EDB" w14:paraId="474C0B9E" w14:textId="77777777" w:rsidTr="00177D6D">
        <w:trPr>
          <w:trHeight w:val="606"/>
        </w:trPr>
        <w:tc>
          <w:tcPr>
            <w:tcW w:w="2219" w:type="dxa"/>
            <w:tcBorders>
              <w:top w:val="single" w:sz="4" w:space="0" w:color="D7DCE3"/>
              <w:left w:val="single" w:sz="4" w:space="0" w:color="D7DCE3"/>
              <w:bottom w:val="single" w:sz="4" w:space="0" w:color="D7DCE3"/>
              <w:right w:val="single" w:sz="4" w:space="0" w:color="D7DCE3"/>
            </w:tcBorders>
            <w:shd w:val="clear" w:color="auto" w:fill="FFFFFF" w:themeFill="background2"/>
            <w:tcMar>
              <w:top w:w="140" w:type="dxa"/>
              <w:left w:w="160" w:type="dxa"/>
              <w:bottom w:w="140" w:type="dxa"/>
              <w:right w:w="160" w:type="dxa"/>
            </w:tcMar>
          </w:tcPr>
          <w:p w14:paraId="65006279" w14:textId="77777777" w:rsidR="00210EDB" w:rsidRPr="00FD5EEC" w:rsidRDefault="00210EDB" w:rsidP="00210EDB">
            <w:r w:rsidRPr="00FD5EEC">
              <w:t>Identity</w:t>
            </w:r>
          </w:p>
        </w:tc>
        <w:tc>
          <w:tcPr>
            <w:tcW w:w="6787" w:type="dxa"/>
            <w:tcBorders>
              <w:top w:val="single" w:sz="4" w:space="0" w:color="D7DCE3"/>
              <w:left w:val="single" w:sz="4" w:space="0" w:color="D7DCE3"/>
              <w:bottom w:val="single" w:sz="4" w:space="0" w:color="D7DCE3"/>
              <w:right w:val="single" w:sz="4" w:space="0" w:color="D7DCE3"/>
            </w:tcBorders>
            <w:shd w:val="clear" w:color="auto" w:fill="FFFFFF" w:themeFill="background2"/>
            <w:tcMar>
              <w:top w:w="140" w:type="dxa"/>
              <w:left w:w="160" w:type="dxa"/>
              <w:bottom w:w="140" w:type="dxa"/>
              <w:right w:w="160" w:type="dxa"/>
            </w:tcMar>
          </w:tcPr>
          <w:p w14:paraId="5ACEB6EA" w14:textId="77777777" w:rsidR="00210EDB" w:rsidRPr="00FD5EEC" w:rsidRDefault="00210EDB" w:rsidP="00210EDB">
            <w:r w:rsidRPr="00FD5EEC">
              <w:t>Portfolio ID · programme ID · workstream ID · stage gate · version</w:t>
            </w:r>
          </w:p>
        </w:tc>
      </w:tr>
      <w:tr w:rsidR="00210EDB" w:rsidRPr="00210EDB" w14:paraId="12758758" w14:textId="77777777" w:rsidTr="00177D6D">
        <w:trPr>
          <w:trHeight w:val="1026"/>
        </w:trPr>
        <w:tc>
          <w:tcPr>
            <w:tcW w:w="2219" w:type="dxa"/>
            <w:tcBorders>
              <w:top w:val="single" w:sz="4" w:space="0" w:color="D7DCE3"/>
              <w:left w:val="single" w:sz="4" w:space="0" w:color="D7DCE3"/>
              <w:bottom w:val="single" w:sz="4" w:space="0" w:color="D7DCE3"/>
              <w:right w:val="single" w:sz="4" w:space="0" w:color="D7DCE3"/>
            </w:tcBorders>
            <w:shd w:val="clear" w:color="auto" w:fill="F7F9FC"/>
            <w:tcMar>
              <w:top w:w="140" w:type="dxa"/>
              <w:left w:w="160" w:type="dxa"/>
              <w:bottom w:w="140" w:type="dxa"/>
              <w:right w:w="160" w:type="dxa"/>
            </w:tcMar>
          </w:tcPr>
          <w:p w14:paraId="4B6699B8" w14:textId="77777777" w:rsidR="00210EDB" w:rsidRPr="00FD5EEC" w:rsidRDefault="00210EDB" w:rsidP="00210EDB">
            <w:r w:rsidRPr="00FD5EEC">
              <w:t>Classification</w:t>
            </w:r>
          </w:p>
        </w:tc>
        <w:tc>
          <w:tcPr>
            <w:tcW w:w="6787" w:type="dxa"/>
            <w:tcBorders>
              <w:top w:val="single" w:sz="4" w:space="0" w:color="D7DCE3"/>
              <w:left w:val="single" w:sz="4" w:space="0" w:color="D7DCE3"/>
              <w:bottom w:val="single" w:sz="4" w:space="0" w:color="D7DCE3"/>
              <w:right w:val="single" w:sz="4" w:space="0" w:color="D7DCE3"/>
            </w:tcBorders>
            <w:shd w:val="clear" w:color="auto" w:fill="F7F9FC"/>
            <w:tcMar>
              <w:top w:w="140" w:type="dxa"/>
              <w:left w:w="160" w:type="dxa"/>
              <w:bottom w:w="140" w:type="dxa"/>
              <w:right w:w="160" w:type="dxa"/>
            </w:tcMar>
          </w:tcPr>
          <w:p w14:paraId="3A240235" w14:textId="77777777" w:rsidR="00210EDB" w:rsidRPr="00FD5EEC" w:rsidRDefault="00210EDB" w:rsidP="00210EDB">
            <w:r w:rsidRPr="00FD5EEC">
              <w:t>Milestone type · dependency type and criticality · RAID category · issue cause and resolution code · decision type · benefit category</w:t>
            </w:r>
          </w:p>
        </w:tc>
      </w:tr>
      <w:tr w:rsidR="00210EDB" w:rsidRPr="00210EDB" w14:paraId="382CFB27" w14:textId="77777777" w:rsidTr="00177D6D">
        <w:trPr>
          <w:trHeight w:val="606"/>
        </w:trPr>
        <w:tc>
          <w:tcPr>
            <w:tcW w:w="2219" w:type="dxa"/>
            <w:tcBorders>
              <w:top w:val="single" w:sz="4" w:space="0" w:color="D7DCE3"/>
              <w:left w:val="single" w:sz="4" w:space="0" w:color="D7DCE3"/>
              <w:bottom w:val="single" w:sz="4" w:space="0" w:color="D7DCE3"/>
              <w:right w:val="single" w:sz="4" w:space="0" w:color="D7DCE3"/>
            </w:tcBorders>
            <w:shd w:val="clear" w:color="auto" w:fill="FFFFFF" w:themeFill="background2"/>
            <w:tcMar>
              <w:top w:w="140" w:type="dxa"/>
              <w:left w:w="160" w:type="dxa"/>
              <w:bottom w:w="140" w:type="dxa"/>
              <w:right w:w="160" w:type="dxa"/>
            </w:tcMar>
          </w:tcPr>
          <w:p w14:paraId="41D5F783" w14:textId="77777777" w:rsidR="00210EDB" w:rsidRPr="00FD5EEC" w:rsidRDefault="00210EDB" w:rsidP="00210EDB">
            <w:r w:rsidRPr="00FD5EEC">
              <w:t>Ownership</w:t>
            </w:r>
          </w:p>
        </w:tc>
        <w:tc>
          <w:tcPr>
            <w:tcW w:w="6787" w:type="dxa"/>
            <w:tcBorders>
              <w:top w:val="single" w:sz="4" w:space="0" w:color="D7DCE3"/>
              <w:left w:val="single" w:sz="4" w:space="0" w:color="D7DCE3"/>
              <w:bottom w:val="single" w:sz="4" w:space="0" w:color="D7DCE3"/>
              <w:right w:val="single" w:sz="4" w:space="0" w:color="D7DCE3"/>
            </w:tcBorders>
            <w:shd w:val="clear" w:color="auto" w:fill="FFFFFF" w:themeFill="background2"/>
            <w:tcMar>
              <w:top w:w="140" w:type="dxa"/>
              <w:left w:w="160" w:type="dxa"/>
              <w:bottom w:w="140" w:type="dxa"/>
              <w:right w:w="160" w:type="dxa"/>
            </w:tcMar>
          </w:tcPr>
          <w:p w14:paraId="48852D70" w14:textId="77777777" w:rsidR="00210EDB" w:rsidRPr="00FD5EEC" w:rsidRDefault="00210EDB" w:rsidP="00210EDB">
            <w:r w:rsidRPr="00FD5EEC">
              <w:t>Action owner · data steward · accountable executive</w:t>
            </w:r>
          </w:p>
        </w:tc>
      </w:tr>
      <w:tr w:rsidR="00210EDB" w:rsidRPr="00210EDB" w14:paraId="27570C3A" w14:textId="77777777" w:rsidTr="00177D6D">
        <w:trPr>
          <w:trHeight w:val="1043"/>
        </w:trPr>
        <w:tc>
          <w:tcPr>
            <w:tcW w:w="2219" w:type="dxa"/>
            <w:tcBorders>
              <w:top w:val="single" w:sz="4" w:space="0" w:color="D7DCE3"/>
              <w:left w:val="single" w:sz="4" w:space="0" w:color="D7DCE3"/>
              <w:bottom w:val="single" w:sz="4" w:space="0" w:color="D7DCE3"/>
              <w:right w:val="single" w:sz="4" w:space="0" w:color="D7DCE3"/>
            </w:tcBorders>
            <w:shd w:val="clear" w:color="auto" w:fill="F7F9FC"/>
            <w:tcMar>
              <w:top w:w="140" w:type="dxa"/>
              <w:left w:w="160" w:type="dxa"/>
              <w:bottom w:w="140" w:type="dxa"/>
              <w:right w:w="160" w:type="dxa"/>
            </w:tcMar>
          </w:tcPr>
          <w:p w14:paraId="30ABDC5D" w14:textId="77777777" w:rsidR="00210EDB" w:rsidRPr="00FD5EEC" w:rsidRDefault="00210EDB" w:rsidP="00210EDB">
            <w:r w:rsidRPr="00FD5EEC">
              <w:t>Temporal</w:t>
            </w:r>
          </w:p>
        </w:tc>
        <w:tc>
          <w:tcPr>
            <w:tcW w:w="6787" w:type="dxa"/>
            <w:tcBorders>
              <w:top w:val="single" w:sz="4" w:space="0" w:color="D7DCE3"/>
              <w:left w:val="single" w:sz="4" w:space="0" w:color="D7DCE3"/>
              <w:bottom w:val="single" w:sz="4" w:space="0" w:color="D7DCE3"/>
              <w:right w:val="single" w:sz="4" w:space="0" w:color="D7DCE3"/>
            </w:tcBorders>
            <w:shd w:val="clear" w:color="auto" w:fill="F7F9FC"/>
            <w:tcMar>
              <w:top w:w="140" w:type="dxa"/>
              <w:left w:w="160" w:type="dxa"/>
              <w:bottom w:w="140" w:type="dxa"/>
              <w:right w:w="160" w:type="dxa"/>
            </w:tcMar>
          </w:tcPr>
          <w:p w14:paraId="4C31A36B" w14:textId="77777777" w:rsidR="00210EDB" w:rsidRPr="00FD5EEC" w:rsidRDefault="00210EDB" w:rsidP="00210EDB">
            <w:r w:rsidRPr="00FD5EEC">
              <w:t>Created date · due date · timestamp · update frequency · reporting period</w:t>
            </w:r>
          </w:p>
        </w:tc>
      </w:tr>
      <w:tr w:rsidR="00210EDB" w:rsidRPr="00210EDB" w14:paraId="0E5087A9" w14:textId="77777777" w:rsidTr="00177D6D">
        <w:trPr>
          <w:trHeight w:val="1026"/>
        </w:trPr>
        <w:tc>
          <w:tcPr>
            <w:tcW w:w="2219" w:type="dxa"/>
            <w:tcBorders>
              <w:top w:val="single" w:sz="4" w:space="0" w:color="D7DCE3"/>
              <w:left w:val="single" w:sz="4" w:space="0" w:color="D7DCE3"/>
              <w:bottom w:val="single" w:sz="4" w:space="0" w:color="D7DCE3"/>
              <w:right w:val="single" w:sz="4" w:space="0" w:color="D7DCE3"/>
            </w:tcBorders>
            <w:shd w:val="clear" w:color="auto" w:fill="FFFFFF" w:themeFill="background2"/>
            <w:tcMar>
              <w:top w:w="140" w:type="dxa"/>
              <w:left w:w="160" w:type="dxa"/>
              <w:bottom w:w="140" w:type="dxa"/>
              <w:right w:w="160" w:type="dxa"/>
            </w:tcMar>
          </w:tcPr>
          <w:p w14:paraId="517CC411" w14:textId="77777777" w:rsidR="00210EDB" w:rsidRPr="00FD5EEC" w:rsidRDefault="00210EDB" w:rsidP="00210EDB">
            <w:r w:rsidRPr="00FD5EEC">
              <w:t>Quality &amp; trust</w:t>
            </w:r>
          </w:p>
        </w:tc>
        <w:tc>
          <w:tcPr>
            <w:tcW w:w="6787" w:type="dxa"/>
            <w:tcBorders>
              <w:top w:val="single" w:sz="4" w:space="0" w:color="D7DCE3"/>
              <w:left w:val="single" w:sz="4" w:space="0" w:color="D7DCE3"/>
              <w:bottom w:val="single" w:sz="4" w:space="0" w:color="D7DCE3"/>
              <w:right w:val="single" w:sz="4" w:space="0" w:color="D7DCE3"/>
            </w:tcBorders>
            <w:shd w:val="clear" w:color="auto" w:fill="FFFFFF" w:themeFill="background2"/>
            <w:tcMar>
              <w:top w:w="140" w:type="dxa"/>
              <w:left w:w="160" w:type="dxa"/>
              <w:bottom w:w="140" w:type="dxa"/>
              <w:right w:w="160" w:type="dxa"/>
            </w:tcMar>
          </w:tcPr>
          <w:p w14:paraId="3A7AA674" w14:textId="77777777" w:rsidR="00210EDB" w:rsidRPr="00FD5EEC" w:rsidRDefault="00210EDB" w:rsidP="00210EDB">
            <w:r w:rsidRPr="00FD5EEC">
              <w:t>Forecast confidence · source system · provenance · synthetic vs manual flag · review status</w:t>
            </w:r>
          </w:p>
        </w:tc>
      </w:tr>
      <w:tr w:rsidR="00210EDB" w:rsidRPr="00210EDB" w14:paraId="212F4F38" w14:textId="77777777" w:rsidTr="00177D6D">
        <w:trPr>
          <w:trHeight w:val="1026"/>
        </w:trPr>
        <w:tc>
          <w:tcPr>
            <w:tcW w:w="2219" w:type="dxa"/>
            <w:tcBorders>
              <w:top w:val="single" w:sz="4" w:space="0" w:color="D7DCE3"/>
              <w:left w:val="single" w:sz="4" w:space="0" w:color="D7DCE3"/>
              <w:bottom w:val="single" w:sz="4" w:space="0" w:color="D7DCE3"/>
              <w:right w:val="single" w:sz="4" w:space="0" w:color="D7DCE3"/>
            </w:tcBorders>
            <w:shd w:val="clear" w:color="auto" w:fill="F7F9FC"/>
            <w:tcMar>
              <w:top w:w="140" w:type="dxa"/>
              <w:left w:w="160" w:type="dxa"/>
              <w:bottom w:w="140" w:type="dxa"/>
              <w:right w:w="160" w:type="dxa"/>
            </w:tcMar>
          </w:tcPr>
          <w:p w14:paraId="427117DD" w14:textId="77777777" w:rsidR="00210EDB" w:rsidRPr="00FD5EEC" w:rsidRDefault="00210EDB" w:rsidP="00210EDB">
            <w:r w:rsidRPr="00FD5EEC">
              <w:t>Governance</w:t>
            </w:r>
          </w:p>
        </w:tc>
        <w:tc>
          <w:tcPr>
            <w:tcW w:w="6787" w:type="dxa"/>
            <w:tcBorders>
              <w:top w:val="single" w:sz="4" w:space="0" w:color="D7DCE3"/>
              <w:left w:val="single" w:sz="4" w:space="0" w:color="D7DCE3"/>
              <w:bottom w:val="single" w:sz="4" w:space="0" w:color="D7DCE3"/>
              <w:right w:val="single" w:sz="4" w:space="0" w:color="D7DCE3"/>
            </w:tcBorders>
            <w:shd w:val="clear" w:color="auto" w:fill="F7F9FC"/>
            <w:tcMar>
              <w:top w:w="140" w:type="dxa"/>
              <w:left w:w="160" w:type="dxa"/>
              <w:bottom w:w="140" w:type="dxa"/>
              <w:right w:w="160" w:type="dxa"/>
            </w:tcMar>
          </w:tcPr>
          <w:p w14:paraId="07AD5F57" w14:textId="77777777" w:rsidR="00210EDB" w:rsidRPr="00FD5EEC" w:rsidRDefault="00210EDB" w:rsidP="00210EDB">
            <w:r w:rsidRPr="00FD5EEC">
              <w:t>Policy tags · regulatory tags · access role · retention status · approval status</w:t>
            </w:r>
          </w:p>
        </w:tc>
      </w:tr>
    </w:tbl>
    <w:p w14:paraId="2EFEDD2E" w14:textId="48D92726" w:rsidR="00210EDB" w:rsidRPr="00FD5EEC" w:rsidRDefault="006B791F" w:rsidP="00210EDB">
      <w:pPr>
        <w:rPr>
          <w:rStyle w:val="SubtleEmphasis"/>
        </w:rPr>
      </w:pPr>
      <w:r w:rsidRPr="00FD5EEC">
        <w:rPr>
          <w:i/>
        </w:rPr>
        <w:br/>
      </w:r>
      <w:r w:rsidR="00210EDB" w:rsidRPr="00FD5EEC">
        <w:rPr>
          <w:rStyle w:val="SubtleEmphasis"/>
        </w:rPr>
        <w:t>Figure 4. Minimum viable metadata for AI-enabled programme delivery.</w:t>
      </w:r>
    </w:p>
    <w:p w14:paraId="0277EC48" w14:textId="77777777" w:rsidR="00210EDB" w:rsidRPr="00FD5EEC" w:rsidRDefault="00210EDB" w:rsidP="00210EDB">
      <w:r w:rsidRPr="00FD5EEC">
        <w:t>These fields are not bureaucracy. They are the minimum viable semantics that allow automation to be auditable and analytics to become predictive. Retrofitting meaning into a year of free-text updates is expensive and unreliable. If the goal is predictive analytics in year two, structured tagged delivery data must start in year one. For one PMO domain, a useful foundation can usually be built in one or two quarters with tight scope. Enterprise-wide governance is slower — McKinsey recommends domain-first sequencing and warns against disconnected pilots; vendor rollouts commonly run 12–18 months.</w:t>
      </w:r>
    </w:p>
    <w:p w14:paraId="4DB02CF8" w14:textId="77777777" w:rsidR="00210EDB" w:rsidRPr="00FD5EEC" w:rsidRDefault="00210EDB" w:rsidP="00210EDB"/>
    <w:p w14:paraId="0B474780" w14:textId="77777777" w:rsidR="00CC4597" w:rsidRPr="00FD5EEC" w:rsidRDefault="00CC4597" w:rsidP="00210EDB"/>
    <w:tbl>
      <w:tblPr>
        <w:tblW w:w="8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0"/>
      </w:tblGrid>
      <w:tr w:rsidR="00210EDB" w:rsidRPr="00210EDB" w14:paraId="763C71DE" w14:textId="77777777" w:rsidTr="00177D6D">
        <w:trPr>
          <w:trHeight w:val="2506"/>
        </w:trPr>
        <w:tc>
          <w:tcPr>
            <w:tcW w:w="8990" w:type="dxa"/>
            <w:tcBorders>
              <w:top w:val="none" w:sz="0" w:space="0" w:color="FFFFFF"/>
              <w:left w:val="single" w:sz="24" w:space="0" w:color="0065FC"/>
              <w:bottom w:val="none" w:sz="0" w:space="0" w:color="FFFFFF"/>
              <w:right w:val="none" w:sz="0" w:space="0" w:color="FFFFFF"/>
            </w:tcBorders>
            <w:shd w:val="clear" w:color="auto" w:fill="E6F0FF"/>
            <w:tcMar>
              <w:top w:w="240" w:type="dxa"/>
              <w:left w:w="280" w:type="dxa"/>
              <w:bottom w:w="240" w:type="dxa"/>
              <w:right w:w="280" w:type="dxa"/>
            </w:tcMar>
          </w:tcPr>
          <w:p w14:paraId="7ABA0361" w14:textId="77777777" w:rsidR="00210EDB" w:rsidRPr="00FD5EEC" w:rsidRDefault="00210EDB" w:rsidP="00210EDB">
            <w:r w:rsidRPr="00FD5EEC">
              <w:rPr>
                <w:b/>
              </w:rPr>
              <w:t>What this means for a delivery leader</w:t>
            </w:r>
          </w:p>
          <w:p w14:paraId="4D20968D" w14:textId="77777777" w:rsidR="00210EDB" w:rsidRPr="00FD5EEC" w:rsidRDefault="00210EDB" w:rsidP="00210EDB">
            <w:r w:rsidRPr="00FD5EEC">
              <w:t>Can you point to a single agreed definition of "milestone", "risk" and "dependency" across your portfolio — and a single owner for each? If not, that is where Stage 2 begins. You are not commissioning a data programme; you are commissioning the discipline of having one set of words mean one set of things.</w:t>
            </w:r>
          </w:p>
        </w:tc>
      </w:tr>
    </w:tbl>
    <w:p w14:paraId="696CBCEE" w14:textId="77777777" w:rsidR="00DE1763" w:rsidRPr="00FD5EEC" w:rsidRDefault="00DE1763" w:rsidP="00210EDB">
      <w:pPr>
        <w:rPr>
          <w:b/>
        </w:rPr>
      </w:pPr>
    </w:p>
    <w:p w14:paraId="07E938E7" w14:textId="4F0E0F46" w:rsidR="00210EDB" w:rsidRPr="00FD5EEC" w:rsidRDefault="00210EDB" w:rsidP="00EF0DFE">
      <w:pPr>
        <w:pStyle w:val="Heading1"/>
        <w:rPr>
          <w:rFonts w:hint="eastAsia"/>
        </w:rPr>
      </w:pPr>
      <w:bookmarkStart w:id="10" w:name="_Toc231422553"/>
      <w:r w:rsidRPr="00FD5EEC">
        <w:t>5. Why software engineering is pulling ahead</w:t>
      </w:r>
      <w:bookmarkEnd w:id="10"/>
    </w:p>
    <w:p w14:paraId="1938B516" w14:textId="77777777" w:rsidR="00210EDB" w:rsidRPr="00FD5EEC" w:rsidRDefault="00210EDB" w:rsidP="00210EDB">
      <w:r w:rsidRPr="00FD5EEC">
        <w:rPr>
          <w:b/>
        </w:rPr>
        <w:t xml:space="preserve">Software engineering moves faster than programme delivery because it already has an operating system for AI to land in. </w:t>
      </w:r>
      <w:r w:rsidRPr="00FD5EEC">
        <w:t>Code repositories, pull-request reviews, build pipelines, security scans, code ownership and audit logs exist as standard machinery. AI plugs into a system that already knows who changed what, when, and with whose approval. Programme delivery often lacks that substrate — most of what happens still lives in documents and email.</w:t>
      </w:r>
    </w:p>
    <w:p w14:paraId="2F87C531" w14:textId="77777777" w:rsidR="00210EDB" w:rsidRPr="00FD5EEC" w:rsidRDefault="00210EDB" w:rsidP="00210EDB">
      <w:r w:rsidRPr="00FD5EEC">
        <w:t>GitHub’s well-architected guidance for Copilot is built around licensing, access control, model restrictions, human review gates, audit streaming and spend controls. It explicitly warns against enabling AI agents without audit logging. DORA’s AI Capabilities Model makes the substrate explicit: a clear AI stance, healthy data ecosystems, AI-accessible internal data, version control, small-batch work, user-centric focus, and quality internal platforms. Each has an obvious delivery-side analogue, and the contrast is not flattering.</w:t>
      </w:r>
    </w:p>
    <w:p w14:paraId="06A4A51F" w14:textId="77777777" w:rsidR="00210EDB" w:rsidRPr="00FD5EEC" w:rsidRDefault="00210EDB" w:rsidP="00210EDB"/>
    <w:tbl>
      <w:tblPr>
        <w:tblW w:w="9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8"/>
        <w:gridCol w:w="3265"/>
        <w:gridCol w:w="3265"/>
      </w:tblGrid>
      <w:tr w:rsidR="00210EDB" w:rsidRPr="00210EDB" w14:paraId="2A1E9B14" w14:textId="77777777" w:rsidTr="00177D6D">
        <w:trPr>
          <w:trHeight w:val="530"/>
          <w:tblHeader/>
        </w:trPr>
        <w:tc>
          <w:tcPr>
            <w:tcW w:w="2478" w:type="dxa"/>
            <w:tcBorders>
              <w:top w:val="single" w:sz="4" w:space="0" w:color="D7DCE3"/>
              <w:left w:val="single" w:sz="4" w:space="0" w:color="D7DCE3"/>
              <w:bottom w:val="single" w:sz="4" w:space="0" w:color="D7DCE3"/>
              <w:right w:val="single" w:sz="4" w:space="0" w:color="D7DCE3"/>
            </w:tcBorders>
            <w:shd w:val="clear" w:color="auto" w:fill="0065FC" w:themeFill="accent1"/>
            <w:tcMar>
              <w:top w:w="140" w:type="dxa"/>
              <w:left w:w="160" w:type="dxa"/>
              <w:bottom w:w="140" w:type="dxa"/>
              <w:right w:w="160" w:type="dxa"/>
            </w:tcMar>
            <w:vAlign w:val="center"/>
          </w:tcPr>
          <w:p w14:paraId="755F5234" w14:textId="77777777" w:rsidR="00210EDB" w:rsidRPr="00FD5EEC" w:rsidRDefault="00210EDB" w:rsidP="00BB4A4B">
            <w:pPr>
              <w:pStyle w:val="NoSpacing"/>
              <w:rPr>
                <w:b/>
                <w:color w:val="FFFFFF" w:themeColor="background1"/>
                <w:lang w:val="ru-RU"/>
              </w:rPr>
            </w:pPr>
            <w:proofErr w:type="spellStart"/>
            <w:r w:rsidRPr="00FD5EEC">
              <w:rPr>
                <w:b/>
                <w:color w:val="FFFFFF" w:themeColor="background1"/>
                <w:lang w:val="ru-RU"/>
              </w:rPr>
              <w:lastRenderedPageBreak/>
              <w:t>Operating-system</w:t>
            </w:r>
            <w:proofErr w:type="spellEnd"/>
            <w:r w:rsidRPr="00FD5EEC">
              <w:rPr>
                <w:b/>
                <w:color w:val="FFFFFF" w:themeColor="background1"/>
                <w:lang w:val="ru-RU"/>
              </w:rPr>
              <w:t xml:space="preserve"> </w:t>
            </w:r>
            <w:proofErr w:type="spellStart"/>
            <w:r w:rsidRPr="00FD5EEC">
              <w:rPr>
                <w:b/>
                <w:color w:val="FFFFFF" w:themeColor="background1"/>
                <w:lang w:val="ru-RU"/>
              </w:rPr>
              <w:t>element</w:t>
            </w:r>
            <w:proofErr w:type="spellEnd"/>
          </w:p>
        </w:tc>
        <w:tc>
          <w:tcPr>
            <w:tcW w:w="3265" w:type="dxa"/>
            <w:tcBorders>
              <w:top w:val="single" w:sz="4" w:space="0" w:color="D7DCE3"/>
              <w:left w:val="single" w:sz="4" w:space="0" w:color="D7DCE3"/>
              <w:bottom w:val="single" w:sz="4" w:space="0" w:color="D7DCE3"/>
              <w:right w:val="single" w:sz="4" w:space="0" w:color="D7DCE3"/>
            </w:tcBorders>
            <w:shd w:val="clear" w:color="auto" w:fill="0065FC" w:themeFill="accent1"/>
            <w:tcMar>
              <w:top w:w="140" w:type="dxa"/>
              <w:left w:w="160" w:type="dxa"/>
              <w:bottom w:w="140" w:type="dxa"/>
              <w:right w:w="160" w:type="dxa"/>
            </w:tcMar>
            <w:vAlign w:val="center"/>
          </w:tcPr>
          <w:p w14:paraId="64E17AB7" w14:textId="77777777" w:rsidR="00210EDB" w:rsidRPr="00FD5EEC" w:rsidRDefault="00210EDB" w:rsidP="00BB4A4B">
            <w:pPr>
              <w:pStyle w:val="NoSpacing"/>
              <w:rPr>
                <w:b/>
                <w:color w:val="FFFFFF" w:themeColor="background1"/>
                <w:lang w:val="ru-RU"/>
              </w:rPr>
            </w:pPr>
            <w:r w:rsidRPr="00FD5EEC">
              <w:rPr>
                <w:b/>
                <w:color w:val="FFFFFF" w:themeColor="background1"/>
                <w:lang w:val="ru-RU"/>
              </w:rPr>
              <w:t xml:space="preserve">Software </w:t>
            </w:r>
            <w:proofErr w:type="spellStart"/>
            <w:r w:rsidRPr="00FD5EEC">
              <w:rPr>
                <w:b/>
                <w:color w:val="FFFFFF" w:themeColor="background1"/>
                <w:lang w:val="ru-RU"/>
              </w:rPr>
              <w:t>engineering</w:t>
            </w:r>
            <w:proofErr w:type="spellEnd"/>
          </w:p>
        </w:tc>
        <w:tc>
          <w:tcPr>
            <w:tcW w:w="3265" w:type="dxa"/>
            <w:tcBorders>
              <w:top w:val="single" w:sz="4" w:space="0" w:color="D7DCE3"/>
              <w:left w:val="single" w:sz="4" w:space="0" w:color="D7DCE3"/>
              <w:bottom w:val="single" w:sz="4" w:space="0" w:color="D7DCE3"/>
              <w:right w:val="single" w:sz="4" w:space="0" w:color="D7DCE3"/>
            </w:tcBorders>
            <w:shd w:val="clear" w:color="auto" w:fill="0065FC" w:themeFill="accent1"/>
            <w:tcMar>
              <w:top w:w="140" w:type="dxa"/>
              <w:left w:w="160" w:type="dxa"/>
              <w:bottom w:w="140" w:type="dxa"/>
              <w:right w:w="160" w:type="dxa"/>
            </w:tcMar>
            <w:vAlign w:val="center"/>
          </w:tcPr>
          <w:p w14:paraId="392DB8FD" w14:textId="77777777" w:rsidR="00210EDB" w:rsidRPr="00FD5EEC" w:rsidRDefault="00210EDB" w:rsidP="0EA2843C">
            <w:pPr>
              <w:pStyle w:val="NoSpacing"/>
              <w:rPr>
                <w:b/>
                <w:color w:val="FFFFFF" w:themeColor="background1"/>
                <w:lang w:val="ru-RU"/>
              </w:rPr>
            </w:pPr>
            <w:r w:rsidRPr="00FD5EEC">
              <w:rPr>
                <w:b/>
                <w:color w:val="FFFFFF" w:themeColor="background2"/>
                <w:lang w:val="ru-RU"/>
              </w:rPr>
              <w:t xml:space="preserve">Programme </w:t>
            </w:r>
            <w:proofErr w:type="spellStart"/>
            <w:r w:rsidRPr="00FD5EEC">
              <w:rPr>
                <w:b/>
                <w:color w:val="FFFFFF" w:themeColor="background2"/>
                <w:lang w:val="ru-RU"/>
              </w:rPr>
              <w:t>delivery</w:t>
            </w:r>
            <w:proofErr w:type="spellEnd"/>
          </w:p>
        </w:tc>
      </w:tr>
      <w:tr w:rsidR="00210EDB" w:rsidRPr="00210EDB" w14:paraId="70542420" w14:textId="77777777" w:rsidTr="00177D6D">
        <w:trPr>
          <w:trHeight w:val="1011"/>
        </w:trPr>
        <w:tc>
          <w:tcPr>
            <w:tcW w:w="2478" w:type="dxa"/>
            <w:tcBorders>
              <w:top w:val="single" w:sz="4" w:space="0" w:color="D7DCE3"/>
              <w:left w:val="single" w:sz="4" w:space="0" w:color="D7DCE3"/>
              <w:bottom w:val="single" w:sz="4" w:space="0" w:color="D7DCE3"/>
              <w:right w:val="single" w:sz="4" w:space="0" w:color="D7DCE3"/>
            </w:tcBorders>
            <w:shd w:val="clear" w:color="auto" w:fill="FFFFFF" w:themeFill="background2"/>
            <w:tcMar>
              <w:top w:w="140" w:type="dxa"/>
              <w:left w:w="160" w:type="dxa"/>
              <w:bottom w:w="140" w:type="dxa"/>
              <w:right w:w="160" w:type="dxa"/>
            </w:tcMar>
          </w:tcPr>
          <w:p w14:paraId="73300795" w14:textId="77777777" w:rsidR="00210EDB" w:rsidRPr="00FD5EEC" w:rsidRDefault="00210EDB" w:rsidP="00210EDB">
            <w:r w:rsidRPr="00FD5EEC">
              <w:t>Change record</w:t>
            </w:r>
          </w:p>
        </w:tc>
        <w:tc>
          <w:tcPr>
            <w:tcW w:w="3265" w:type="dxa"/>
            <w:tcBorders>
              <w:top w:val="single" w:sz="4" w:space="0" w:color="D7DCE3"/>
              <w:left w:val="single" w:sz="4" w:space="0" w:color="D7DCE3"/>
              <w:bottom w:val="single" w:sz="4" w:space="0" w:color="D7DCE3"/>
              <w:right w:val="single" w:sz="4" w:space="0" w:color="D7DCE3"/>
            </w:tcBorders>
            <w:shd w:val="clear" w:color="auto" w:fill="FFFFFF" w:themeFill="background2"/>
            <w:tcMar>
              <w:top w:w="140" w:type="dxa"/>
              <w:left w:w="160" w:type="dxa"/>
              <w:bottom w:w="140" w:type="dxa"/>
              <w:right w:w="160" w:type="dxa"/>
            </w:tcMar>
          </w:tcPr>
          <w:p w14:paraId="149FDD9C" w14:textId="77777777" w:rsidR="00210EDB" w:rsidRPr="00FD5EEC" w:rsidRDefault="00210EDB" w:rsidP="00210EDB">
            <w:r w:rsidRPr="00FD5EEC">
              <w:t>Code commits and pull requests</w:t>
            </w:r>
          </w:p>
        </w:tc>
        <w:tc>
          <w:tcPr>
            <w:tcW w:w="3265" w:type="dxa"/>
            <w:tcBorders>
              <w:top w:val="single" w:sz="4" w:space="0" w:color="D7DCE3"/>
              <w:left w:val="single" w:sz="4" w:space="0" w:color="D7DCE3"/>
              <w:bottom w:val="single" w:sz="4" w:space="0" w:color="D7DCE3"/>
              <w:right w:val="single" w:sz="4" w:space="0" w:color="D7DCE3"/>
            </w:tcBorders>
            <w:shd w:val="clear" w:color="auto" w:fill="FFFFFF" w:themeFill="background2"/>
            <w:tcMar>
              <w:top w:w="140" w:type="dxa"/>
              <w:left w:w="160" w:type="dxa"/>
              <w:bottom w:w="140" w:type="dxa"/>
              <w:right w:w="160" w:type="dxa"/>
            </w:tcMar>
          </w:tcPr>
          <w:p w14:paraId="54057486" w14:textId="77777777" w:rsidR="00210EDB" w:rsidRPr="00FD5EEC" w:rsidRDefault="00210EDB" w:rsidP="00210EDB">
            <w:r w:rsidRPr="00FD5EEC">
              <w:t>Status decks, emails, free-text logs</w:t>
            </w:r>
          </w:p>
        </w:tc>
      </w:tr>
      <w:tr w:rsidR="00210EDB" w:rsidRPr="00210EDB" w14:paraId="37770DE3" w14:textId="77777777" w:rsidTr="00177D6D">
        <w:trPr>
          <w:trHeight w:val="1027"/>
        </w:trPr>
        <w:tc>
          <w:tcPr>
            <w:tcW w:w="2478" w:type="dxa"/>
            <w:tcBorders>
              <w:top w:val="single" w:sz="4" w:space="0" w:color="D7DCE3"/>
              <w:left w:val="single" w:sz="4" w:space="0" w:color="D7DCE3"/>
              <w:bottom w:val="single" w:sz="4" w:space="0" w:color="D7DCE3"/>
              <w:right w:val="single" w:sz="4" w:space="0" w:color="D7DCE3"/>
            </w:tcBorders>
            <w:shd w:val="clear" w:color="auto" w:fill="F7F9FC"/>
            <w:tcMar>
              <w:top w:w="140" w:type="dxa"/>
              <w:left w:w="160" w:type="dxa"/>
              <w:bottom w:w="140" w:type="dxa"/>
              <w:right w:w="160" w:type="dxa"/>
            </w:tcMar>
          </w:tcPr>
          <w:p w14:paraId="66FACB98" w14:textId="77777777" w:rsidR="00210EDB" w:rsidRPr="00FD5EEC" w:rsidRDefault="00210EDB" w:rsidP="00210EDB">
            <w:r w:rsidRPr="00FD5EEC">
              <w:t>Review model</w:t>
            </w:r>
          </w:p>
        </w:tc>
        <w:tc>
          <w:tcPr>
            <w:tcW w:w="3265" w:type="dxa"/>
            <w:tcBorders>
              <w:top w:val="single" w:sz="4" w:space="0" w:color="D7DCE3"/>
              <w:left w:val="single" w:sz="4" w:space="0" w:color="D7DCE3"/>
              <w:bottom w:val="single" w:sz="4" w:space="0" w:color="D7DCE3"/>
              <w:right w:val="single" w:sz="4" w:space="0" w:color="D7DCE3"/>
            </w:tcBorders>
            <w:shd w:val="clear" w:color="auto" w:fill="F7F9FC"/>
            <w:tcMar>
              <w:top w:w="140" w:type="dxa"/>
              <w:left w:w="160" w:type="dxa"/>
              <w:bottom w:w="140" w:type="dxa"/>
              <w:right w:w="160" w:type="dxa"/>
            </w:tcMar>
          </w:tcPr>
          <w:p w14:paraId="3E617CAE" w14:textId="77777777" w:rsidR="00210EDB" w:rsidRPr="00FD5EEC" w:rsidRDefault="00210EDB" w:rsidP="00210EDB">
            <w:r w:rsidRPr="00FD5EEC">
              <w:t>Reviewer approval before merge</w:t>
            </w:r>
          </w:p>
        </w:tc>
        <w:tc>
          <w:tcPr>
            <w:tcW w:w="3265" w:type="dxa"/>
            <w:tcBorders>
              <w:top w:val="single" w:sz="4" w:space="0" w:color="D7DCE3"/>
              <w:left w:val="single" w:sz="4" w:space="0" w:color="D7DCE3"/>
              <w:bottom w:val="single" w:sz="4" w:space="0" w:color="D7DCE3"/>
              <w:right w:val="single" w:sz="4" w:space="0" w:color="D7DCE3"/>
            </w:tcBorders>
            <w:shd w:val="clear" w:color="auto" w:fill="F7F9FC"/>
            <w:tcMar>
              <w:top w:w="140" w:type="dxa"/>
              <w:left w:w="160" w:type="dxa"/>
              <w:bottom w:w="140" w:type="dxa"/>
              <w:right w:w="160" w:type="dxa"/>
            </w:tcMar>
          </w:tcPr>
          <w:p w14:paraId="3CF8FFB8" w14:textId="77777777" w:rsidR="00210EDB" w:rsidRPr="00FD5EEC" w:rsidRDefault="00210EDB" w:rsidP="00210EDB">
            <w:r w:rsidRPr="00FD5EEC">
              <w:t>Steering pack review after the narrative is formed</w:t>
            </w:r>
          </w:p>
        </w:tc>
      </w:tr>
      <w:tr w:rsidR="00210EDB" w:rsidRPr="00210EDB" w14:paraId="66263495" w14:textId="77777777" w:rsidTr="00177D6D">
        <w:trPr>
          <w:trHeight w:val="1011"/>
        </w:trPr>
        <w:tc>
          <w:tcPr>
            <w:tcW w:w="2478" w:type="dxa"/>
            <w:tcBorders>
              <w:top w:val="single" w:sz="4" w:space="0" w:color="D7DCE3"/>
              <w:left w:val="single" w:sz="4" w:space="0" w:color="D7DCE3"/>
              <w:bottom w:val="single" w:sz="4" w:space="0" w:color="D7DCE3"/>
              <w:right w:val="single" w:sz="4" w:space="0" w:color="D7DCE3"/>
            </w:tcBorders>
            <w:shd w:val="clear" w:color="auto" w:fill="FFFFFF" w:themeFill="background2"/>
            <w:tcMar>
              <w:top w:w="140" w:type="dxa"/>
              <w:left w:w="160" w:type="dxa"/>
              <w:bottom w:w="140" w:type="dxa"/>
              <w:right w:w="160" w:type="dxa"/>
            </w:tcMar>
          </w:tcPr>
          <w:p w14:paraId="6D5C8159" w14:textId="77777777" w:rsidR="00210EDB" w:rsidRPr="00FD5EEC" w:rsidRDefault="00210EDB" w:rsidP="00210EDB">
            <w:r w:rsidRPr="00FD5EEC">
              <w:t>Ownership</w:t>
            </w:r>
          </w:p>
        </w:tc>
        <w:tc>
          <w:tcPr>
            <w:tcW w:w="3265" w:type="dxa"/>
            <w:tcBorders>
              <w:top w:val="single" w:sz="4" w:space="0" w:color="D7DCE3"/>
              <w:left w:val="single" w:sz="4" w:space="0" w:color="D7DCE3"/>
              <w:bottom w:val="single" w:sz="4" w:space="0" w:color="D7DCE3"/>
              <w:right w:val="single" w:sz="4" w:space="0" w:color="D7DCE3"/>
            </w:tcBorders>
            <w:shd w:val="clear" w:color="auto" w:fill="FFFFFF" w:themeFill="background2"/>
            <w:tcMar>
              <w:top w:w="140" w:type="dxa"/>
              <w:left w:w="160" w:type="dxa"/>
              <w:bottom w:w="140" w:type="dxa"/>
              <w:right w:w="160" w:type="dxa"/>
            </w:tcMar>
          </w:tcPr>
          <w:p w14:paraId="10DB22E7" w14:textId="77777777" w:rsidR="00210EDB" w:rsidRPr="00FD5EEC" w:rsidRDefault="00210EDB" w:rsidP="00210EDB">
            <w:r w:rsidRPr="00FD5EEC">
              <w:t>Code owners, repository permissions</w:t>
            </w:r>
          </w:p>
        </w:tc>
        <w:tc>
          <w:tcPr>
            <w:tcW w:w="3265" w:type="dxa"/>
            <w:tcBorders>
              <w:top w:val="single" w:sz="4" w:space="0" w:color="D7DCE3"/>
              <w:left w:val="single" w:sz="4" w:space="0" w:color="D7DCE3"/>
              <w:bottom w:val="single" w:sz="4" w:space="0" w:color="D7DCE3"/>
              <w:right w:val="single" w:sz="4" w:space="0" w:color="D7DCE3"/>
            </w:tcBorders>
            <w:shd w:val="clear" w:color="auto" w:fill="FFFFFF" w:themeFill="background2"/>
            <w:tcMar>
              <w:top w:w="140" w:type="dxa"/>
              <w:left w:w="160" w:type="dxa"/>
              <w:bottom w:w="140" w:type="dxa"/>
              <w:right w:w="160" w:type="dxa"/>
            </w:tcMar>
          </w:tcPr>
          <w:p w14:paraId="41D6BD3A" w14:textId="77777777" w:rsidR="00210EDB" w:rsidRPr="00FD5EEC" w:rsidRDefault="00210EDB" w:rsidP="00210EDB">
            <w:r w:rsidRPr="00FD5EEC">
              <w:t>Often implicit across PM, PMO and sponsor</w:t>
            </w:r>
          </w:p>
        </w:tc>
      </w:tr>
      <w:tr w:rsidR="00210EDB" w:rsidRPr="00210EDB" w14:paraId="69AF013D" w14:textId="77777777" w:rsidTr="00177D6D">
        <w:trPr>
          <w:trHeight w:val="1027"/>
        </w:trPr>
        <w:tc>
          <w:tcPr>
            <w:tcW w:w="2478" w:type="dxa"/>
            <w:tcBorders>
              <w:top w:val="single" w:sz="4" w:space="0" w:color="D7DCE3"/>
              <w:left w:val="single" w:sz="4" w:space="0" w:color="D7DCE3"/>
              <w:bottom w:val="single" w:sz="4" w:space="0" w:color="D7DCE3"/>
              <w:right w:val="single" w:sz="4" w:space="0" w:color="D7DCE3"/>
            </w:tcBorders>
            <w:shd w:val="clear" w:color="auto" w:fill="F7F9FC"/>
            <w:tcMar>
              <w:top w:w="140" w:type="dxa"/>
              <w:left w:w="160" w:type="dxa"/>
              <w:bottom w:w="140" w:type="dxa"/>
              <w:right w:w="160" w:type="dxa"/>
            </w:tcMar>
          </w:tcPr>
          <w:p w14:paraId="62BC2227" w14:textId="77777777" w:rsidR="00210EDB" w:rsidRPr="00FD5EEC" w:rsidRDefault="00210EDB" w:rsidP="00BB4A4B">
            <w:r w:rsidRPr="00FD5EEC">
              <w:t>Audit trail</w:t>
            </w:r>
          </w:p>
        </w:tc>
        <w:tc>
          <w:tcPr>
            <w:tcW w:w="3265" w:type="dxa"/>
            <w:tcBorders>
              <w:top w:val="single" w:sz="4" w:space="0" w:color="D7DCE3"/>
              <w:left w:val="single" w:sz="4" w:space="0" w:color="D7DCE3"/>
              <w:bottom w:val="single" w:sz="4" w:space="0" w:color="D7DCE3"/>
              <w:right w:val="single" w:sz="4" w:space="0" w:color="D7DCE3"/>
            </w:tcBorders>
            <w:shd w:val="clear" w:color="auto" w:fill="F7F9FC"/>
            <w:tcMar>
              <w:top w:w="140" w:type="dxa"/>
              <w:left w:w="160" w:type="dxa"/>
              <w:bottom w:w="140" w:type="dxa"/>
              <w:right w:w="160" w:type="dxa"/>
            </w:tcMar>
          </w:tcPr>
          <w:p w14:paraId="66770CD4" w14:textId="77777777" w:rsidR="00210EDB" w:rsidRPr="00FD5EEC" w:rsidRDefault="00210EDB" w:rsidP="00BB4A4B">
            <w:r w:rsidRPr="00FD5EEC">
              <w:t>Pipeline logs, branch history, security scans</w:t>
            </w:r>
          </w:p>
        </w:tc>
        <w:tc>
          <w:tcPr>
            <w:tcW w:w="3265" w:type="dxa"/>
            <w:tcBorders>
              <w:top w:val="single" w:sz="4" w:space="0" w:color="D7DCE3"/>
              <w:left w:val="single" w:sz="4" w:space="0" w:color="D7DCE3"/>
              <w:bottom w:val="single" w:sz="4" w:space="0" w:color="D7DCE3"/>
              <w:right w:val="single" w:sz="4" w:space="0" w:color="D7DCE3"/>
            </w:tcBorders>
            <w:shd w:val="clear" w:color="auto" w:fill="F7F9FC"/>
            <w:tcMar>
              <w:top w:w="140" w:type="dxa"/>
              <w:left w:w="160" w:type="dxa"/>
              <w:bottom w:w="140" w:type="dxa"/>
              <w:right w:w="160" w:type="dxa"/>
            </w:tcMar>
          </w:tcPr>
          <w:p w14:paraId="003418FB" w14:textId="77777777" w:rsidR="00210EDB" w:rsidRPr="00FD5EEC" w:rsidRDefault="00210EDB" w:rsidP="00BB4A4B">
            <w:r w:rsidRPr="00FD5EEC">
              <w:t>Weak lineage from source data to reported position</w:t>
            </w:r>
          </w:p>
        </w:tc>
      </w:tr>
      <w:tr w:rsidR="00210EDB" w:rsidRPr="00210EDB" w14:paraId="3AF840E4" w14:textId="77777777" w:rsidTr="00177D6D">
        <w:trPr>
          <w:trHeight w:val="1011"/>
        </w:trPr>
        <w:tc>
          <w:tcPr>
            <w:tcW w:w="2478" w:type="dxa"/>
            <w:tcBorders>
              <w:top w:val="single" w:sz="4" w:space="0" w:color="D7DCE3"/>
              <w:left w:val="single" w:sz="4" w:space="0" w:color="D7DCE3"/>
              <w:bottom w:val="single" w:sz="4" w:space="0" w:color="D7DCE3"/>
              <w:right w:val="single" w:sz="4" w:space="0" w:color="D7DCE3"/>
            </w:tcBorders>
            <w:shd w:val="clear" w:color="auto" w:fill="FFFFFF" w:themeFill="background2"/>
            <w:tcMar>
              <w:top w:w="140" w:type="dxa"/>
              <w:left w:w="160" w:type="dxa"/>
              <w:bottom w:w="140" w:type="dxa"/>
              <w:right w:w="160" w:type="dxa"/>
            </w:tcMar>
          </w:tcPr>
          <w:p w14:paraId="79CF79DE" w14:textId="77777777" w:rsidR="00210EDB" w:rsidRPr="00FD5EEC" w:rsidRDefault="00210EDB" w:rsidP="00BB4A4B">
            <w:r w:rsidRPr="00FD5EEC">
              <w:t>Reusable structure</w:t>
            </w:r>
          </w:p>
        </w:tc>
        <w:tc>
          <w:tcPr>
            <w:tcW w:w="3265" w:type="dxa"/>
            <w:tcBorders>
              <w:top w:val="single" w:sz="4" w:space="0" w:color="D7DCE3"/>
              <w:left w:val="single" w:sz="4" w:space="0" w:color="D7DCE3"/>
              <w:bottom w:val="single" w:sz="4" w:space="0" w:color="D7DCE3"/>
              <w:right w:val="single" w:sz="4" w:space="0" w:color="D7DCE3"/>
            </w:tcBorders>
            <w:shd w:val="clear" w:color="auto" w:fill="FFFFFF" w:themeFill="background2"/>
            <w:tcMar>
              <w:top w:w="140" w:type="dxa"/>
              <w:left w:w="160" w:type="dxa"/>
              <w:bottom w:w="140" w:type="dxa"/>
              <w:right w:w="160" w:type="dxa"/>
            </w:tcMar>
          </w:tcPr>
          <w:p w14:paraId="278339C7" w14:textId="77777777" w:rsidR="00210EDB" w:rsidRPr="00FD5EEC" w:rsidRDefault="00210EDB" w:rsidP="00BB4A4B">
            <w:r w:rsidRPr="00FD5EEC">
              <w:t>Schemas, tests, release gates</w:t>
            </w:r>
          </w:p>
        </w:tc>
        <w:tc>
          <w:tcPr>
            <w:tcW w:w="3265" w:type="dxa"/>
            <w:tcBorders>
              <w:top w:val="single" w:sz="4" w:space="0" w:color="D7DCE3"/>
              <w:left w:val="single" w:sz="4" w:space="0" w:color="D7DCE3"/>
              <w:bottom w:val="single" w:sz="4" w:space="0" w:color="D7DCE3"/>
              <w:right w:val="single" w:sz="4" w:space="0" w:color="D7DCE3"/>
            </w:tcBorders>
            <w:shd w:val="clear" w:color="auto" w:fill="FFFFFF" w:themeFill="background2"/>
            <w:tcMar>
              <w:top w:w="140" w:type="dxa"/>
              <w:left w:w="160" w:type="dxa"/>
              <w:bottom w:w="140" w:type="dxa"/>
              <w:right w:w="160" w:type="dxa"/>
            </w:tcMar>
          </w:tcPr>
          <w:p w14:paraId="704C5225" w14:textId="77777777" w:rsidR="00210EDB" w:rsidRPr="00FD5EEC" w:rsidRDefault="00210EDB" w:rsidP="00BB4A4B">
            <w:r w:rsidRPr="00FD5EEC">
              <w:t>Narrative artefacts that are hard to compare</w:t>
            </w:r>
          </w:p>
        </w:tc>
      </w:tr>
      <w:tr w:rsidR="00210EDB" w:rsidRPr="00210EDB" w14:paraId="0937349A" w14:textId="77777777" w:rsidTr="00177D6D">
        <w:trPr>
          <w:trHeight w:val="1442"/>
        </w:trPr>
        <w:tc>
          <w:tcPr>
            <w:tcW w:w="2478" w:type="dxa"/>
            <w:tcBorders>
              <w:top w:val="single" w:sz="4" w:space="0" w:color="D7DCE3"/>
              <w:left w:val="single" w:sz="4" w:space="0" w:color="D7DCE3"/>
              <w:bottom w:val="single" w:sz="4" w:space="0" w:color="D7DCE3"/>
              <w:right w:val="single" w:sz="4" w:space="0" w:color="D7DCE3"/>
            </w:tcBorders>
            <w:shd w:val="clear" w:color="auto" w:fill="F7F9FC"/>
            <w:tcMar>
              <w:top w:w="140" w:type="dxa"/>
              <w:left w:w="160" w:type="dxa"/>
              <w:bottom w:w="140" w:type="dxa"/>
              <w:right w:w="160" w:type="dxa"/>
            </w:tcMar>
          </w:tcPr>
          <w:p w14:paraId="60DE3096" w14:textId="77777777" w:rsidR="00210EDB" w:rsidRPr="00FD5EEC" w:rsidRDefault="00210EDB" w:rsidP="00BB4A4B">
            <w:r w:rsidRPr="00FD5EEC">
              <w:t>AI consequence</w:t>
            </w:r>
          </w:p>
        </w:tc>
        <w:tc>
          <w:tcPr>
            <w:tcW w:w="3265" w:type="dxa"/>
            <w:tcBorders>
              <w:top w:val="single" w:sz="4" w:space="0" w:color="D7DCE3"/>
              <w:left w:val="single" w:sz="4" w:space="0" w:color="D7DCE3"/>
              <w:bottom w:val="single" w:sz="4" w:space="0" w:color="D7DCE3"/>
              <w:right w:val="single" w:sz="4" w:space="0" w:color="D7DCE3"/>
            </w:tcBorders>
            <w:shd w:val="clear" w:color="auto" w:fill="F7F9FC"/>
            <w:tcMar>
              <w:top w:w="140" w:type="dxa"/>
              <w:left w:w="160" w:type="dxa"/>
              <w:bottom w:w="140" w:type="dxa"/>
              <w:right w:w="160" w:type="dxa"/>
            </w:tcMar>
          </w:tcPr>
          <w:p w14:paraId="46FAC874" w14:textId="77777777" w:rsidR="00210EDB" w:rsidRPr="00FD5EEC" w:rsidRDefault="00210EDB" w:rsidP="00BB4A4B">
            <w:r w:rsidRPr="00FD5EEC">
              <w:t>AI lands inside a controlled system</w:t>
            </w:r>
          </w:p>
        </w:tc>
        <w:tc>
          <w:tcPr>
            <w:tcW w:w="3265" w:type="dxa"/>
            <w:tcBorders>
              <w:top w:val="single" w:sz="4" w:space="0" w:color="D7DCE3"/>
              <w:left w:val="single" w:sz="4" w:space="0" w:color="D7DCE3"/>
              <w:bottom w:val="single" w:sz="4" w:space="0" w:color="D7DCE3"/>
              <w:right w:val="single" w:sz="4" w:space="0" w:color="D7DCE3"/>
            </w:tcBorders>
            <w:shd w:val="clear" w:color="auto" w:fill="F7F9FC"/>
            <w:tcMar>
              <w:top w:w="140" w:type="dxa"/>
              <w:left w:w="160" w:type="dxa"/>
              <w:bottom w:w="140" w:type="dxa"/>
              <w:right w:w="160" w:type="dxa"/>
            </w:tcMar>
          </w:tcPr>
          <w:p w14:paraId="1DE8DB71" w14:textId="77777777" w:rsidR="00210EDB" w:rsidRPr="00FD5EEC" w:rsidRDefault="00210EDB" w:rsidP="00BB4A4B">
            <w:r w:rsidRPr="00FD5EEC">
              <w:t>AI speeds up documents without creating reusable intelligence</w:t>
            </w:r>
          </w:p>
        </w:tc>
      </w:tr>
    </w:tbl>
    <w:p w14:paraId="25E9B46A" w14:textId="591288FA" w:rsidR="00210EDB" w:rsidRPr="00FD5EEC" w:rsidRDefault="00A87CFA" w:rsidP="00210EDB">
      <w:pPr>
        <w:rPr>
          <w:rStyle w:val="SubtleEmphasis"/>
        </w:rPr>
      </w:pPr>
      <w:r w:rsidRPr="00FD5EEC">
        <w:rPr>
          <w:rStyle w:val="SubtleEmphasis"/>
        </w:rPr>
        <w:br/>
      </w:r>
      <w:r w:rsidR="00210EDB" w:rsidRPr="00FD5EEC">
        <w:rPr>
          <w:rStyle w:val="SubtleEmphasis"/>
        </w:rPr>
        <w:t>Figure 5. Software engineering already has a substrate for AI; programme delivery often has a thinner one.</w:t>
      </w:r>
    </w:p>
    <w:p w14:paraId="11BB1064" w14:textId="77777777" w:rsidR="00210EDB" w:rsidRPr="00FD5EEC" w:rsidRDefault="00210EDB" w:rsidP="00210EDB">
      <w:r w:rsidRPr="00FD5EEC">
        <w:t xml:space="preserve">Financial-services engineering shows the pattern. J.P. Morgan integrates AI into code assistance, peer code review and internal LLM workflows, with reported efficiency improvements of 10–20%. JPMorgan’s LLM Suite went from zero to 200,000 users in eight months and is being extended into internal data access and workflow agents. Programme delivery, by contrast, still sits much closer to the horizontal-copilot model: powerful tools, thin control system. The point is not to copy engineering — </w:t>
      </w:r>
      <w:r w:rsidRPr="00FD5EEC">
        <w:lastRenderedPageBreak/>
        <w:t>delivery work is not code — but to recognise that without an equivalent operating system, AI in delivery will keep producing personal productivity without compounding into intelligence.</w:t>
      </w:r>
    </w:p>
    <w:p w14:paraId="5070838D" w14:textId="77777777" w:rsidR="00210EDB" w:rsidRPr="00FD5EEC" w:rsidRDefault="00210EDB" w:rsidP="00210EDB"/>
    <w:tbl>
      <w:tblPr>
        <w:tblW w:w="8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0"/>
      </w:tblGrid>
      <w:tr w:rsidR="00210EDB" w:rsidRPr="00210EDB" w14:paraId="6FEA54C2" w14:textId="77777777" w:rsidTr="00177D6D">
        <w:trPr>
          <w:trHeight w:val="2531"/>
        </w:trPr>
        <w:tc>
          <w:tcPr>
            <w:tcW w:w="8990" w:type="dxa"/>
            <w:tcBorders>
              <w:top w:val="none" w:sz="0" w:space="0" w:color="FFFFFF"/>
              <w:left w:val="single" w:sz="24" w:space="0" w:color="0065FC"/>
              <w:bottom w:val="none" w:sz="0" w:space="0" w:color="FFFFFF"/>
              <w:right w:val="none" w:sz="0" w:space="0" w:color="FFFFFF"/>
            </w:tcBorders>
            <w:shd w:val="clear" w:color="auto" w:fill="E6F0FF"/>
            <w:tcMar>
              <w:top w:w="240" w:type="dxa"/>
              <w:left w:w="280" w:type="dxa"/>
              <w:bottom w:w="240" w:type="dxa"/>
              <w:right w:w="280" w:type="dxa"/>
            </w:tcMar>
          </w:tcPr>
          <w:p w14:paraId="07738D0C" w14:textId="77777777" w:rsidR="00210EDB" w:rsidRPr="00FD5EEC" w:rsidRDefault="00210EDB" w:rsidP="00210EDB">
            <w:r w:rsidRPr="00FD5EEC">
              <w:rPr>
                <w:b/>
              </w:rPr>
              <w:t>What this means for a delivery leader</w:t>
            </w:r>
          </w:p>
          <w:p w14:paraId="76F6AA25" w14:textId="77777777" w:rsidR="00210EDB" w:rsidRPr="00FD5EEC" w:rsidRDefault="00210EDB" w:rsidP="00210EDB">
            <w:r w:rsidRPr="00FD5EEC">
              <w:t>Ask one question of your AI rollout: who would I call if it produced a wrong answer that ended up in a steering pack? If the answer is unclear — no named owner, no log of inputs used, no review trail — the rollout is still in the copilot stage. Engineering teams have an answer to this for every line of code AI suggests.</w:t>
            </w:r>
          </w:p>
        </w:tc>
      </w:tr>
    </w:tbl>
    <w:p w14:paraId="4AEA4660" w14:textId="77777777" w:rsidR="00DE1763" w:rsidRPr="00FD5EEC" w:rsidRDefault="00DE1763" w:rsidP="00210EDB">
      <w:pPr>
        <w:rPr>
          <w:b/>
        </w:rPr>
      </w:pPr>
    </w:p>
    <w:p w14:paraId="0BC2987B" w14:textId="5FAEAB30" w:rsidR="00210EDB" w:rsidRPr="00FD5EEC" w:rsidRDefault="00210EDB" w:rsidP="00EF0DFE">
      <w:pPr>
        <w:pStyle w:val="Heading1"/>
        <w:rPr>
          <w:rFonts w:hint="eastAsia"/>
        </w:rPr>
      </w:pPr>
      <w:bookmarkStart w:id="11" w:name="_Toc231422554"/>
      <w:r w:rsidRPr="00FD5EEC">
        <w:t>6. What leading financial institutions reveal</w:t>
      </w:r>
      <w:bookmarkEnd w:id="11"/>
    </w:p>
    <w:p w14:paraId="43605FDB" w14:textId="77777777" w:rsidR="00210EDB" w:rsidRPr="00FD5EEC" w:rsidRDefault="00210EDB" w:rsidP="00210EDB">
      <w:r w:rsidRPr="00FD5EEC">
        <w:t>The strongest public examples in financial services do not look like generic AI deployment. They look like operating-model redesign. The direction of travel is not simply more prompts — it is secure platforms, workflow integration and controls that connect AI output into existing systems.</w:t>
      </w:r>
    </w:p>
    <w:p w14:paraId="634A1EBC" w14:textId="77777777" w:rsidR="00210EDB" w:rsidRPr="00FD5EEC" w:rsidRDefault="00210EDB" w:rsidP="00210EDB">
      <w:r w:rsidRPr="00FD5EEC">
        <w:rPr>
          <w:b/>
        </w:rPr>
        <w:t xml:space="preserve">Morgan Stanley </w:t>
      </w:r>
      <w:r w:rsidRPr="00FD5EEC">
        <w:t>rolled out AI Assistant in September 2023 and launched Debrief in 2024. Assistant reached 98% adoption across Financial Advisor teams; Debrief is positioned not as a note-taker but as a layer sitting between colleagues and execution, CRM, reporting and risk tools. The important feature is the movement from conversation to reviewed workflow record.</w:t>
      </w:r>
    </w:p>
    <w:p w14:paraId="2D8A0BC2" w14:textId="77777777" w:rsidR="00210EDB" w:rsidRPr="00FD5EEC" w:rsidRDefault="00210EDB" w:rsidP="00210EDB">
      <w:r w:rsidRPr="00FD5EEC">
        <w:rPr>
          <w:b/>
        </w:rPr>
        <w:t xml:space="preserve">Lloyds Banking Group </w:t>
      </w:r>
      <w:r w:rsidRPr="00FD5EEC">
        <w:t xml:space="preserve">is more explicit about the operating model: a dedicated AI Centre of Excellence, a new AI operating model, a cross-functional GenAI Control Tower, structured upskilling and a Data &amp; AI Summer School with over 250 sessions. </w:t>
      </w:r>
      <w:r w:rsidRPr="00FD5EEC">
        <w:lastRenderedPageBreak/>
        <w:t>By October 2025, Lloyds reported nearly 30,000 Copilot licences rolled out with 93% active use. This is centrally governed scaling, not random bottom-up adoption.</w:t>
      </w:r>
    </w:p>
    <w:p w14:paraId="23F1D5D0" w14:textId="77777777" w:rsidR="00210EDB" w:rsidRPr="00FD5EEC" w:rsidRDefault="00210EDB" w:rsidP="00210EDB">
      <w:r w:rsidRPr="00FD5EEC">
        <w:rPr>
          <w:b/>
        </w:rPr>
        <w:t xml:space="preserve">JPMorgan Chase </w:t>
      </w:r>
      <w:r w:rsidRPr="00FD5EEC">
        <w:t>provides a third pattern. LLM Suite reached 200,000 users in eight months and is being extended into internal-data integration and workflow agents. Combined with domain-specific developer tools, this is exactly the secure-platform-plus-workflow combination programme delivery needs to move beyond Stage 1.</w:t>
      </w:r>
    </w:p>
    <w:p w14:paraId="0FA45938" w14:textId="77777777" w:rsidR="00210EDB" w:rsidRPr="00FD5EEC" w:rsidRDefault="00210EDB" w:rsidP="00210EDB">
      <w:r w:rsidRPr="00FD5EEC">
        <w:t>The regulatory lens reinforces the pattern. The 2024 Bank of England / FCA survey found 75% of UK financial firms using AI, but flagged concentration risk: one third of use cases are third-party implementations, the top three providers account for 44% of model providers cited, and 46% of firms admit only partial understanding of the AI they use. Any delivery-intelligence strategy must be designed with governance, provenance and portability in mind from the outset.</w:t>
      </w:r>
    </w:p>
    <w:p w14:paraId="2EFF65DA" w14:textId="77777777" w:rsidR="00210EDB" w:rsidRPr="00FD5EEC" w:rsidRDefault="00210EDB" w:rsidP="00210EDB"/>
    <w:tbl>
      <w:tblPr>
        <w:tblW w:w="900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02"/>
        <w:gridCol w:w="4502"/>
      </w:tblGrid>
      <w:tr w:rsidR="00210EDB" w:rsidRPr="00210EDB" w14:paraId="6F539D1E" w14:textId="77777777" w:rsidTr="00177D6D">
        <w:trPr>
          <w:trHeight w:val="2663"/>
        </w:trPr>
        <w:tc>
          <w:tcPr>
            <w:tcW w:w="4502" w:type="dxa"/>
            <w:tcBorders>
              <w:top w:val="none" w:sz="0" w:space="0" w:color="FFFFFF"/>
              <w:left w:val="none" w:sz="0" w:space="0" w:color="FFFFFF"/>
              <w:bottom w:val="none" w:sz="0" w:space="0" w:color="FFFFFF"/>
              <w:right w:val="none" w:sz="0" w:space="0" w:color="FFFFFF"/>
            </w:tcBorders>
            <w:shd w:val="clear" w:color="auto" w:fill="0065FC" w:themeFill="accent1"/>
            <w:tcMar>
              <w:top w:w="320" w:type="dxa"/>
              <w:left w:w="320" w:type="dxa"/>
              <w:bottom w:w="320" w:type="dxa"/>
              <w:right w:w="320" w:type="dxa"/>
            </w:tcMar>
          </w:tcPr>
          <w:p w14:paraId="16F331FE" w14:textId="77777777" w:rsidR="00210EDB" w:rsidRPr="00FD5EEC" w:rsidRDefault="00210EDB" w:rsidP="00BB4A4B">
            <w:pPr>
              <w:pStyle w:val="Title"/>
              <w:rPr>
                <w:rFonts w:hint="eastAsia"/>
                <w:color w:val="FFFFFF" w:themeColor="background2"/>
              </w:rPr>
            </w:pPr>
            <w:r w:rsidRPr="00FD5EEC">
              <w:rPr>
                <w:color w:val="FFFFFF" w:themeColor="background2"/>
              </w:rPr>
              <w:t>98%</w:t>
            </w:r>
          </w:p>
          <w:p w14:paraId="0AD18FEE" w14:textId="77777777" w:rsidR="00210EDB" w:rsidRPr="00FD5EEC" w:rsidRDefault="00210EDB" w:rsidP="00BB4A4B">
            <w:pPr>
              <w:rPr>
                <w:color w:val="FFFFFF" w:themeColor="background2"/>
              </w:rPr>
            </w:pPr>
            <w:r w:rsidRPr="00FD5EEC">
              <w:rPr>
                <w:color w:val="FFFFFF" w:themeColor="background2"/>
              </w:rPr>
              <w:t>adoption of Morgan Stanley’s AI Assistant across Financial Advisor teams — embedded into workflow, not bolted on</w:t>
            </w:r>
          </w:p>
        </w:tc>
        <w:tc>
          <w:tcPr>
            <w:tcW w:w="4502" w:type="dxa"/>
            <w:tcBorders>
              <w:top w:val="none" w:sz="0" w:space="0" w:color="FFFFFF"/>
              <w:left w:val="none" w:sz="0" w:space="0" w:color="FFFFFF"/>
              <w:bottom w:val="none" w:sz="0" w:space="0" w:color="FFFFFF"/>
              <w:right w:val="none" w:sz="0" w:space="0" w:color="FFFFFF"/>
            </w:tcBorders>
            <w:shd w:val="clear" w:color="auto" w:fill="E6D443" w:themeFill="accent4"/>
            <w:tcMar>
              <w:top w:w="320" w:type="dxa"/>
              <w:left w:w="320" w:type="dxa"/>
              <w:bottom w:w="320" w:type="dxa"/>
              <w:right w:w="320" w:type="dxa"/>
            </w:tcMar>
          </w:tcPr>
          <w:p w14:paraId="248B48D9" w14:textId="77777777" w:rsidR="00210EDB" w:rsidRPr="00FD5EEC" w:rsidRDefault="00210EDB" w:rsidP="00BB4A4B">
            <w:pPr>
              <w:pStyle w:val="Title"/>
              <w:rPr>
                <w:rFonts w:hint="eastAsia"/>
                <w:color w:val="000000" w:themeColor="text1"/>
              </w:rPr>
            </w:pPr>
            <w:r w:rsidRPr="00FD5EEC">
              <w:rPr>
                <w:color w:val="000000" w:themeColor="text1"/>
              </w:rPr>
              <w:t>46%</w:t>
            </w:r>
          </w:p>
          <w:p w14:paraId="0E7666D4" w14:textId="77777777" w:rsidR="00210EDB" w:rsidRPr="00FD5EEC" w:rsidRDefault="00210EDB" w:rsidP="00210EDB">
            <w:r w:rsidRPr="00FD5EEC">
              <w:rPr>
                <w:color w:val="000000" w:themeColor="text1"/>
              </w:rPr>
              <w:t>of UK financial firms admit only partial understanding of the AI they use (Bank of England / FCA, 2024)</w:t>
            </w:r>
          </w:p>
        </w:tc>
      </w:tr>
    </w:tbl>
    <w:p w14:paraId="75BF7A63" w14:textId="77777777" w:rsidR="00210EDB" w:rsidRPr="00FD5EEC" w:rsidRDefault="00210EDB" w:rsidP="00210EDB"/>
    <w:tbl>
      <w:tblPr>
        <w:tblW w:w="8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0"/>
      </w:tblGrid>
      <w:tr w:rsidR="00210EDB" w:rsidRPr="00210EDB" w14:paraId="4F22BEDF" w14:textId="77777777" w:rsidTr="00177D6D">
        <w:trPr>
          <w:trHeight w:val="1631"/>
        </w:trPr>
        <w:tc>
          <w:tcPr>
            <w:tcW w:w="8990" w:type="dxa"/>
            <w:tcBorders>
              <w:top w:val="none" w:sz="0" w:space="0" w:color="FFFFFF"/>
              <w:left w:val="single" w:sz="24" w:space="0" w:color="E6D343"/>
              <w:bottom w:val="none" w:sz="0" w:space="0" w:color="FFFFFF"/>
              <w:right w:val="none" w:sz="0" w:space="0" w:color="FFFFFF"/>
            </w:tcBorders>
            <w:shd w:val="clear" w:color="auto" w:fill="FBF4C2"/>
            <w:tcMar>
              <w:top w:w="240" w:type="dxa"/>
              <w:left w:w="280" w:type="dxa"/>
              <w:bottom w:w="240" w:type="dxa"/>
              <w:right w:w="280" w:type="dxa"/>
            </w:tcMar>
          </w:tcPr>
          <w:p w14:paraId="4DC716C9" w14:textId="77777777" w:rsidR="00210EDB" w:rsidRPr="00FD5EEC" w:rsidRDefault="00210EDB" w:rsidP="00210EDB">
            <w:r w:rsidRPr="00FD5EEC">
              <w:rPr>
                <w:b/>
              </w:rPr>
              <w:t>The pattern to notice</w:t>
            </w:r>
          </w:p>
          <w:p w14:paraId="69C1E95F" w14:textId="742BAB71" w:rsidR="00210EDB" w:rsidRPr="00FD5EEC" w:rsidRDefault="00210EDB" w:rsidP="00210EDB">
            <w:r w:rsidRPr="00FD5EEC">
              <w:t xml:space="preserve">The strongest examples are not </w:t>
            </w:r>
            <w:r w:rsidR="004136EF">
              <w:rPr>
                <w:lang w:val="en-GB"/>
              </w:rPr>
              <w:t>‘</w:t>
            </w:r>
            <w:r w:rsidRPr="00FD5EEC">
              <w:t>AI everywhere</w:t>
            </w:r>
            <w:r w:rsidR="004136EF">
              <w:rPr>
                <w:lang w:val="en-GB"/>
              </w:rPr>
              <w:t>’</w:t>
            </w:r>
            <w:r w:rsidRPr="00FD5EEC">
              <w:t xml:space="preserve"> stories. They are </w:t>
            </w:r>
            <w:r w:rsidR="0093549D">
              <w:rPr>
                <w:lang w:val="en-GB"/>
              </w:rPr>
              <w:t>‘</w:t>
            </w:r>
            <w:r w:rsidRPr="00FD5EEC">
              <w:t>AI inside a governed workflow</w:t>
            </w:r>
            <w:r w:rsidR="0093549D">
              <w:rPr>
                <w:lang w:val="en-GB"/>
              </w:rPr>
              <w:t>’</w:t>
            </w:r>
            <w:r w:rsidRPr="00FD5EEC">
              <w:t xml:space="preserve"> stories. That is the distinction programme delivery should copy.</w:t>
            </w:r>
          </w:p>
        </w:tc>
      </w:tr>
    </w:tbl>
    <w:p w14:paraId="76DB5327" w14:textId="77777777" w:rsidR="00DE1763" w:rsidRPr="00FD5EEC" w:rsidRDefault="00DE1763" w:rsidP="00210EDB">
      <w:pPr>
        <w:rPr>
          <w:b/>
        </w:rPr>
      </w:pPr>
    </w:p>
    <w:p w14:paraId="0301574B" w14:textId="06BF603A" w:rsidR="00210EDB" w:rsidRPr="00FD5EEC" w:rsidRDefault="00210EDB" w:rsidP="00EF0DFE">
      <w:pPr>
        <w:pStyle w:val="Heading1"/>
        <w:rPr>
          <w:rFonts w:hint="eastAsia"/>
        </w:rPr>
      </w:pPr>
      <w:bookmarkStart w:id="12" w:name="_Toc231422555"/>
      <w:r w:rsidRPr="00FD5EEC">
        <w:lastRenderedPageBreak/>
        <w:t>7. Limits, counter-arguments and regression risks</w:t>
      </w:r>
      <w:bookmarkEnd w:id="12"/>
    </w:p>
    <w:p w14:paraId="657E8966" w14:textId="77777777" w:rsidR="00210EDB" w:rsidRPr="00FD5EEC" w:rsidRDefault="00210EDB" w:rsidP="00210EDB">
      <w:r w:rsidRPr="00FD5EEC">
        <w:t>A credible position should be able to state its limits. Stage 3 delivery intelligence is not yet a mature, widely proven capability across the market. Public evidence is strongest in knowledge work, software engineering and customer operations. Delivery-specific evidence is still emerging. That does not weaken the argument; it clarifies it: most organisations should be more honest about how early they are.</w:t>
      </w:r>
    </w:p>
    <w:p w14:paraId="4269EDE4" w14:textId="77777777" w:rsidR="00210EDB" w:rsidRPr="00FD5EEC" w:rsidRDefault="00210EDB" w:rsidP="00210EDB">
      <w:r w:rsidRPr="00FD5EEC">
        <w:rPr>
          <w:b/>
        </w:rPr>
        <w:t xml:space="preserve">Is Stage 3 actually achievable? </w:t>
      </w:r>
      <w:r w:rsidRPr="00FD5EEC">
        <w:t>Honestly, both achievable and aspirational. Most cited examples sit between Stage 1 and Stage 2. The argument is not that Stage 3 is imminent — it is that without Stage 2 foundations, Stage 3 is structurally unreachable, and most current investment patterns are not building those foundations.</w:t>
      </w:r>
    </w:p>
    <w:p w14:paraId="74D81A84" w14:textId="77777777" w:rsidR="00210EDB" w:rsidRPr="00FD5EEC" w:rsidRDefault="00210EDB" w:rsidP="00210EDB">
      <w:r w:rsidRPr="00FD5EEC">
        <w:rPr>
          <w:b/>
        </w:rPr>
        <w:t xml:space="preserve">Does structured taxonomy slow delivery down? </w:t>
      </w:r>
      <w:r w:rsidRPr="00FD5EEC">
        <w:t>It can, if introduced badly. Heavy upfront ontology programmes that try to standardise everything before producing anything tend to fail. The recommended sequence — one domain, tight scope, parallel data workstream, iterate — is designed to avoid that. The question is not whether to add structure; it is whether structure is added by design or extracted painfully after the fact.</w:t>
      </w:r>
    </w:p>
    <w:p w14:paraId="217E403A" w14:textId="77777777" w:rsidR="00210EDB" w:rsidRPr="00FD5EEC" w:rsidRDefault="00210EDB" w:rsidP="00210EDB">
      <w:r w:rsidRPr="00FD5EEC">
        <w:rPr>
          <w:b/>
        </w:rPr>
        <w:t xml:space="preserve">Is AI being oversold? Should firms wait? </w:t>
      </w:r>
      <w:r w:rsidRPr="00FD5EEC">
        <w:t>Waiting is not a neutral choice. Shadow-AI evidence is that employees bring their own tools anyway; deferring the operating-model question just guarantees adoption without governance. Some current use cases are genuinely productive, some are theatre, and the discipline of distinguishing them is itself a Stage 2 capability.</w:t>
      </w:r>
    </w:p>
    <w:p w14:paraId="0372B7BB" w14:textId="77777777" w:rsidR="00210EDB" w:rsidRPr="00FD5EEC" w:rsidRDefault="00210EDB" w:rsidP="00EF0DFE">
      <w:pPr>
        <w:pStyle w:val="Heading2"/>
        <w:rPr>
          <w:rFonts w:hint="eastAsia"/>
        </w:rPr>
      </w:pPr>
      <w:bookmarkStart w:id="13" w:name="_Toc231422556"/>
      <w:r w:rsidRPr="00FD5EEC">
        <w:t>7a. Practitioner lens — when Stage 2 collapses back to Stage 1</w:t>
      </w:r>
      <w:bookmarkEnd w:id="13"/>
    </w:p>
    <w:p w14:paraId="62FF3F6C" w14:textId="27CD2997" w:rsidR="00210EDB" w:rsidRPr="0093549D" w:rsidRDefault="00210EDB" w:rsidP="00210EDB">
      <w:pPr>
        <w:rPr>
          <w:rStyle w:val="SubtleEmphasis"/>
          <w:lang w:val="en-GB"/>
        </w:rPr>
      </w:pPr>
      <w:r w:rsidRPr="00FD5EEC">
        <w:rPr>
          <w:rStyle w:val="SubtleEmphasis"/>
        </w:rPr>
        <w:t xml:space="preserve">By Sahar Khan, </w:t>
      </w:r>
      <w:r w:rsidR="0093549D" w:rsidRPr="0093549D">
        <w:rPr>
          <w:i/>
          <w:iCs/>
          <w:color w:val="404040" w:themeColor="text1" w:themeTint="BF"/>
          <w:lang w:val="en-GB"/>
        </w:rPr>
        <w:t>Transformation and AI expert in financial services</w:t>
      </w:r>
    </w:p>
    <w:p w14:paraId="7530FECD" w14:textId="77777777" w:rsidR="00210EDB" w:rsidRPr="00FD5EEC" w:rsidRDefault="00210EDB" w:rsidP="00210EDB">
      <w:r w:rsidRPr="00FD5EEC">
        <w:t>The maturity model is presented as a forward progression. In practice, programmes regress. Stage 2 gains are more fragile than they look, and the conditions that collapse them are predictable. Naming them is the basis for designing against them.</w:t>
      </w:r>
    </w:p>
    <w:p w14:paraId="73AC063D" w14:textId="77777777" w:rsidR="00210EDB" w:rsidRPr="00FD5EEC" w:rsidRDefault="00210EDB" w:rsidP="00210EDB">
      <w:r w:rsidRPr="00FD5EEC">
        <w:rPr>
          <w:b/>
        </w:rPr>
        <w:lastRenderedPageBreak/>
        <w:t xml:space="preserve">Sponsor or leadership change. </w:t>
      </w:r>
      <w:r w:rsidRPr="00FD5EEC">
        <w:t>The most common cause of regression. A new SRO arrives with their own reporting preferences and impatience with governance that feels bureaucratic before its value is visible. Within two or three reporting cycles, the taxonomy bends, tagging becomes inconsistent, and the data layer degrades. The mitigation: make the Stage 2 design legible to incoming leaders from day one — not as rules, but as a system already producing value they can point to. If the first thing a new sponsor sees is compliance overhead, they will rationalise it away. If the first thing they see is a portfolio risk report that caught something, they will protect it.</w:t>
      </w:r>
    </w:p>
    <w:p w14:paraId="29785776" w14:textId="77777777" w:rsidR="00210EDB" w:rsidRPr="00FD5EEC" w:rsidRDefault="00210EDB" w:rsidP="00210EDB">
      <w:r w:rsidRPr="00FD5EEC">
        <w:rPr>
          <w:b/>
        </w:rPr>
        <w:t xml:space="preserve">Tooling mandates from the centre. </w:t>
      </w:r>
      <w:r w:rsidRPr="00FD5EEC">
        <w:t>Organisations frequently impose enterprise tool changes — a new PPM platform, a consolidated Copilot licence, a mandatory data-warehouse migration — without accounting for the Stage 2 infrastructure that sat on the previous tool. Taxonomies, metadata fields and workflow integrations do not migrate automatically. Six months of governed RAID work can vanish in a quarter. The mitigation: treat the Stage 2 substrate as a programme asset, documented separately from any specific tool, with an explicit migration plan that is part of any tooling change request.</w:t>
      </w:r>
    </w:p>
    <w:p w14:paraId="08C002BE" w14:textId="77777777" w:rsidR="00210EDB" w:rsidRPr="00FD5EEC" w:rsidRDefault="00210EDB" w:rsidP="00210EDB">
      <w:r w:rsidRPr="00FD5EEC">
        <w:rPr>
          <w:b/>
        </w:rPr>
        <w:t xml:space="preserve">Delivery pressure. </w:t>
      </w:r>
      <w:r w:rsidRPr="00FD5EEC">
        <w:t>When a programme hits a major release, regulatory deadline or go-live, Stage 2 discipline is the first casualty. Teams revert to whatever produces output fastest — unstructured AI use, manual workarounds, governance artefacts produced outside the system of record. This is understandable, but it is also the moment when high-quality delivery data would be most valuable for the postmortem. The mitigation: design the minimum viable compliance path — the three or four fields that matter most — to require less effort than the workaround, not more. If the structured path is slower under pressure, teams will abandon it under pressure.</w:t>
      </w:r>
    </w:p>
    <w:p w14:paraId="4935E154" w14:textId="3BD6C9B7" w:rsidR="00210EDB" w:rsidRPr="00FD5EEC" w:rsidRDefault="00BA083A">
      <w:pPr>
        <w:spacing w:line="259" w:lineRule="auto"/>
      </w:pPr>
      <w:r>
        <w:br w:type="page"/>
      </w:r>
    </w:p>
    <w:p w14:paraId="3A054FF7" w14:textId="77777777" w:rsidR="00210EDB" w:rsidRPr="00FD5EEC" w:rsidRDefault="00210EDB" w:rsidP="00210EDB"/>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6"/>
      </w:tblGrid>
      <w:tr w:rsidR="00210EDB" w:rsidRPr="00210EDB" w14:paraId="60F8511C" w14:textId="77777777" w:rsidTr="00BA083A">
        <w:trPr>
          <w:trHeight w:val="3640"/>
        </w:trPr>
        <w:tc>
          <w:tcPr>
            <w:tcW w:w="8986" w:type="dxa"/>
            <w:tcBorders>
              <w:top w:val="none" w:sz="0" w:space="0" w:color="FFFFFF"/>
              <w:left w:val="single" w:sz="24" w:space="0" w:color="43E6A2"/>
              <w:bottom w:val="none" w:sz="0" w:space="0" w:color="FFFFFF"/>
              <w:right w:val="none" w:sz="0" w:space="0" w:color="FFFFFF"/>
            </w:tcBorders>
            <w:shd w:val="clear" w:color="auto" w:fill="D8F6E7"/>
            <w:tcMar>
              <w:top w:w="240" w:type="dxa"/>
              <w:left w:w="280" w:type="dxa"/>
              <w:bottom w:w="240" w:type="dxa"/>
              <w:right w:w="280" w:type="dxa"/>
            </w:tcMar>
          </w:tcPr>
          <w:p w14:paraId="33123719" w14:textId="77777777" w:rsidR="00210EDB" w:rsidRPr="00FD5EEC" w:rsidRDefault="00210EDB" w:rsidP="00210EDB">
            <w:r w:rsidRPr="00FD5EEC">
              <w:rPr>
                <w:b/>
              </w:rPr>
              <w:t>Three conditions for Stage 2 resilience</w:t>
            </w:r>
          </w:p>
          <w:p w14:paraId="5CD87CEB" w14:textId="77777777" w:rsidR="00210EDB" w:rsidRPr="00FD5EEC" w:rsidRDefault="00210EDB" w:rsidP="00210EDB">
            <w:r w:rsidRPr="00FD5EEC">
              <w:t>1. A named data owner senior enough to defend the design when it is challenged.</w:t>
            </w:r>
          </w:p>
          <w:p w14:paraId="783D1E1B" w14:textId="77777777" w:rsidR="00210EDB" w:rsidRPr="00FD5EEC" w:rsidRDefault="00210EDB" w:rsidP="00210EDB">
            <w:r w:rsidRPr="00FD5EEC">
              <w:t>2. At least one leadership-valued output that depends on the structured data — so that regression becomes visibly costly.</w:t>
            </w:r>
          </w:p>
          <w:p w14:paraId="5BB8F0BC" w14:textId="77777777" w:rsidR="00210EDB" w:rsidRPr="00FD5EEC" w:rsidRDefault="00210EDB" w:rsidP="00210EDB">
            <w:r w:rsidRPr="00FD5EEC">
              <w:t>3. A design documented as an organisational asset, not held in one person’s head or one team’s shared drive.</w:t>
            </w:r>
          </w:p>
        </w:tc>
      </w:tr>
    </w:tbl>
    <w:p w14:paraId="314C7FD5" w14:textId="77777777" w:rsidR="00210EDB" w:rsidRPr="00FD5EEC" w:rsidRDefault="00210EDB" w:rsidP="00210EDB"/>
    <w:p w14:paraId="5ED0CDFE" w14:textId="77777777" w:rsidR="00210EDB" w:rsidRPr="00FD5EEC" w:rsidRDefault="00210EDB" w:rsidP="00210EDB">
      <w:pPr>
        <w:rPr>
          <w:rStyle w:val="SubtleEmphasis"/>
        </w:rPr>
      </w:pPr>
      <w:r w:rsidRPr="00FD5EEC">
        <w:rPr>
          <w:rStyle w:val="SubtleEmphasis"/>
        </w:rPr>
        <w:t>Stage 2 is fragile until it becomes infrastructure. The transition from fragile to infrastructure is the hardest and least-discussed part of the maturity journey.</w:t>
      </w:r>
    </w:p>
    <w:p w14:paraId="0B7B6B48" w14:textId="77777777" w:rsidR="00210EDB" w:rsidRPr="00FD5EEC" w:rsidRDefault="00210EDB" w:rsidP="00EF0DFE">
      <w:pPr>
        <w:pStyle w:val="Heading1"/>
        <w:rPr>
          <w:rFonts w:hint="eastAsia"/>
        </w:rPr>
      </w:pPr>
      <w:bookmarkStart w:id="14" w:name="_Toc231422557"/>
      <w:r w:rsidRPr="00FD5EEC">
        <w:t>8. A 24-month path from personal AI to delivery intelligence</w:t>
      </w:r>
      <w:bookmarkEnd w:id="14"/>
    </w:p>
    <w:p w14:paraId="18CF731D" w14:textId="38A28BFE" w:rsidR="00210EDB" w:rsidRDefault="00210EDB" w:rsidP="00210EDB">
      <w:pPr>
        <w:rPr>
          <w:lang w:val="en-GB"/>
        </w:rPr>
      </w:pPr>
      <w:r w:rsidRPr="00FD5EEC">
        <w:t>The next 12 to 24 months should not be framed as a choice between buying copilots and building agents. The more important choice is whether the organisation stays in Stage 1 or deliberately builds the bridge to Stages 2 and 3. The path below is the sequence a serious delivery leader can use to avoid accumulating Delivery Intelligence Debt while still capturing near-term AI value.</w:t>
      </w:r>
    </w:p>
    <w:p w14:paraId="4366628E" w14:textId="7A551903" w:rsidR="00F04904" w:rsidRPr="00FD5EEC" w:rsidRDefault="00F04904" w:rsidP="006B791F">
      <w:pPr>
        <w:pStyle w:val="Heading2"/>
        <w:rPr>
          <w:rFonts w:hint="eastAsia"/>
        </w:rPr>
      </w:pPr>
      <w:bookmarkStart w:id="15" w:name="_Toc231422558"/>
      <w:r w:rsidRPr="00F04904">
        <w:t>A 24-month path from personal AI to delivery intelligence</w:t>
      </w:r>
      <w:bookmarkEnd w:id="15"/>
    </w:p>
    <w:p w14:paraId="2B708157" w14:textId="3092ABD2" w:rsidR="00F04904" w:rsidRDefault="006B791F" w:rsidP="00210EDB">
      <w:r w:rsidRPr="006B791F">
        <w:t>Three phases, each with a single sequencing principle.</w:t>
      </w:r>
    </w:p>
    <w:p w14:paraId="50D4C79E" w14:textId="77777777" w:rsidR="00BC54A4" w:rsidRDefault="00BC54A4">
      <w:pPr>
        <w:spacing w:line="259" w:lineRule="auto"/>
      </w:pPr>
      <w:r>
        <w:br w:type="page"/>
      </w:r>
    </w:p>
    <w:p w14:paraId="24AA0157" w14:textId="377BDF85" w:rsidR="00F04904" w:rsidRPr="00FD5EEC" w:rsidRDefault="002653AE" w:rsidP="00210EDB">
      <w:pPr>
        <w:rPr>
          <w:b/>
        </w:rPr>
      </w:pPr>
      <w:r w:rsidRPr="00FD5EEC">
        <w:rPr>
          <w:b/>
        </w:rPr>
        <w:lastRenderedPageBreak/>
        <mc:AlternateContent>
          <mc:Choice Requires="wps">
            <w:drawing>
              <wp:anchor distT="45720" distB="45720" distL="114300" distR="114300" simplePos="0" relativeHeight="251658253" behindDoc="1" locked="0" layoutInCell="1" allowOverlap="1" wp14:anchorId="69B0C6E1" wp14:editId="21618DB1">
                <wp:simplePos x="0" y="0"/>
                <wp:positionH relativeFrom="column">
                  <wp:posOffset>5395818</wp:posOffset>
                </wp:positionH>
                <wp:positionV relativeFrom="page">
                  <wp:posOffset>1309370</wp:posOffset>
                </wp:positionV>
                <wp:extent cx="390525" cy="384810"/>
                <wp:effectExtent l="0" t="0" r="0" b="3810"/>
                <wp:wrapNone/>
                <wp:docPr id="490509093" name="Text Box 2" descr="P285TB8#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 cy="384810"/>
                        </a:xfrm>
                        <a:prstGeom prst="rect">
                          <a:avLst/>
                        </a:prstGeom>
                        <a:solidFill>
                          <a:srgbClr val="FFFFFF"/>
                        </a:solidFill>
                        <a:ln w="9525">
                          <a:noFill/>
                          <a:miter lim="800000"/>
                          <a:headEnd/>
                          <a:tailEnd/>
                        </a:ln>
                      </wps:spPr>
                      <wps:txbx>
                        <w:txbxContent>
                          <w:p w14:paraId="09E84D15" w14:textId="64B725CB" w:rsidR="00980A23" w:rsidRPr="00FD5EEC" w:rsidRDefault="00980A23">
                            <w:pPr>
                              <w:rPr>
                                <w:b/>
                                <w:color w:val="000000" w:themeColor="text1"/>
                                <w:sz w:val="20"/>
                                <w:szCs w:val="18"/>
                              </w:rPr>
                            </w:pPr>
                            <w:r w:rsidRPr="00FD5EEC">
                              <w:rPr>
                                <w:b/>
                                <w:color w:val="000000" w:themeColor="text1"/>
                                <w:sz w:val="20"/>
                                <w:szCs w:val="18"/>
                              </w:rPr>
                              <w:t>Month 24</w:t>
                            </w:r>
                          </w:p>
                        </w:txbxContent>
                      </wps:txbx>
                      <wps:bodyPr rot="0" vert="horz" wrap="none" lIns="0" tIns="0" rIns="0" bIns="0" anchor="t" anchorCtr="0">
                        <a:spAutoFit/>
                      </wps:bodyPr>
                    </wps:wsp>
                  </a:graphicData>
                </a:graphic>
                <wp14:sizeRelH relativeFrom="margin">
                  <wp14:pctWidth>40000</wp14:pctWidth>
                </wp14:sizeRelH>
                <wp14:sizeRelV relativeFrom="margin">
                  <wp14:pctHeight>0</wp14:pctHeight>
                </wp14:sizeRelV>
              </wp:anchor>
            </w:drawing>
          </mc:Choice>
          <mc:Fallback>
            <w:pict>
              <v:shape w14:anchorId="69B0C6E1" id="Text Box 2" o:spid="_x0000_s1029" type="#_x0000_t202" alt="P285TB8#y1" style="position:absolute;margin-left:424.85pt;margin-top:103.1pt;width:30.75pt;height:30.3pt;z-index:-251658227;visibility:visible;mso-wrap-style:none;mso-width-percent:400;mso-height-percent:0;mso-wrap-distance-left:9pt;mso-wrap-distance-top:3.6pt;mso-wrap-distance-right:9pt;mso-wrap-distance-bottom:3.6pt;mso-position-horizontal:absolute;mso-position-horizontal-relative:text;mso-position-vertical:absolute;mso-position-vertical-relative:page;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" stroked="f">
                <v:textbox style="mso-fit-shape-to-text:t" inset="0,0,0,0">
                  <w:txbxContent>
                    <w:p w14:paraId="09E84D15" w14:textId="64B725CB" w:rsidR="00980A23" w:rsidRPr="00FD5EEC" w:rsidRDefault="00980A23">
                      <w:pPr>
                        <w:rPr>
                          <w:b/>
                          <w:color w:val="000000" w:themeColor="text1"/>
                          <w:sz w:val="20"/>
                          <w:szCs w:val="18"/>
                        </w:rPr>
                      </w:pPr>
                      <w:r w:rsidRPr="00FD5EEC">
                        <w:rPr>
                          <w:b/>
                          <w:color w:val="000000" w:themeColor="text1"/>
                          <w:sz w:val="20"/>
                          <w:szCs w:val="18"/>
                        </w:rPr>
                        <w:t>Month 24</w:t>
                      </w:r>
                    </w:p>
                  </w:txbxContent>
                </v:textbox>
                <w10:wrap anchory="page"/>
              </v:shape>
            </w:pict>
          </mc:Fallback>
        </mc:AlternateContent>
      </w:r>
      <w:r w:rsidR="00980A23" w:rsidRPr="00FD5EEC">
        <w:rPr>
          <w:b/>
        </w:rPr>
        <mc:AlternateContent>
          <mc:Choice Requires="wps">
            <w:drawing>
              <wp:anchor distT="45720" distB="45720" distL="114300" distR="114300" simplePos="0" relativeHeight="251658252" behindDoc="1" locked="0" layoutInCell="1" allowOverlap="1" wp14:anchorId="4520304E" wp14:editId="4DD4B965">
                <wp:simplePos x="0" y="0"/>
                <wp:positionH relativeFrom="column">
                  <wp:posOffset>3501802</wp:posOffset>
                </wp:positionH>
                <wp:positionV relativeFrom="page">
                  <wp:posOffset>1309370</wp:posOffset>
                </wp:positionV>
                <wp:extent cx="390525" cy="384810"/>
                <wp:effectExtent l="0" t="0" r="0" b="3810"/>
                <wp:wrapNone/>
                <wp:docPr id="640889753" name="Text Box 2" descr="P285TB7#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 cy="384810"/>
                        </a:xfrm>
                        <a:prstGeom prst="rect">
                          <a:avLst/>
                        </a:prstGeom>
                        <a:solidFill>
                          <a:srgbClr val="FFFFFF"/>
                        </a:solidFill>
                        <a:ln w="9525">
                          <a:noFill/>
                          <a:miter lim="800000"/>
                          <a:headEnd/>
                          <a:tailEnd/>
                        </a:ln>
                      </wps:spPr>
                      <wps:txbx>
                        <w:txbxContent>
                          <w:p w14:paraId="384928E3" w14:textId="676CC0EA" w:rsidR="002A19BC" w:rsidRDefault="002A19BC">
                            <w:pPr>
                              <w:rPr>
                                <w:b/>
                                <w:color w:val="43E6A2" w:themeColor="accent2"/>
                                <w:sz w:val="20"/>
                                <w:szCs w:val="18"/>
                              </w:rPr>
                            </w:pPr>
                          </w:p>
                          <w:p w14:paraId="69B264CE" w14:textId="2E7B1143" w:rsidR="00597EEA" w:rsidRPr="00FD5EEC" w:rsidRDefault="00597EEA">
                            <w:pPr>
                              <w:rPr>
                                <w:b/>
                                <w:color w:val="43E6A2" w:themeColor="accent2"/>
                                <w:sz w:val="20"/>
                                <w:szCs w:val="18"/>
                              </w:rPr>
                            </w:pPr>
                            <w:r w:rsidRPr="00FD5EEC">
                              <w:rPr>
                                <w:b/>
                                <w:color w:val="43E6A2" w:themeColor="accent2"/>
                                <w:sz w:val="20"/>
                                <w:szCs w:val="18"/>
                              </w:rPr>
                              <w:t>Month 9</w:t>
                            </w:r>
                          </w:p>
                        </w:txbxContent>
                      </wps:txbx>
                      <wps:bodyPr rot="0" vert="horz" wrap="none" lIns="0" tIns="0" rIns="0" bIns="0" anchor="t" anchorCtr="0">
                        <a:spAutoFit/>
                      </wps:bodyPr>
                    </wps:wsp>
                  </a:graphicData>
                </a:graphic>
                <wp14:sizeRelH relativeFrom="margin">
                  <wp14:pctWidth>40000</wp14:pctWidth>
                </wp14:sizeRelH>
                <wp14:sizeRelV relativeFrom="margin">
                  <wp14:pctHeight>0</wp14:pctHeight>
                </wp14:sizeRelV>
              </wp:anchor>
            </w:drawing>
          </mc:Choice>
          <mc:Fallback>
            <w:pict>
              <v:shape w14:anchorId="4520304E" id="_x0000_s1030" type="#_x0000_t202" alt="P285TB7#y1" style="position:absolute;margin-left:275.75pt;margin-top:103.1pt;width:30.75pt;height:30.3pt;z-index:-251658228;visibility:visible;mso-wrap-style:none;mso-width-percent:400;mso-height-percent:0;mso-wrap-distance-left:9pt;mso-wrap-distance-top:3.6pt;mso-wrap-distance-right:9pt;mso-wrap-distance-bottom:3.6pt;mso-position-horizontal:absolute;mso-position-horizontal-relative:text;mso-position-vertical:absolute;mso-position-vertical-relative:page;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" stroked="f">
                <v:textbox style="mso-fit-shape-to-text:t" inset="0,0,0,0">
                  <w:txbxContent>
                    <w:p w14:paraId="384928E3" w14:textId="676CC0EA" w:rsidR="002A19BC" w:rsidRDefault="002A19BC">
                      <w:pPr>
                        <w:rPr>
                          <w:b/>
                          <w:color w:val="43E6A2" w:themeColor="accent2"/>
                          <w:sz w:val="20"/>
                          <w:szCs w:val="18"/>
                        </w:rPr>
                      </w:pPr>
                    </w:p>
                    <w:p w14:paraId="69B264CE" w14:textId="2E7B1143" w:rsidR="00597EEA" w:rsidRPr="00FD5EEC" w:rsidRDefault="00597EEA">
                      <w:pPr>
                        <w:rPr>
                          <w:b/>
                          <w:color w:val="43E6A2" w:themeColor="accent2"/>
                          <w:sz w:val="20"/>
                          <w:szCs w:val="18"/>
                        </w:rPr>
                      </w:pPr>
                      <w:r w:rsidRPr="00FD5EEC">
                        <w:rPr>
                          <w:b/>
                          <w:color w:val="43E6A2" w:themeColor="accent2"/>
                          <w:sz w:val="20"/>
                          <w:szCs w:val="18"/>
                        </w:rPr>
                        <w:t>Month 9</w:t>
                      </w:r>
                    </w:p>
                  </w:txbxContent>
                </v:textbox>
                <w10:wrap anchory="page"/>
              </v:shape>
            </w:pict>
          </mc:Fallback>
        </mc:AlternateContent>
      </w:r>
      <w:r w:rsidR="00980A23" w:rsidRPr="00FD5EEC">
        <w:rPr>
          <w:b/>
        </w:rPr>
        <mc:AlternateContent>
          <mc:Choice Requires="wps">
            <w:drawing>
              <wp:anchor distT="45720" distB="45720" distL="114300" distR="114300" simplePos="0" relativeHeight="251658251" behindDoc="1" locked="0" layoutInCell="1" allowOverlap="1" wp14:anchorId="70FA06EC" wp14:editId="5DCAF2E2">
                <wp:simplePos x="0" y="0"/>
                <wp:positionH relativeFrom="column">
                  <wp:posOffset>1494889</wp:posOffset>
                </wp:positionH>
                <wp:positionV relativeFrom="page">
                  <wp:posOffset>1303020</wp:posOffset>
                </wp:positionV>
                <wp:extent cx="390525" cy="384810"/>
                <wp:effectExtent l="0" t="0" r="0" b="0"/>
                <wp:wrapNone/>
                <wp:docPr id="1332568365" name="Text Box 2" descr="P285TB6#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 cy="384810"/>
                        </a:xfrm>
                        <a:prstGeom prst="rect">
                          <a:avLst/>
                        </a:prstGeom>
                        <a:solidFill>
                          <a:srgbClr val="FFFFFF"/>
                        </a:solidFill>
                        <a:ln w="9525">
                          <a:noFill/>
                          <a:miter lim="800000"/>
                          <a:headEnd/>
                          <a:tailEnd/>
                        </a:ln>
                      </wps:spPr>
                      <wps:txbx>
                        <w:txbxContent>
                          <w:p w14:paraId="0DC1BBEF" w14:textId="27CE75D1" w:rsidR="002A19BC" w:rsidRDefault="002A19BC">
                            <w:pPr>
                              <w:rPr>
                                <w:b/>
                                <w:color w:val="C4B01A" w:themeColor="accent4" w:themeShade="BF"/>
                                <w:sz w:val="20"/>
                                <w:szCs w:val="18"/>
                              </w:rPr>
                            </w:pPr>
                          </w:p>
                          <w:p w14:paraId="5C5374F2" w14:textId="42520C15" w:rsidR="005842FA" w:rsidRPr="00FD5EEC" w:rsidRDefault="005842FA">
                            <w:pPr>
                              <w:rPr>
                                <w:b/>
                                <w:color w:val="C4B01A" w:themeColor="accent4" w:themeShade="BF"/>
                                <w:sz w:val="20"/>
                                <w:szCs w:val="18"/>
                              </w:rPr>
                            </w:pPr>
                            <w:r w:rsidRPr="00FD5EEC">
                              <w:rPr>
                                <w:b/>
                                <w:color w:val="C4B01A" w:themeColor="accent4" w:themeShade="BF"/>
                                <w:sz w:val="20"/>
                                <w:szCs w:val="18"/>
                              </w:rPr>
                              <w:t>Month 3</w:t>
                            </w:r>
                          </w:p>
                        </w:txbxContent>
                      </wps:txbx>
                      <wps:bodyPr rot="0" vert="horz" wrap="none" lIns="0" tIns="0" rIns="0" bIns="0" anchor="t" anchorCtr="0">
                        <a:spAutoFit/>
                      </wps:bodyPr>
                    </wps:wsp>
                  </a:graphicData>
                </a:graphic>
                <wp14:sizeRelH relativeFrom="margin">
                  <wp14:pctWidth>40000</wp14:pctWidth>
                </wp14:sizeRelH>
                <wp14:sizeRelV relativeFrom="margin">
                  <wp14:pctHeight>0</wp14:pctHeight>
                </wp14:sizeRelV>
              </wp:anchor>
            </w:drawing>
          </mc:Choice>
          <mc:Fallback>
            <w:pict>
              <v:shape w14:anchorId="70FA06EC" id="_x0000_s1031" type="#_x0000_t202" alt="P285TB6#y1" style="position:absolute;margin-left:117.7pt;margin-top:102.6pt;width:30.75pt;height:30.3pt;z-index:-251658229;visibility:visible;mso-wrap-style:none;mso-width-percent:400;mso-height-percent:0;mso-wrap-distance-left:9pt;mso-wrap-distance-top:3.6pt;mso-wrap-distance-right:9pt;mso-wrap-distance-bottom:3.6pt;mso-position-horizontal:absolute;mso-position-horizontal-relative:text;mso-position-vertical:absolute;mso-position-vertical-relative:page;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" stroked="f">
                <v:textbox style="mso-fit-shape-to-text:t" inset="0,0,0,0">
                  <w:txbxContent>
                    <w:p w14:paraId="0DC1BBEF" w14:textId="27CE75D1" w:rsidR="002A19BC" w:rsidRDefault="002A19BC">
                      <w:pPr>
                        <w:rPr>
                          <w:b/>
                          <w:color w:val="C4B01A" w:themeColor="accent4" w:themeShade="BF"/>
                          <w:sz w:val="20"/>
                          <w:szCs w:val="18"/>
                        </w:rPr>
                      </w:pPr>
                    </w:p>
                    <w:p w14:paraId="5C5374F2" w14:textId="42520C15" w:rsidR="005842FA" w:rsidRPr="00FD5EEC" w:rsidRDefault="005842FA">
                      <w:pPr>
                        <w:rPr>
                          <w:b/>
                          <w:color w:val="C4B01A" w:themeColor="accent4" w:themeShade="BF"/>
                          <w:sz w:val="20"/>
                          <w:szCs w:val="18"/>
                        </w:rPr>
                      </w:pPr>
                      <w:r w:rsidRPr="00FD5EEC">
                        <w:rPr>
                          <w:b/>
                          <w:color w:val="C4B01A" w:themeColor="accent4" w:themeShade="BF"/>
                          <w:sz w:val="20"/>
                          <w:szCs w:val="18"/>
                        </w:rPr>
                        <w:t>Month 3</w:t>
                      </w:r>
                    </w:p>
                  </w:txbxContent>
                </v:textbox>
                <w10:wrap anchory="page"/>
              </v:shape>
            </w:pict>
          </mc:Fallback>
        </mc:AlternateContent>
      </w:r>
      <w:r w:rsidR="00980A23" w:rsidRPr="00FD5EEC">
        <w:rPr>
          <w:b/>
        </w:rPr>
        <mc:AlternateContent>
          <mc:Choice Requires="wps">
            <w:drawing>
              <wp:anchor distT="45720" distB="45720" distL="114300" distR="114300" simplePos="0" relativeHeight="251658250" behindDoc="1" locked="0" layoutInCell="1" allowOverlap="1" wp14:anchorId="0742FE09" wp14:editId="065AA079">
                <wp:simplePos x="0" y="0"/>
                <wp:positionH relativeFrom="column">
                  <wp:posOffset>-81214</wp:posOffset>
                </wp:positionH>
                <wp:positionV relativeFrom="page">
                  <wp:posOffset>1311275</wp:posOffset>
                </wp:positionV>
                <wp:extent cx="390525" cy="384810"/>
                <wp:effectExtent l="0" t="0" r="9525" b="0"/>
                <wp:wrapNone/>
                <wp:docPr id="217" name="Text Box 2" descr="P285TB5#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 cy="384810"/>
                        </a:xfrm>
                        <a:prstGeom prst="rect">
                          <a:avLst/>
                        </a:prstGeom>
                        <a:solidFill>
                          <a:srgbClr val="FFFFFF"/>
                        </a:solidFill>
                        <a:ln w="9525">
                          <a:noFill/>
                          <a:miter lim="800000"/>
                          <a:headEnd/>
                          <a:tailEnd/>
                        </a:ln>
                      </wps:spPr>
                      <wps:txbx>
                        <w:txbxContent>
                          <w:p w14:paraId="085A2E59" w14:textId="26CD8C6A" w:rsidR="002A19BC" w:rsidRPr="00FD5EEC" w:rsidRDefault="000C5D23" w:rsidP="00980A23">
                            <w:pPr>
                              <w:jc w:val="center"/>
                              <w:rPr>
                                <w:b/>
                                <w:color w:val="0065FC" w:themeColor="accent1"/>
                                <w:sz w:val="20"/>
                                <w:szCs w:val="18"/>
                              </w:rPr>
                            </w:pPr>
                            <w:r w:rsidRPr="00FD5EEC">
                              <w:rPr>
                                <w:b/>
                                <w:color w:val="0065FC" w:themeColor="accent1"/>
                                <w:sz w:val="20"/>
                                <w:szCs w:val="18"/>
                              </w:rPr>
                              <w:t>Day 0</w:t>
                            </w:r>
                          </w:p>
                          <w:p w14:paraId="06B0C79B" w14:textId="4159231C" w:rsidR="000C5D23" w:rsidRPr="00980A23" w:rsidRDefault="000C5D23" w:rsidP="00980A23">
                            <w:pPr>
                              <w:jc w:val="center"/>
                              <w:rPr>
                                <w:b/>
                                <w:color w:val="0065FC" w:themeColor="accent1"/>
                                <w:sz w:val="20"/>
                                <w:szCs w:val="18"/>
                                <w:lang w:val="pl-PL"/>
                              </w:rPr>
                            </w:pPr>
                          </w:p>
                        </w:txbxContent>
                      </wps:txbx>
                      <wps:bodyPr rot="0" vert="horz" wrap="none" lIns="0" tIns="0" rIns="0" bIns="0" anchor="t" anchorCtr="0">
                        <a:spAutoFit/>
                      </wps:bodyPr>
                    </wps:wsp>
                  </a:graphicData>
                </a:graphic>
                <wp14:sizeRelH relativeFrom="margin">
                  <wp14:pctWidth>40000</wp14:pctWidth>
                </wp14:sizeRelH>
                <wp14:sizeRelV relativeFrom="margin">
                  <wp14:pctHeight>0</wp14:pctHeight>
                </wp14:sizeRelV>
              </wp:anchor>
            </w:drawing>
          </mc:Choice>
          <mc:Fallback>
            <w:pict>
              <v:shape w14:anchorId="0742FE09" id="_x0000_s1032" type="#_x0000_t202" alt="P285TB5#y1" style="position:absolute;margin-left:-6.4pt;margin-top:103.25pt;width:30.75pt;height:30.3pt;z-index:-251658230;visibility:visible;mso-wrap-style:none;mso-width-percent:400;mso-height-percent:0;mso-wrap-distance-left:9pt;mso-wrap-distance-top:3.6pt;mso-wrap-distance-right:9pt;mso-wrap-distance-bottom:3.6pt;mso-position-horizontal:absolute;mso-position-horizontal-relative:text;mso-position-vertical:absolute;mso-position-vertical-relative:page;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" stroked="f">
                <v:textbox style="mso-fit-shape-to-text:t" inset="0,0,0,0">
                  <w:txbxContent>
                    <w:p w14:paraId="085A2E59" w14:textId="26CD8C6A" w:rsidR="002A19BC" w:rsidRPr="00FD5EEC" w:rsidRDefault="000C5D23" w:rsidP="00980A23">
                      <w:pPr>
                        <w:jc w:val="center"/>
                        <w:rPr>
                          <w:b/>
                          <w:color w:val="0065FC" w:themeColor="accent1"/>
                          <w:sz w:val="20"/>
                          <w:szCs w:val="18"/>
                        </w:rPr>
                      </w:pPr>
                      <w:r w:rsidRPr="00FD5EEC">
                        <w:rPr>
                          <w:b/>
                          <w:color w:val="0065FC" w:themeColor="accent1"/>
                          <w:sz w:val="20"/>
                          <w:szCs w:val="18"/>
                        </w:rPr>
                        <w:t>Day 0</w:t>
                      </w:r>
                    </w:p>
                    <w:p w14:paraId="06B0C79B" w14:textId="4159231C" w:rsidR="000C5D23" w:rsidRPr="00980A23" w:rsidRDefault="000C5D23" w:rsidP="00980A23">
                      <w:pPr>
                        <w:jc w:val="center"/>
                        <w:rPr>
                          <w:b/>
                          <w:color w:val="0065FC" w:themeColor="accent1"/>
                          <w:sz w:val="20"/>
                          <w:szCs w:val="18"/>
                          <w:lang w:val="pl-PL"/>
                        </w:rPr>
                      </w:pPr>
                    </w:p>
                  </w:txbxContent>
                </v:textbox>
                <w10:wrap anchory="page"/>
              </v:shape>
            </w:pict>
          </mc:Fallback>
        </mc:AlternateContent>
      </w:r>
      <w:r w:rsidR="00566104" w:rsidRPr="00FD5EEC">
        <w:rPr>
          <w:b/>
        </w:rPr>
        <mc:AlternateContent>
          <mc:Choice Requires="wps">
            <w:drawing>
              <wp:anchor distT="0" distB="0" distL="114300" distR="114300" simplePos="0" relativeHeight="251658249" behindDoc="1" locked="0" layoutInCell="1" allowOverlap="1" wp14:anchorId="516213B4" wp14:editId="312D5C18">
                <wp:simplePos x="0" y="0"/>
                <wp:positionH relativeFrom="column">
                  <wp:posOffset>3772535</wp:posOffset>
                </wp:positionH>
                <wp:positionV relativeFrom="paragraph">
                  <wp:posOffset>93345</wp:posOffset>
                </wp:positionV>
                <wp:extent cx="1942453" cy="0"/>
                <wp:effectExtent l="0" t="19050" r="20320" b="19050"/>
                <wp:wrapNone/>
                <wp:docPr id="1307195143" name="Straight Connector 7" descr="P285#y3"/>
                <wp:cNvGraphicFramePr/>
                <a:graphic xmlns:a="http://schemas.openxmlformats.org/drawingml/2006/main">
                  <a:graphicData uri="http://schemas.microsoft.com/office/word/2010/wordprocessingShape">
                    <wps:wsp>
                      <wps:cNvCnPr/>
                      <wps:spPr>
                        <a:xfrm>
                          <a:off x="0" y="0"/>
                          <a:ext cx="1942453" cy="0"/>
                        </a:xfrm>
                        <a:prstGeom prst="line">
                          <a:avLst/>
                        </a:prstGeom>
                        <a:ln w="28575">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1D8BD4A" id="Straight Connector 7" o:spid="_x0000_s1026" style="position:absolute;z-index:-25165823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7.05pt,7.35pt" to="450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" strokecolor="#43e6a2 [3205]" strokeweight="2.25pt">
                <v:stroke joinstyle="miter"/>
              </v:line>
            </w:pict>
          </mc:Fallback>
        </mc:AlternateContent>
      </w:r>
      <w:r w:rsidR="00566104" w:rsidRPr="00FD5EEC">
        <w:rPr>
          <w:b/>
        </w:rPr>
        <mc:AlternateContent>
          <mc:Choice Requires="wps">
            <w:drawing>
              <wp:anchor distT="0" distB="0" distL="114300" distR="114300" simplePos="0" relativeHeight="251658248" behindDoc="1" locked="0" layoutInCell="1" allowOverlap="1" wp14:anchorId="6F0B2083" wp14:editId="0128DC54">
                <wp:simplePos x="0" y="0"/>
                <wp:positionH relativeFrom="column">
                  <wp:posOffset>1714182</wp:posOffset>
                </wp:positionH>
                <wp:positionV relativeFrom="paragraph">
                  <wp:posOffset>91440</wp:posOffset>
                </wp:positionV>
                <wp:extent cx="2057717" cy="0"/>
                <wp:effectExtent l="0" t="19050" r="19050" b="19050"/>
                <wp:wrapNone/>
                <wp:docPr id="1861494181" name="Straight Connector 7" descr="P285#y2"/>
                <wp:cNvGraphicFramePr/>
                <a:graphic xmlns:a="http://schemas.openxmlformats.org/drawingml/2006/main">
                  <a:graphicData uri="http://schemas.microsoft.com/office/word/2010/wordprocessingShape">
                    <wps:wsp>
                      <wps:cNvCnPr/>
                      <wps:spPr>
                        <a:xfrm>
                          <a:off x="0" y="0"/>
                          <a:ext cx="2057717" cy="0"/>
                        </a:xfrm>
                        <a:prstGeom prst="line">
                          <a:avLst/>
                        </a:prstGeom>
                        <a:ln w="28575">
                          <a:solidFill>
                            <a:schemeClr val="accent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458F8C7" id="Straight Connector 7" o:spid="_x0000_s1026" style="position:absolute;z-index:-25165823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4.95pt,7.2pt" to="296.9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" strokecolor="#e6d443 [3207]" strokeweight="2.25pt">
                <v:stroke joinstyle="miter"/>
              </v:line>
            </w:pict>
          </mc:Fallback>
        </mc:AlternateContent>
      </w:r>
      <w:r w:rsidR="002D1974" w:rsidRPr="00FD5EEC">
        <w:rPr>
          <w:b/>
        </w:rPr>
        <mc:AlternateContent>
          <mc:Choice Requires="wps">
            <w:drawing>
              <wp:anchor distT="0" distB="0" distL="114300" distR="114300" simplePos="0" relativeHeight="251658247" behindDoc="1" locked="0" layoutInCell="1" allowOverlap="1" wp14:anchorId="7997B15F" wp14:editId="26BE5648">
                <wp:simplePos x="0" y="0"/>
                <wp:positionH relativeFrom="column">
                  <wp:posOffset>113665</wp:posOffset>
                </wp:positionH>
                <wp:positionV relativeFrom="paragraph">
                  <wp:posOffset>90170</wp:posOffset>
                </wp:positionV>
                <wp:extent cx="1600200" cy="0"/>
                <wp:effectExtent l="0" t="19050" r="19050" b="19050"/>
                <wp:wrapNone/>
                <wp:docPr id="735429348" name="Straight Connector 7" descr="P285#y1"/>
                <wp:cNvGraphicFramePr/>
                <a:graphic xmlns:a="http://schemas.openxmlformats.org/drawingml/2006/main">
                  <a:graphicData uri="http://schemas.microsoft.com/office/word/2010/wordprocessingShape">
                    <wps:wsp>
                      <wps:cNvCnPr/>
                      <wps:spPr>
                        <a:xfrm>
                          <a:off x="0" y="0"/>
                          <a:ext cx="160020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069701" id="Straight Connector 7" o:spid="_x0000_s1026" style="position:absolute;z-index:-251658232;visibility:visible;mso-wrap-style:square;mso-wrap-distance-left:9pt;mso-wrap-distance-top:0;mso-wrap-distance-right:9pt;mso-wrap-distance-bottom:0;mso-position-horizontal:absolute;mso-position-horizontal-relative:text;mso-position-vertical:absolute;mso-position-vertical-relative:text" from="8.95pt,7.1pt" to="134.9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" strokecolor="#0065fc [3204]" strokeweight="2.25pt">
                <v:stroke joinstyle="miter"/>
              </v:line>
            </w:pict>
          </mc:Fallback>
        </mc:AlternateContent>
      </w:r>
      <w:r w:rsidR="00DD1815" w:rsidRPr="00FD5EEC">
        <w:rPr>
          <w:b/>
        </w:rPr>
        <mc:AlternateContent>
          <mc:Choice Requires="wps">
            <w:drawing>
              <wp:anchor distT="0" distB="0" distL="114300" distR="114300" simplePos="0" relativeHeight="251658246" behindDoc="0" locked="0" layoutInCell="1" allowOverlap="1" wp14:anchorId="0A020402" wp14:editId="5FBD9E45">
                <wp:simplePos x="0" y="0"/>
                <wp:positionH relativeFrom="column">
                  <wp:posOffset>5594985</wp:posOffset>
                </wp:positionH>
                <wp:positionV relativeFrom="paragraph">
                  <wp:posOffset>19050</wp:posOffset>
                </wp:positionV>
                <wp:extent cx="144000" cy="144000"/>
                <wp:effectExtent l="19050" t="19050" r="27940" b="27940"/>
                <wp:wrapSquare wrapText="bothSides"/>
                <wp:docPr id="1472549813" name="Oval 6" descr="P285#y7"/>
                <wp:cNvGraphicFramePr/>
                <a:graphic xmlns:a="http://schemas.openxmlformats.org/drawingml/2006/main">
                  <a:graphicData uri="http://schemas.microsoft.com/office/word/2010/wordprocessingShape">
                    <wps:wsp>
                      <wps:cNvSpPr/>
                      <wps:spPr>
                        <a:xfrm>
                          <a:off x="0" y="0"/>
                          <a:ext cx="144000" cy="144000"/>
                        </a:xfrm>
                        <a:prstGeom prst="ellipse">
                          <a:avLst/>
                        </a:prstGeom>
                        <a:solidFill>
                          <a:schemeClr val="tx1"/>
                        </a:solidFill>
                        <a:ln w="28575">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481DE0" id="Oval 6" o:spid="_x0000_s1026" style="position:absolute;margin-left:440.55pt;margin-top:1.5pt;width:11.35pt;height:11.3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" fillcolor="black [3213]" strokecolor="white [3214]" strokeweight="2.25pt">
                <v:stroke joinstyle="miter"/>
                <w10:wrap type="square"/>
              </v:oval>
            </w:pict>
          </mc:Fallback>
        </mc:AlternateContent>
      </w:r>
      <w:r w:rsidR="00DD1815" w:rsidRPr="00FD5EEC">
        <w:rPr>
          <w:b/>
        </w:rPr>
        <mc:AlternateContent>
          <mc:Choice Requires="wps">
            <w:drawing>
              <wp:anchor distT="0" distB="0" distL="114300" distR="114300" simplePos="0" relativeHeight="251658245" behindDoc="0" locked="0" layoutInCell="1" allowOverlap="1" wp14:anchorId="194CCC89" wp14:editId="086DAA8A">
                <wp:simplePos x="0" y="0"/>
                <wp:positionH relativeFrom="column">
                  <wp:posOffset>3668395</wp:posOffset>
                </wp:positionH>
                <wp:positionV relativeFrom="paragraph">
                  <wp:posOffset>19050</wp:posOffset>
                </wp:positionV>
                <wp:extent cx="144000" cy="144000"/>
                <wp:effectExtent l="19050" t="19050" r="27940" b="27940"/>
                <wp:wrapSquare wrapText="bothSides"/>
                <wp:docPr id="1369351003" name="Oval 6" descr="P285#y6"/>
                <wp:cNvGraphicFramePr/>
                <a:graphic xmlns:a="http://schemas.openxmlformats.org/drawingml/2006/main">
                  <a:graphicData uri="http://schemas.microsoft.com/office/word/2010/wordprocessingShape">
                    <wps:wsp>
                      <wps:cNvSpPr/>
                      <wps:spPr>
                        <a:xfrm>
                          <a:off x="0" y="0"/>
                          <a:ext cx="144000" cy="144000"/>
                        </a:xfrm>
                        <a:prstGeom prst="ellipse">
                          <a:avLst/>
                        </a:prstGeom>
                        <a:solidFill>
                          <a:schemeClr val="accent2"/>
                        </a:solidFill>
                        <a:ln w="28575">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C49202" id="Oval 6" o:spid="_x0000_s1026" style="position:absolute;margin-left:288.85pt;margin-top:1.5pt;width:11.35pt;height:11.3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" fillcolor="#43e6a2 [3205]" strokecolor="white [3214]" strokeweight="2.25pt">
                <v:stroke joinstyle="miter"/>
                <w10:wrap type="square"/>
              </v:oval>
            </w:pict>
          </mc:Fallback>
        </mc:AlternateContent>
      </w:r>
      <w:r w:rsidR="00DD1815" w:rsidRPr="00FD5EEC">
        <w:rPr>
          <w:b/>
        </w:rPr>
        <mc:AlternateContent>
          <mc:Choice Requires="wps">
            <w:drawing>
              <wp:anchor distT="0" distB="0" distL="114300" distR="114300" simplePos="0" relativeHeight="251658244" behindDoc="0" locked="0" layoutInCell="1" allowOverlap="1" wp14:anchorId="12A625BD" wp14:editId="40A48C3C">
                <wp:simplePos x="0" y="0"/>
                <wp:positionH relativeFrom="column">
                  <wp:posOffset>1652270</wp:posOffset>
                </wp:positionH>
                <wp:positionV relativeFrom="paragraph">
                  <wp:posOffset>19050</wp:posOffset>
                </wp:positionV>
                <wp:extent cx="144000" cy="144000"/>
                <wp:effectExtent l="19050" t="19050" r="27940" b="27940"/>
                <wp:wrapSquare wrapText="bothSides"/>
                <wp:docPr id="383486310" name="Oval 6" descr="P285#y5"/>
                <wp:cNvGraphicFramePr/>
                <a:graphic xmlns:a="http://schemas.openxmlformats.org/drawingml/2006/main">
                  <a:graphicData uri="http://schemas.microsoft.com/office/word/2010/wordprocessingShape">
                    <wps:wsp>
                      <wps:cNvSpPr/>
                      <wps:spPr>
                        <a:xfrm>
                          <a:off x="0" y="0"/>
                          <a:ext cx="144000" cy="144000"/>
                        </a:xfrm>
                        <a:prstGeom prst="ellipse">
                          <a:avLst/>
                        </a:prstGeom>
                        <a:solidFill>
                          <a:schemeClr val="accent4"/>
                        </a:solidFill>
                        <a:ln w="28575">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5167C7" id="Oval 6" o:spid="_x0000_s1026" style="position:absolute;margin-left:130.1pt;margin-top:1.5pt;width:11.35pt;height:11.3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" fillcolor="#e6d443 [3207]" strokecolor="white [3214]" strokeweight="2.25pt">
                <v:stroke joinstyle="miter"/>
                <w10:wrap type="square"/>
              </v:oval>
            </w:pict>
          </mc:Fallback>
        </mc:AlternateContent>
      </w:r>
      <w:r w:rsidR="00DD1815" w:rsidRPr="00FD5EEC">
        <w:rPr>
          <w:b/>
        </w:rPr>
        <mc:AlternateContent>
          <mc:Choice Requires="wps">
            <w:drawing>
              <wp:anchor distT="0" distB="0" distL="114300" distR="114300" simplePos="0" relativeHeight="251658243" behindDoc="0" locked="0" layoutInCell="1" allowOverlap="1" wp14:anchorId="56C27E22" wp14:editId="6F30DD3E">
                <wp:simplePos x="0" y="0"/>
                <wp:positionH relativeFrom="column">
                  <wp:posOffset>5080</wp:posOffset>
                </wp:positionH>
                <wp:positionV relativeFrom="paragraph">
                  <wp:posOffset>19050</wp:posOffset>
                </wp:positionV>
                <wp:extent cx="144000" cy="144000"/>
                <wp:effectExtent l="19050" t="19050" r="27940" b="27940"/>
                <wp:wrapTopAndBottom/>
                <wp:docPr id="2027383739" name="Oval 6" descr="P285#y4"/>
                <wp:cNvGraphicFramePr/>
                <a:graphic xmlns:a="http://schemas.openxmlformats.org/drawingml/2006/main">
                  <a:graphicData uri="http://schemas.microsoft.com/office/word/2010/wordprocessingShape">
                    <wps:wsp>
                      <wps:cNvSpPr/>
                      <wps:spPr>
                        <a:xfrm>
                          <a:off x="0" y="0"/>
                          <a:ext cx="144000" cy="144000"/>
                        </a:xfrm>
                        <a:prstGeom prst="ellipse">
                          <a:avLst/>
                        </a:prstGeom>
                        <a:ln w="28575">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A88962" id="Oval 6" o:spid="_x0000_s1026" style="position:absolute;margin-left:.4pt;margin-top:1.5pt;width:11.35pt;height:11.3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" fillcolor="#0065fc [3204]" strokecolor="white [3214]" strokeweight="2.25pt">
                <v:stroke joinstyle="miter"/>
                <w10:wrap type="topAndBottom"/>
              </v:oval>
            </w:pict>
          </mc:Fallback>
        </mc:AlternateContent>
      </w:r>
    </w:p>
    <w:tbl>
      <w:tblPr>
        <w:tblStyle w:val="TableGrid"/>
        <w:tblW w:w="89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27" w:type="dxa"/>
          <w:left w:w="227" w:type="dxa"/>
          <w:bottom w:w="227" w:type="dxa"/>
          <w:right w:w="227" w:type="dxa"/>
        </w:tblCellMar>
        <w:tblLook w:val="0000" w:firstRow="0" w:lastRow="0" w:firstColumn="0" w:lastColumn="0" w:noHBand="0" w:noVBand="0"/>
      </w:tblPr>
      <w:tblGrid>
        <w:gridCol w:w="2665"/>
        <w:gridCol w:w="474"/>
        <w:gridCol w:w="2665"/>
        <w:gridCol w:w="474"/>
        <w:gridCol w:w="2721"/>
      </w:tblGrid>
      <w:tr w:rsidR="00B029BF" w:rsidRPr="00590047" w14:paraId="2BAE423D" w14:textId="77777777" w:rsidTr="002A7ED7">
        <w:tc>
          <w:tcPr>
            <w:tcW w:w="2665" w:type="dxa"/>
            <w:tcBorders>
              <w:left w:val="single" w:sz="36" w:space="0" w:color="0065FC" w:themeColor="accent1"/>
            </w:tcBorders>
            <w:shd w:val="clear" w:color="auto" w:fill="CCE0FE"/>
          </w:tcPr>
          <w:p w14:paraId="27266AD0" w14:textId="50A94D7F" w:rsidR="00466D8F" w:rsidRDefault="00103812" w:rsidP="00466D8F">
            <w:pPr>
              <w:spacing w:line="276" w:lineRule="auto"/>
            </w:pPr>
            <w:r w:rsidRPr="00103812">
              <w:rPr>
                <w:b/>
                <w:bCs/>
                <w:color w:val="0065FC" w:themeColor="accent1"/>
                <w:sz w:val="14"/>
                <w:szCs w:val="12"/>
              </w:rPr>
              <w:t>FIRST 90 DAYS</w:t>
            </w:r>
            <w:r w:rsidRPr="00FD5EEC">
              <w:rPr>
                <w:b/>
                <w:color w:val="0065FC" w:themeColor="accent1"/>
              </w:rPr>
              <w:br/>
            </w:r>
            <w:r w:rsidR="0011580D" w:rsidRPr="0011580D">
              <w:rPr>
                <w:b/>
                <w:bCs/>
                <w:color w:val="000000" w:themeColor="text1"/>
              </w:rPr>
              <w:t>Scope and substrate</w:t>
            </w:r>
            <w:r w:rsidR="00B029BF" w:rsidRPr="00BC1653">
              <w:rPr>
                <w:b/>
                <w:bCs/>
                <w:color w:val="0065FC" w:themeColor="accent1"/>
              </w:rPr>
              <w:br/>
            </w:r>
          </w:p>
          <w:p w14:paraId="07DC7798" w14:textId="77777777" w:rsidR="00466D8F" w:rsidRPr="00C126C1" w:rsidRDefault="00466D8F" w:rsidP="00C126C1">
            <w:pPr>
              <w:pStyle w:val="ListParagraph"/>
              <w:ind w:left="357" w:hanging="357"/>
              <w:rPr>
                <w:sz w:val="20"/>
                <w:szCs w:val="18"/>
              </w:rPr>
            </w:pPr>
            <w:r w:rsidRPr="00C126C1">
              <w:rPr>
                <w:sz w:val="20"/>
                <w:szCs w:val="18"/>
              </w:rPr>
              <w:t>Define minimum taxonomy</w:t>
            </w:r>
          </w:p>
          <w:p w14:paraId="39607697" w14:textId="6B6777D0" w:rsidR="00C126C1" w:rsidRPr="00C126C1" w:rsidRDefault="00C126C1" w:rsidP="00C126C1">
            <w:pPr>
              <w:pStyle w:val="ListParagraph"/>
              <w:ind w:left="357" w:hanging="357"/>
              <w:rPr>
                <w:sz w:val="20"/>
                <w:szCs w:val="18"/>
              </w:rPr>
            </w:pPr>
            <w:r w:rsidRPr="00C126C1">
              <w:rPr>
                <w:sz w:val="20"/>
                <w:szCs w:val="18"/>
              </w:rPr>
              <w:t>Choose one delivery domain</w:t>
            </w:r>
          </w:p>
          <w:p w14:paraId="2FE4C761" w14:textId="77777777" w:rsidR="00466D8F" w:rsidRPr="00C126C1" w:rsidRDefault="00466D8F" w:rsidP="00C126C1">
            <w:pPr>
              <w:pStyle w:val="ListParagraph"/>
              <w:ind w:left="357" w:hanging="357"/>
              <w:rPr>
                <w:sz w:val="20"/>
                <w:szCs w:val="18"/>
              </w:rPr>
            </w:pPr>
            <w:r w:rsidRPr="00C126C1">
              <w:rPr>
                <w:sz w:val="20"/>
                <w:szCs w:val="18"/>
              </w:rPr>
              <w:t>Assign data owners and stewards</w:t>
            </w:r>
          </w:p>
          <w:p w14:paraId="6712CDDB" w14:textId="76C1A0D0" w:rsidR="00466D8F" w:rsidRPr="00FD5EEC" w:rsidRDefault="00466D8F" w:rsidP="00C126C1">
            <w:pPr>
              <w:pStyle w:val="ListParagraph"/>
              <w:ind w:left="357" w:hanging="357"/>
              <w:rPr>
                <w:sz w:val="20"/>
                <w:szCs w:val="18"/>
              </w:rPr>
            </w:pPr>
            <w:r w:rsidRPr="00C126C1">
              <w:rPr>
                <w:sz w:val="20"/>
                <w:szCs w:val="18"/>
              </w:rPr>
              <w:t>Agree evidence standardsstewards</w:t>
            </w:r>
            <w:r w:rsidRPr="00FD5EEC">
              <w:rPr>
                <w:sz w:val="20"/>
                <w:szCs w:val="18"/>
              </w:rPr>
              <w:br/>
            </w:r>
          </w:p>
          <w:p w14:paraId="484647F1" w14:textId="53F594CB" w:rsidR="00B029BF" w:rsidRPr="00FD5EEC" w:rsidRDefault="00000C96">
            <w:pPr>
              <w:spacing w:line="276" w:lineRule="auto"/>
              <w:rPr>
                <w:rStyle w:val="SubtleEmphasis"/>
                <w:i w:val="0"/>
              </w:rPr>
            </w:pPr>
            <w:r w:rsidRPr="00000C96">
              <w:rPr>
                <w:b/>
                <w:bCs/>
                <w:color w:val="0065FC" w:themeColor="accent1"/>
                <w:sz w:val="18"/>
                <w:szCs w:val="16"/>
              </w:rPr>
              <w:t>Principle</w:t>
            </w:r>
            <w:r w:rsidRPr="00000C96">
              <w:rPr>
                <w:b/>
                <w:bCs/>
                <w:sz w:val="18"/>
                <w:szCs w:val="16"/>
              </w:rPr>
              <w:t>:</w:t>
            </w:r>
            <w:r w:rsidRPr="00000C96">
              <w:rPr>
                <w:sz w:val="18"/>
                <w:szCs w:val="16"/>
              </w:rPr>
              <w:t xml:space="preserve"> restraint — pick the smallest viable scope.</w:t>
            </w:r>
          </w:p>
        </w:tc>
        <w:tc>
          <w:tcPr>
            <w:tcW w:w="474" w:type="dxa"/>
            <w:tcBorders>
              <w:right w:val="single" w:sz="36" w:space="0" w:color="E6D443" w:themeColor="accent4"/>
            </w:tcBorders>
            <w:shd w:val="clear" w:color="auto" w:fill="FFFFFF" w:themeFill="background1"/>
          </w:tcPr>
          <w:p w14:paraId="4B42B607" w14:textId="77777777" w:rsidR="00B029BF" w:rsidRPr="00BC1653" w:rsidRDefault="00B029BF">
            <w:pPr>
              <w:spacing w:line="276" w:lineRule="auto"/>
              <w:rPr>
                <w:b/>
                <w:bCs/>
                <w:color w:val="E65C43" w:themeColor="accent3"/>
              </w:rPr>
            </w:pPr>
          </w:p>
        </w:tc>
        <w:tc>
          <w:tcPr>
            <w:tcW w:w="2665" w:type="dxa"/>
            <w:tcBorders>
              <w:left w:val="single" w:sz="36" w:space="0" w:color="E6D443" w:themeColor="accent4"/>
            </w:tcBorders>
            <w:shd w:val="clear" w:color="auto" w:fill="FAF6D9"/>
          </w:tcPr>
          <w:p w14:paraId="79F767BC" w14:textId="77777777" w:rsidR="004C3E78" w:rsidRPr="00FD5EEC" w:rsidRDefault="002E2960" w:rsidP="004C3E78">
            <w:pPr>
              <w:spacing w:line="276" w:lineRule="auto"/>
              <w:rPr>
                <w:color w:val="000000" w:themeColor="text1"/>
                <w:sz w:val="20"/>
                <w:szCs w:val="20"/>
              </w:rPr>
            </w:pPr>
            <w:r w:rsidRPr="00121C61">
              <w:rPr>
                <w:b/>
                <w:color w:val="C4B01A" w:themeColor="accent4" w:themeShade="BF"/>
                <w:sz w:val="14"/>
                <w:szCs w:val="12"/>
              </w:rPr>
              <w:t xml:space="preserve">MONTHS 3 – 9 </w:t>
            </w:r>
            <w:r w:rsidRPr="00FD5EEC">
              <w:rPr>
                <w:b/>
                <w:color w:val="E65C43" w:themeColor="accent3"/>
              </w:rPr>
              <w:br/>
            </w:r>
            <w:r w:rsidRPr="002E2960">
              <w:rPr>
                <w:b/>
                <w:bCs/>
                <w:color w:val="000000" w:themeColor="text2"/>
              </w:rPr>
              <w:t>Stage 2 automation</w:t>
            </w:r>
            <w:r w:rsidR="004C3E78" w:rsidRPr="00FD5EEC">
              <w:rPr>
                <w:color w:val="000000" w:themeColor="text1"/>
                <w:sz w:val="20"/>
                <w:szCs w:val="20"/>
              </w:rPr>
              <w:br/>
            </w:r>
          </w:p>
          <w:p w14:paraId="4DCC6338" w14:textId="18817216" w:rsidR="004C3E78" w:rsidRPr="00FD5EEC" w:rsidRDefault="004C3E78" w:rsidP="004C3E78">
            <w:pPr>
              <w:pStyle w:val="ListParagraph"/>
              <w:ind w:left="357" w:hanging="357"/>
              <w:rPr>
                <w:color w:val="000000" w:themeColor="text1"/>
                <w:sz w:val="20"/>
                <w:szCs w:val="20"/>
              </w:rPr>
            </w:pPr>
            <w:r w:rsidRPr="00FD5EEC">
              <w:rPr>
                <w:color w:val="000000" w:themeColor="text1"/>
                <w:sz w:val="20"/>
                <w:szCs w:val="20"/>
              </w:rPr>
              <w:t xml:space="preserve">Connect AI to systems of record </w:t>
            </w:r>
          </w:p>
          <w:p w14:paraId="35073110" w14:textId="353D844C" w:rsidR="004C3E78" w:rsidRPr="00FD5EEC" w:rsidRDefault="004C3E78" w:rsidP="004C3E78">
            <w:pPr>
              <w:pStyle w:val="ListParagraph"/>
              <w:ind w:left="357" w:hanging="357"/>
              <w:rPr>
                <w:color w:val="000000" w:themeColor="text1"/>
                <w:sz w:val="20"/>
                <w:szCs w:val="20"/>
              </w:rPr>
            </w:pPr>
            <w:r w:rsidRPr="00FD5EEC">
              <w:rPr>
                <w:color w:val="000000" w:themeColor="text1"/>
                <w:sz w:val="20"/>
                <w:szCs w:val="20"/>
              </w:rPr>
              <w:t xml:space="preserve">RAID extraction </w:t>
            </w:r>
            <w:r w:rsidRPr="00FD5EEC">
              <w:rPr>
                <w:rFonts w:ascii="Times New Roman" w:hAnsi="Times New Roman" w:cs="Times New Roman"/>
                <w:color w:val="000000" w:themeColor="text1"/>
                <w:sz w:val="20"/>
                <w:szCs w:val="20"/>
              </w:rPr>
              <w:t>→</w:t>
            </w:r>
            <w:r w:rsidRPr="00FD5EEC">
              <w:rPr>
                <w:color w:val="000000" w:themeColor="text1"/>
                <w:sz w:val="20"/>
                <w:szCs w:val="20"/>
              </w:rPr>
              <w:t xml:space="preserve"> governed logs </w:t>
            </w:r>
          </w:p>
          <w:p w14:paraId="6FF204DB" w14:textId="0302DB0C" w:rsidR="004C3E78" w:rsidRPr="00FD5EEC" w:rsidRDefault="004C3E78" w:rsidP="004C3E78">
            <w:pPr>
              <w:pStyle w:val="ListParagraph"/>
              <w:ind w:left="357" w:hanging="357"/>
              <w:rPr>
                <w:color w:val="000000" w:themeColor="text1"/>
                <w:sz w:val="20"/>
                <w:szCs w:val="20"/>
              </w:rPr>
            </w:pPr>
            <w:r w:rsidRPr="00FD5EEC">
              <w:rPr>
                <w:color w:val="000000" w:themeColor="text1"/>
                <w:sz w:val="20"/>
                <w:szCs w:val="20"/>
              </w:rPr>
              <w:t xml:space="preserve">Decisions become provenanced </w:t>
            </w:r>
          </w:p>
          <w:p w14:paraId="1FDFA3AB" w14:textId="77777777" w:rsidR="004C3E78" w:rsidRPr="00FD5EEC" w:rsidRDefault="004C3E78" w:rsidP="004C3E78">
            <w:pPr>
              <w:pStyle w:val="ListParagraph"/>
              <w:ind w:left="357" w:hanging="357"/>
              <w:rPr>
                <w:color w:val="000000" w:themeColor="text1"/>
                <w:sz w:val="20"/>
                <w:szCs w:val="20"/>
              </w:rPr>
            </w:pPr>
            <w:r w:rsidRPr="00FD5EEC">
              <w:rPr>
                <w:color w:val="000000" w:themeColor="text1"/>
                <w:sz w:val="20"/>
                <w:szCs w:val="20"/>
              </w:rPr>
              <w:t>Human review in the workflow</w:t>
            </w:r>
          </w:p>
          <w:p w14:paraId="5620C4EB" w14:textId="77777777" w:rsidR="009A4F8B" w:rsidRPr="00FD5EEC" w:rsidRDefault="009A4F8B" w:rsidP="009A4F8B">
            <w:pPr>
              <w:rPr>
                <w:rStyle w:val="SubtleEmphasis"/>
                <w:i w:val="0"/>
                <w:color w:val="000000" w:themeColor="text1"/>
                <w:sz w:val="20"/>
                <w:szCs w:val="20"/>
              </w:rPr>
            </w:pPr>
          </w:p>
          <w:p w14:paraId="6AFA3C05" w14:textId="4C097AED" w:rsidR="00B029BF" w:rsidRPr="00FD5EEC" w:rsidRDefault="009A4F8B" w:rsidP="009A4F8B">
            <w:pPr>
              <w:spacing w:line="276" w:lineRule="auto"/>
              <w:rPr>
                <w:rStyle w:val="SubtleEmphasis"/>
                <w:i w:val="0"/>
                <w:color w:val="000000" w:themeColor="text1"/>
                <w:sz w:val="20"/>
                <w:szCs w:val="20"/>
              </w:rPr>
            </w:pPr>
            <w:r w:rsidRPr="00121C61">
              <w:rPr>
                <w:b/>
                <w:color w:val="C4B01A" w:themeColor="accent4" w:themeShade="BF"/>
                <w:sz w:val="18"/>
                <w:szCs w:val="18"/>
              </w:rPr>
              <w:t>Principle:</w:t>
            </w:r>
            <w:r w:rsidRPr="00121C61">
              <w:rPr>
                <w:color w:val="C4B01A" w:themeColor="accent4" w:themeShade="BF"/>
                <w:sz w:val="18"/>
                <w:szCs w:val="18"/>
              </w:rPr>
              <w:t xml:space="preserve"> </w:t>
            </w:r>
            <w:r w:rsidRPr="009A4F8B">
              <w:rPr>
                <w:color w:val="000000" w:themeColor="text1"/>
                <w:sz w:val="18"/>
                <w:szCs w:val="18"/>
              </w:rPr>
              <w:t>measure quality, not just adoption.</w:t>
            </w:r>
          </w:p>
        </w:tc>
        <w:tc>
          <w:tcPr>
            <w:tcW w:w="474" w:type="dxa"/>
            <w:tcBorders>
              <w:right w:val="single" w:sz="36" w:space="0" w:color="43E6A2" w:themeColor="accent2"/>
            </w:tcBorders>
            <w:shd w:val="clear" w:color="auto" w:fill="FFFFFF" w:themeFill="background1"/>
          </w:tcPr>
          <w:p w14:paraId="1CDD6A87" w14:textId="77777777" w:rsidR="00B029BF" w:rsidRDefault="00B029BF">
            <w:pPr>
              <w:spacing w:line="276" w:lineRule="auto"/>
              <w:rPr>
                <w:b/>
                <w:bCs/>
                <w:color w:val="E1CA1F"/>
              </w:rPr>
            </w:pPr>
          </w:p>
          <w:p w14:paraId="754C874B" w14:textId="77777777" w:rsidR="00B029BF" w:rsidRDefault="00B029BF">
            <w:pPr>
              <w:rPr>
                <w:b/>
                <w:bCs/>
                <w:color w:val="E1CA1F"/>
              </w:rPr>
            </w:pPr>
          </w:p>
          <w:p w14:paraId="13EF48AD" w14:textId="77777777" w:rsidR="00B029BF" w:rsidRPr="001261B1" w:rsidRDefault="00B029BF"/>
        </w:tc>
        <w:tc>
          <w:tcPr>
            <w:tcW w:w="2721" w:type="dxa"/>
            <w:tcBorders>
              <w:left w:val="single" w:sz="36" w:space="0" w:color="43E6A2" w:themeColor="accent2"/>
            </w:tcBorders>
            <w:shd w:val="clear" w:color="auto" w:fill="D8F6E7"/>
          </w:tcPr>
          <w:p w14:paraId="61F5F959" w14:textId="77777777" w:rsidR="00873B2B" w:rsidRPr="00CA20FB" w:rsidRDefault="00873B2B" w:rsidP="00873B2B">
            <w:pPr>
              <w:spacing w:line="276" w:lineRule="auto"/>
              <w:rPr>
                <w:b/>
                <w:color w:val="1AC47C" w:themeColor="accent2" w:themeShade="BF"/>
                <w:sz w:val="14"/>
                <w:szCs w:val="12"/>
              </w:rPr>
            </w:pPr>
            <w:r w:rsidRPr="00CA20FB">
              <w:rPr>
                <w:b/>
                <w:color w:val="1AC47C" w:themeColor="accent2" w:themeShade="BF"/>
                <w:sz w:val="14"/>
                <w:szCs w:val="12"/>
              </w:rPr>
              <w:t>MONTHS 9 – 24</w:t>
            </w:r>
          </w:p>
          <w:p w14:paraId="268CFAB9" w14:textId="6B3C6739" w:rsidR="00873B2B" w:rsidRPr="00FD5EEC" w:rsidRDefault="00873B2B" w:rsidP="00873B2B">
            <w:pPr>
              <w:spacing w:line="276" w:lineRule="auto"/>
              <w:rPr>
                <w:b/>
                <w:color w:val="000000" w:themeColor="text1"/>
              </w:rPr>
            </w:pPr>
            <w:r w:rsidRPr="00873B2B">
              <w:rPr>
                <w:b/>
                <w:bCs/>
                <w:color w:val="000000" w:themeColor="text1"/>
              </w:rPr>
              <w:t>Stage 3 intelligence</w:t>
            </w:r>
            <w:r w:rsidR="000A3899" w:rsidRPr="00FD5EEC">
              <w:rPr>
                <w:b/>
                <w:color w:val="000000" w:themeColor="text1"/>
              </w:rPr>
              <w:br/>
            </w:r>
          </w:p>
          <w:p w14:paraId="2D7A8B4D" w14:textId="087AD4A5" w:rsidR="00CE359B" w:rsidRPr="00FD5EEC" w:rsidRDefault="00CE359B" w:rsidP="00693719">
            <w:pPr>
              <w:pStyle w:val="ListParagraph"/>
              <w:ind w:left="357" w:hanging="357"/>
              <w:rPr>
                <w:sz w:val="20"/>
                <w:szCs w:val="20"/>
              </w:rPr>
            </w:pPr>
            <w:r w:rsidRPr="00FD5EEC">
              <w:rPr>
                <w:sz w:val="20"/>
                <w:szCs w:val="20"/>
              </w:rPr>
              <w:t xml:space="preserve">Begin predictive work </w:t>
            </w:r>
          </w:p>
          <w:p w14:paraId="513ECF1B" w14:textId="63F15643" w:rsidR="00CE359B" w:rsidRPr="00FD5EEC" w:rsidRDefault="00CE359B" w:rsidP="00693719">
            <w:pPr>
              <w:pStyle w:val="ListParagraph"/>
              <w:ind w:left="357" w:hanging="357"/>
              <w:rPr>
                <w:sz w:val="20"/>
                <w:szCs w:val="20"/>
              </w:rPr>
            </w:pPr>
            <w:r w:rsidRPr="00FD5EEC">
              <w:rPr>
                <w:sz w:val="20"/>
                <w:szCs w:val="20"/>
              </w:rPr>
              <w:t xml:space="preserve">Historical backfill, semantic layer </w:t>
            </w:r>
          </w:p>
          <w:p w14:paraId="719C193F" w14:textId="5462B026" w:rsidR="00CE359B" w:rsidRPr="00FD5EEC" w:rsidRDefault="00CE359B" w:rsidP="00693719">
            <w:pPr>
              <w:pStyle w:val="ListParagraph"/>
              <w:ind w:left="357" w:hanging="357"/>
              <w:rPr>
                <w:sz w:val="20"/>
                <w:szCs w:val="20"/>
              </w:rPr>
            </w:pPr>
            <w:r w:rsidRPr="00FD5EEC">
              <w:rPr>
                <w:sz w:val="20"/>
                <w:szCs w:val="20"/>
              </w:rPr>
              <w:t xml:space="preserve">Lineage and quality monitoring </w:t>
            </w:r>
          </w:p>
          <w:p w14:paraId="619901A6" w14:textId="4A26A117" w:rsidR="00B029BA" w:rsidRPr="00FD5EEC" w:rsidRDefault="00CE359B" w:rsidP="00693719">
            <w:pPr>
              <w:pStyle w:val="ListParagraph"/>
              <w:ind w:left="357" w:hanging="357"/>
              <w:rPr>
                <w:color w:val="404040" w:themeColor="text1" w:themeTint="BF"/>
              </w:rPr>
            </w:pPr>
            <w:r w:rsidRPr="00FD5EEC">
              <w:rPr>
                <w:sz w:val="20"/>
                <w:szCs w:val="20"/>
              </w:rPr>
              <w:t>Focus models on a few outcomes</w:t>
            </w:r>
            <w:r w:rsidR="00121C61" w:rsidRPr="00FD5EEC">
              <w:rPr>
                <w:sz w:val="20"/>
                <w:szCs w:val="20"/>
              </w:rPr>
              <w:br/>
            </w:r>
          </w:p>
          <w:p w14:paraId="3CD75395" w14:textId="1BE9A5A3" w:rsidR="00B029BF" w:rsidRPr="00FD5EEC" w:rsidRDefault="000A3899" w:rsidP="00B2607E">
            <w:pPr>
              <w:spacing w:line="276" w:lineRule="auto"/>
              <w:rPr>
                <w:rStyle w:val="SubtleEmphasis"/>
                <w:i w:val="0"/>
              </w:rPr>
            </w:pPr>
            <w:r w:rsidRPr="00CA20FB">
              <w:rPr>
                <w:b/>
                <w:color w:val="1AC47C" w:themeColor="accent2" w:themeShade="BF"/>
                <w:sz w:val="18"/>
                <w:szCs w:val="16"/>
              </w:rPr>
              <w:t>Principle:</w:t>
            </w:r>
            <w:r w:rsidRPr="00CA20FB">
              <w:rPr>
                <w:color w:val="1AC47C" w:themeColor="accent2" w:themeShade="BF"/>
                <w:sz w:val="18"/>
                <w:szCs w:val="16"/>
              </w:rPr>
              <w:t xml:space="preserve"> </w:t>
            </w:r>
            <w:r w:rsidRPr="00B029BA">
              <w:rPr>
                <w:sz w:val="18"/>
                <w:szCs w:val="16"/>
              </w:rPr>
              <w:t>metadata becomes cumulative capital.</w:t>
            </w:r>
          </w:p>
        </w:tc>
      </w:tr>
    </w:tbl>
    <w:p w14:paraId="6969F944" w14:textId="4E5CC18A" w:rsidR="00210EDB" w:rsidRPr="00FD5EEC" w:rsidRDefault="00CA4CD0" w:rsidP="00210EDB">
      <w:pPr>
        <w:rPr>
          <w:rStyle w:val="SubtleEmphasis"/>
        </w:rPr>
      </w:pPr>
      <w:r w:rsidRPr="00FD5EEC">
        <w:br/>
      </w:r>
      <w:r w:rsidR="00210EDB" w:rsidRPr="00FD5EEC">
        <w:rPr>
          <w:rStyle w:val="SubtleEmphasis"/>
        </w:rPr>
        <w:t>Figure 6. A practical 24-month sequence from personal AI to delivery intelligence.</w:t>
      </w:r>
    </w:p>
    <w:p w14:paraId="218C9799" w14:textId="77777777" w:rsidR="00210EDB" w:rsidRPr="00FD5EEC" w:rsidRDefault="00210EDB" w:rsidP="00210EDB">
      <w:r w:rsidRPr="00FD5EEC">
        <w:t>Two principles run across the whole journey. The first is governance. Regulatory and assurance design is not a final-stage concern: NIST’s AI Risk Management Framework, the EU AI Act and the Bank of England / FCA evidence base all point the same way. Every meaningful automation should have a visible owner, logged provenance, an approved review path and a documented failure mode.</w:t>
      </w:r>
    </w:p>
    <w:p w14:paraId="29A07FA8" w14:textId="77777777" w:rsidR="00210EDB" w:rsidRPr="00FD5EEC" w:rsidRDefault="00210EDB" w:rsidP="00210EDB">
      <w:r w:rsidRPr="00FD5EEC">
        <w:t>The second is restraint. The most important decision in the first 90 days is what not to do. Do not standardise the whole enterprise. Do not build a predictive model. Do not create a taxonomy so complex that teams avoid it. Build the smallest structure that makes one high-value process auditable and reusable. In months 3–9, measure quality as much as adoption — adoption tells you people use the tool; completeness, consistency and correction rates tell you whether the output is becoming trustworthy delivery evidence. In months 9–24, the most important governance question is not whether the model is impressive, but whether leaders understand what evidence it uses, where its boundaries are and who is accountable when its signal influences a decision.</w:t>
      </w:r>
    </w:p>
    <w:p w14:paraId="0D4E16EB" w14:textId="77777777" w:rsidR="00210EDB" w:rsidRPr="00FD5EEC" w:rsidRDefault="00210EDB" w:rsidP="00210EDB"/>
    <w:tbl>
      <w:tblPr>
        <w:tblW w:w="8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0"/>
      </w:tblGrid>
      <w:tr w:rsidR="00210EDB" w:rsidRPr="00210EDB" w14:paraId="5DCC01A7" w14:textId="77777777" w:rsidTr="00BA083A">
        <w:trPr>
          <w:trHeight w:val="2432"/>
        </w:trPr>
        <w:tc>
          <w:tcPr>
            <w:tcW w:w="8990" w:type="dxa"/>
            <w:tcBorders>
              <w:top w:val="none" w:sz="0" w:space="0" w:color="FFFFFF"/>
              <w:left w:val="single" w:sz="24" w:space="0" w:color="E6D343"/>
              <w:bottom w:val="none" w:sz="0" w:space="0" w:color="FFFFFF"/>
              <w:right w:val="none" w:sz="0" w:space="0" w:color="FFFFFF"/>
            </w:tcBorders>
            <w:shd w:val="clear" w:color="auto" w:fill="FBF4C2"/>
            <w:tcMar>
              <w:top w:w="240" w:type="dxa"/>
              <w:left w:w="280" w:type="dxa"/>
              <w:bottom w:w="240" w:type="dxa"/>
              <w:right w:w="280" w:type="dxa"/>
            </w:tcMar>
          </w:tcPr>
          <w:p w14:paraId="07D1E268" w14:textId="77777777" w:rsidR="00210EDB" w:rsidRPr="00FD5EEC" w:rsidRDefault="00210EDB" w:rsidP="00210EDB">
            <w:r w:rsidRPr="00FD5EEC">
              <w:rPr>
                <w:b/>
              </w:rPr>
              <w:lastRenderedPageBreak/>
              <w:t>A non-sales call to action</w:t>
            </w:r>
          </w:p>
          <w:p w14:paraId="19E769A1" w14:textId="77777777" w:rsidR="00210EDB" w:rsidRPr="00FD5EEC" w:rsidRDefault="00210EDB" w:rsidP="00210EDB">
            <w:r w:rsidRPr="00FD5EEC">
              <w:t>The right first move is not to buy another tool. It is to pick one delivery domain and test whether AI-assisted work can become structured, governed evidence. If it can, the organisation has started to build delivery intelligence. If it cannot, the organisation is still in Stage 1, regardless of how many AI licences it owns.</w:t>
            </w:r>
          </w:p>
        </w:tc>
      </w:tr>
    </w:tbl>
    <w:p w14:paraId="3D2556D8" w14:textId="77777777" w:rsidR="00EF0DFE" w:rsidRPr="00FD5EEC" w:rsidRDefault="00EF0DFE" w:rsidP="00210EDB">
      <w:pPr>
        <w:rPr>
          <w:b/>
        </w:rPr>
      </w:pPr>
    </w:p>
    <w:p w14:paraId="76685E66" w14:textId="7A7A33E2" w:rsidR="00210EDB" w:rsidRPr="00FD5EEC" w:rsidRDefault="00210EDB" w:rsidP="00EF0DFE">
      <w:pPr>
        <w:pStyle w:val="Heading2"/>
        <w:rPr>
          <w:rFonts w:hint="eastAsia"/>
        </w:rPr>
      </w:pPr>
      <w:bookmarkStart w:id="16" w:name="_Toc231422559"/>
      <w:r w:rsidRPr="00FD5EEC">
        <w:t>Conclusion: the leadership choice</w:t>
      </w:r>
      <w:bookmarkEnd w:id="16"/>
    </w:p>
    <w:p w14:paraId="1CFA5D20" w14:textId="77777777" w:rsidR="00210EDB" w:rsidRPr="00FD5EEC" w:rsidRDefault="00210EDB" w:rsidP="00210EDB">
      <w:r w:rsidRPr="00FD5EEC">
        <w:t>AI will become normal in programme delivery. That is no longer the strategic question. The question is whether it becomes a layer of personal productivity on top of fragmented delivery practice, or a route to a more intelligent delivery operating model.</w:t>
      </w:r>
    </w:p>
    <w:p w14:paraId="4BD36805" w14:textId="77777777" w:rsidR="00210EDB" w:rsidRPr="00FD5EEC" w:rsidRDefault="00210EDB" w:rsidP="00210EDB">
      <w:r w:rsidRPr="00FD5EEC">
        <w:t>The organisations that benefit most will not be the ones with the most ambitious agent roadmap. They will be the ones that make delivery work more observable, comparable and reusable. They will define the terms that matter, create metadata as work happens, connect AI outputs into systems of record, preserve human review, and treat delivery data as an asset rather than exhaust.</w:t>
      </w:r>
    </w:p>
    <w:p w14:paraId="084A6807" w14:textId="77777777" w:rsidR="00210EDB" w:rsidRPr="00FD5EEC" w:rsidRDefault="00210EDB" w:rsidP="00210EDB">
      <w:r w:rsidRPr="00FD5EEC">
        <w:t>Delivery Intelligence Debt is avoidable, but only if leaders recognise it early. Stage 1 is useful. Stage 3 is attractive. Stage 2 is the bridge. The leadership choice for the next two years is whether to build that bridge deliberately, or to discover later that the organisation accelerated thousands of delivery tasks without learning enough from any of them.</w:t>
      </w:r>
    </w:p>
    <w:p w14:paraId="298590B6" w14:textId="77777777" w:rsidR="00210EDB" w:rsidRPr="00FD5EEC" w:rsidRDefault="00210EDB" w:rsidP="00210EDB">
      <w:r w:rsidRPr="00FD5EEC">
        <w:rPr>
          <w:b/>
          <w:i/>
        </w:rPr>
        <w:t>That is the difference between an organisation that uses AI and one that learns with it.</w:t>
      </w:r>
    </w:p>
    <w:p w14:paraId="040D6A7E" w14:textId="77777777" w:rsidR="00210EDB" w:rsidRPr="00FD5EEC" w:rsidRDefault="00210EDB" w:rsidP="00EF0DFE">
      <w:pPr>
        <w:pStyle w:val="Heading1"/>
        <w:rPr>
          <w:rFonts w:hint="eastAsia"/>
        </w:rPr>
      </w:pPr>
      <w:bookmarkStart w:id="17" w:name="_Toc231422560"/>
      <w:r w:rsidRPr="00FD5EEC">
        <w:lastRenderedPageBreak/>
        <w:t>Appendix</w:t>
      </w:r>
      <w:bookmarkEnd w:id="17"/>
    </w:p>
    <w:p w14:paraId="11BB051F" w14:textId="77777777" w:rsidR="00210EDB" w:rsidRPr="00FD5EEC" w:rsidRDefault="00210EDB" w:rsidP="00EF0DFE">
      <w:pPr>
        <w:pStyle w:val="Heading2"/>
        <w:rPr>
          <w:rFonts w:hint="eastAsia"/>
        </w:rPr>
      </w:pPr>
      <w:bookmarkStart w:id="18" w:name="_Toc231422561"/>
      <w:r w:rsidRPr="00FD5EEC">
        <w:t>AI definitions</w:t>
      </w:r>
      <w:bookmarkEnd w:id="18"/>
    </w:p>
    <w:p w14:paraId="4EC02338" w14:textId="77777777" w:rsidR="00210EDB" w:rsidRPr="00FD5EEC" w:rsidRDefault="00210EDB" w:rsidP="00210EDB">
      <w:r w:rsidRPr="00FD5EEC">
        <w:rPr>
          <w:b/>
        </w:rPr>
        <w:t xml:space="preserve">Artificial Intelligence (AI). </w:t>
      </w:r>
      <w:r w:rsidRPr="00FD5EEC">
        <w:t>Technology that enables computer systems to perform tasks typically requiring human intelligence — such as recognising patterns, analysing data, solving problems, and making decisions.</w:t>
      </w:r>
    </w:p>
    <w:p w14:paraId="3C13F495" w14:textId="77777777" w:rsidR="00210EDB" w:rsidRPr="00FD5EEC" w:rsidRDefault="00210EDB" w:rsidP="00210EDB">
      <w:r w:rsidRPr="00FD5EEC">
        <w:rPr>
          <w:b/>
        </w:rPr>
        <w:t xml:space="preserve">Predictive AI. </w:t>
      </w:r>
      <w:r w:rsidRPr="00FD5EEC">
        <w:t>The use of artificial intelligence to analyse historical and current data and make predictions about future events or trends.</w:t>
      </w:r>
    </w:p>
    <w:p w14:paraId="649ADEC7" w14:textId="77777777" w:rsidR="00210EDB" w:rsidRPr="00FD5EEC" w:rsidRDefault="00210EDB" w:rsidP="00210EDB">
      <w:r w:rsidRPr="00FD5EEC">
        <w:rPr>
          <w:b/>
        </w:rPr>
        <w:t xml:space="preserve">Generative AI. </w:t>
      </w:r>
      <w:r w:rsidRPr="00FD5EEC">
        <w:t>The use of artificial intelligence to generate new, realistic content by learning and replicating patterns.</w:t>
      </w:r>
    </w:p>
    <w:p w14:paraId="246172A7" w14:textId="77777777" w:rsidR="00210EDB" w:rsidRPr="00FD5EEC" w:rsidRDefault="00210EDB" w:rsidP="00210EDB">
      <w:r w:rsidRPr="00FD5EEC">
        <w:rPr>
          <w:b/>
        </w:rPr>
        <w:t xml:space="preserve">Agentic AI. </w:t>
      </w:r>
      <w:r w:rsidRPr="00FD5EEC">
        <w:t>A model of artificial intelligence execution with autonomous agents that can observe, reason, plan, use tools, and act, coordinating across workflows, tools, and systems with minimal human input.</w:t>
      </w:r>
    </w:p>
    <w:p w14:paraId="38EA5079" w14:textId="77777777" w:rsidR="00210EDB" w:rsidRPr="00FD5EEC" w:rsidRDefault="00210EDB" w:rsidP="00EF0DFE">
      <w:pPr>
        <w:pStyle w:val="Heading1"/>
        <w:rPr>
          <w:rFonts w:hint="eastAsia"/>
        </w:rPr>
      </w:pPr>
      <w:bookmarkStart w:id="19" w:name="_Toc231422562"/>
      <w:r w:rsidRPr="00FD5EEC">
        <w:t>Endnotes</w:t>
      </w:r>
      <w:bookmarkEnd w:id="19"/>
    </w:p>
    <w:p w14:paraId="101DFAB7" w14:textId="77777777" w:rsidR="00210EDB" w:rsidRPr="00FD5EEC" w:rsidRDefault="00210EDB" w:rsidP="00210EDB">
      <w:r w:rsidRPr="00FD5EEC">
        <w:rPr>
          <w:b/>
          <w:color w:val="0065FC" w:themeColor="accent1"/>
        </w:rPr>
        <w:t xml:space="preserve">1. </w:t>
      </w:r>
      <w:r w:rsidRPr="00FD5EEC">
        <w:t>Association for Project Management, "AI use in project management nearly doubles in just two years", 9 September 2025.</w:t>
      </w:r>
    </w:p>
    <w:p w14:paraId="69280044" w14:textId="77777777" w:rsidR="00210EDB" w:rsidRPr="00FD5EEC" w:rsidRDefault="00210EDB" w:rsidP="00210EDB">
      <w:r w:rsidRPr="00FD5EEC">
        <w:rPr>
          <w:b/>
          <w:color w:val="0065FC" w:themeColor="accent1"/>
        </w:rPr>
        <w:t xml:space="preserve">2. </w:t>
      </w:r>
      <w:r w:rsidRPr="00FD5EEC">
        <w:t>Gartner, "Lack of AI-ready data puts AI projects at risk", February 2025.</w:t>
      </w:r>
    </w:p>
    <w:p w14:paraId="3E9F1CFA" w14:textId="77777777" w:rsidR="00210EDB" w:rsidRPr="00FD5EEC" w:rsidRDefault="00210EDB" w:rsidP="00210EDB">
      <w:r w:rsidRPr="00FD5EEC">
        <w:rPr>
          <w:b/>
          <w:color w:val="0065FC" w:themeColor="accent1"/>
        </w:rPr>
        <w:t xml:space="preserve">3. </w:t>
      </w:r>
      <w:r w:rsidRPr="00FD5EEC">
        <w:t>Deloitte AI Institute, "State of Generative AI in the Enterprise", 2024.</w:t>
      </w:r>
    </w:p>
    <w:p w14:paraId="7927685A" w14:textId="77777777" w:rsidR="00210EDB" w:rsidRPr="00FD5EEC" w:rsidRDefault="00210EDB" w:rsidP="00210EDB">
      <w:r w:rsidRPr="00FD5EEC">
        <w:rPr>
          <w:b/>
          <w:color w:val="0065FC" w:themeColor="accent1"/>
        </w:rPr>
        <w:t xml:space="preserve">4. </w:t>
      </w:r>
      <w:r w:rsidRPr="00FD5EEC">
        <w:t>Dell’Acqua et al., "Navigating the Jagged Technological Frontier", 2023; MIT Sloan summary.</w:t>
      </w:r>
    </w:p>
    <w:p w14:paraId="77DB341C" w14:textId="77777777" w:rsidR="00210EDB" w:rsidRPr="00FD5EEC" w:rsidRDefault="00210EDB" w:rsidP="00210EDB">
      <w:r w:rsidRPr="00FD5EEC">
        <w:rPr>
          <w:b/>
          <w:color w:val="0065FC" w:themeColor="accent1"/>
        </w:rPr>
        <w:t xml:space="preserve">5. </w:t>
      </w:r>
      <w:r w:rsidRPr="00FD5EEC">
        <w:t>Microsoft WorkLab, "What can Copilot’s earliest users teach us about generative AI at work?", November 2023.</w:t>
      </w:r>
    </w:p>
    <w:p w14:paraId="2F6B1A46" w14:textId="77777777" w:rsidR="00210EDB" w:rsidRPr="00FD5EEC" w:rsidRDefault="00210EDB" w:rsidP="00210EDB">
      <w:r w:rsidRPr="00FD5EEC">
        <w:rPr>
          <w:b/>
          <w:color w:val="0065FC" w:themeColor="accent1"/>
        </w:rPr>
        <w:t xml:space="preserve">6. </w:t>
      </w:r>
      <w:r w:rsidRPr="00FD5EEC">
        <w:t>Forrester Consulting, "The Total Economic Impact of Microsoft 365 Copilot", commissioned by Microsoft.</w:t>
      </w:r>
    </w:p>
    <w:p w14:paraId="3ADBABE6" w14:textId="77777777" w:rsidR="00210EDB" w:rsidRPr="00FD5EEC" w:rsidRDefault="00210EDB" w:rsidP="00210EDB">
      <w:r w:rsidRPr="00FD5EEC">
        <w:rPr>
          <w:b/>
          <w:color w:val="0065FC" w:themeColor="accent1"/>
        </w:rPr>
        <w:lastRenderedPageBreak/>
        <w:t xml:space="preserve">7. </w:t>
      </w:r>
      <w:r w:rsidRPr="00FD5EEC">
        <w:t>Microsoft customer story, "Commercial Bank of Dubai boosts AI literacy with Microsoft 365 Copilot", 2025.</w:t>
      </w:r>
    </w:p>
    <w:p w14:paraId="185E6070" w14:textId="77777777" w:rsidR="00210EDB" w:rsidRPr="00FD5EEC" w:rsidRDefault="00210EDB" w:rsidP="00210EDB">
      <w:r w:rsidRPr="00FD5EEC">
        <w:rPr>
          <w:b/>
          <w:color w:val="0065FC" w:themeColor="accent1"/>
        </w:rPr>
        <w:t xml:space="preserve">8. </w:t>
      </w:r>
      <w:r w:rsidRPr="00FD5EEC">
        <w:t>UK Government, "Guidelines and best practices for making government datasets ready for AI".</w:t>
      </w:r>
    </w:p>
    <w:p w14:paraId="77A65FE8" w14:textId="77777777" w:rsidR="00210EDB" w:rsidRPr="00FD5EEC" w:rsidRDefault="00210EDB" w:rsidP="00210EDB">
      <w:r w:rsidRPr="00FD5EEC">
        <w:rPr>
          <w:b/>
          <w:color w:val="0065FC" w:themeColor="accent1"/>
        </w:rPr>
        <w:t xml:space="preserve">9. </w:t>
      </w:r>
      <w:r w:rsidRPr="00FD5EEC">
        <w:t>Open Data Institute, "A framework for AI-ready data", 2025.</w:t>
      </w:r>
    </w:p>
    <w:p w14:paraId="44BA4277" w14:textId="77777777" w:rsidR="00210EDB" w:rsidRPr="00FD5EEC" w:rsidRDefault="00210EDB" w:rsidP="00210EDB">
      <w:r w:rsidRPr="00FD5EEC">
        <w:rPr>
          <w:b/>
          <w:color w:val="0065FC" w:themeColor="accent1"/>
        </w:rPr>
        <w:t xml:space="preserve">10. </w:t>
      </w:r>
      <w:r w:rsidRPr="00FD5EEC">
        <w:t>NIST, "AI Risk Management Framework: Generative AI Profile", NIST AI 600-1, July 2024.</w:t>
      </w:r>
    </w:p>
    <w:p w14:paraId="38949A62" w14:textId="77777777" w:rsidR="00210EDB" w:rsidRPr="00FD5EEC" w:rsidRDefault="00210EDB" w:rsidP="00210EDB">
      <w:r w:rsidRPr="00FD5EEC">
        <w:rPr>
          <w:b/>
          <w:color w:val="0065FC" w:themeColor="accent1"/>
        </w:rPr>
        <w:t xml:space="preserve">11. </w:t>
      </w:r>
      <w:r w:rsidRPr="00FD5EEC">
        <w:t>Microsoft Learn, "Prepare the Semantic Layer for AI in Microsoft Fabric".</w:t>
      </w:r>
    </w:p>
    <w:p w14:paraId="37F3828F" w14:textId="77777777" w:rsidR="00210EDB" w:rsidRPr="00FD5EEC" w:rsidRDefault="00210EDB" w:rsidP="00210EDB">
      <w:r w:rsidRPr="00FD5EEC">
        <w:rPr>
          <w:b/>
          <w:color w:val="0065FC" w:themeColor="accent1"/>
        </w:rPr>
        <w:t xml:space="preserve">12. </w:t>
      </w:r>
      <w:r w:rsidRPr="00FD5EEC">
        <w:t>GitHub Docs, "Managing Copilot for your enterprise".</w:t>
      </w:r>
    </w:p>
    <w:p w14:paraId="13E48371" w14:textId="77777777" w:rsidR="00210EDB" w:rsidRPr="00FD5EEC" w:rsidRDefault="00210EDB" w:rsidP="00210EDB">
      <w:r w:rsidRPr="00FD5EEC">
        <w:rPr>
          <w:b/>
          <w:color w:val="0065FC" w:themeColor="accent1"/>
        </w:rPr>
        <w:t xml:space="preserve">13. </w:t>
      </w:r>
      <w:r w:rsidRPr="00FD5EEC">
        <w:t>DORA / Google Cloud, "2025 DORA AI Capabilities Model".</w:t>
      </w:r>
    </w:p>
    <w:p w14:paraId="40933136" w14:textId="77777777" w:rsidR="00210EDB" w:rsidRPr="00FD5EEC" w:rsidRDefault="00210EDB" w:rsidP="00210EDB">
      <w:r w:rsidRPr="00FD5EEC">
        <w:rPr>
          <w:b/>
          <w:color w:val="0065FC" w:themeColor="accent1"/>
        </w:rPr>
        <w:t xml:space="preserve">14. </w:t>
      </w:r>
      <w:r w:rsidRPr="00FD5EEC">
        <w:t>Morgan Stanley, "Launch of AI @ Morgan Stanley Debrief", 26 June 2024.</w:t>
      </w:r>
    </w:p>
    <w:p w14:paraId="69D3B011" w14:textId="77777777" w:rsidR="00210EDB" w:rsidRPr="00FD5EEC" w:rsidRDefault="00210EDB" w:rsidP="00210EDB">
      <w:r w:rsidRPr="00FD5EEC">
        <w:rPr>
          <w:b/>
          <w:color w:val="0065FC" w:themeColor="accent1"/>
        </w:rPr>
        <w:t xml:space="preserve">15. </w:t>
      </w:r>
      <w:r w:rsidRPr="00FD5EEC">
        <w:t>Lloyds Banking Group, "Lloyds scales adoption of Copilot", 21 October 2025.</w:t>
      </w:r>
    </w:p>
    <w:p w14:paraId="79167901" w14:textId="77777777" w:rsidR="00210EDB" w:rsidRPr="00FD5EEC" w:rsidRDefault="00210EDB" w:rsidP="00210EDB">
      <w:r w:rsidRPr="00FD5EEC">
        <w:rPr>
          <w:b/>
          <w:color w:val="0065FC" w:themeColor="accent1"/>
        </w:rPr>
        <w:t xml:space="preserve">16. </w:t>
      </w:r>
      <w:r w:rsidRPr="00FD5EEC">
        <w:t>JPMorgan Chase, "LLM Suite named 2025 Innovation of the Year by American Banker", June 2025.</w:t>
      </w:r>
    </w:p>
    <w:p w14:paraId="6E2D0CBA" w14:textId="77777777" w:rsidR="00210EDB" w:rsidRPr="00FD5EEC" w:rsidRDefault="00210EDB" w:rsidP="00210EDB">
      <w:r w:rsidRPr="00FD5EEC">
        <w:rPr>
          <w:b/>
          <w:color w:val="0065FC" w:themeColor="accent1"/>
        </w:rPr>
        <w:t xml:space="preserve">17. </w:t>
      </w:r>
      <w:r w:rsidRPr="00FD5EEC">
        <w:t>J.P. Morgan Payments, "How J.P. Morgan developers leverage AI", April 2025.</w:t>
      </w:r>
    </w:p>
    <w:p w14:paraId="7D03489B" w14:textId="170EBCED" w:rsidR="00341746" w:rsidRPr="00FD5EEC" w:rsidRDefault="00210EDB" w:rsidP="00EF0DFE">
      <w:r w:rsidRPr="00FD5EEC">
        <w:rPr>
          <w:b/>
          <w:color w:val="0065FC" w:themeColor="accent1"/>
        </w:rPr>
        <w:t xml:space="preserve">18. </w:t>
      </w:r>
      <w:r w:rsidRPr="00FD5EEC">
        <w:t>Bank of England and Financial Conduct Authority, "Artificial Intelligence in UK financial services 2024", November 2024</w:t>
      </w:r>
    </w:p>
    <w:p w14:paraId="468C7FC7" w14:textId="2419B1E6" w:rsidR="00341746" w:rsidRPr="00FD5EEC" w:rsidRDefault="00912058" w:rsidP="00912058">
      <w:pPr>
        <w:spacing w:line="259" w:lineRule="auto"/>
      </w:pPr>
      <w:r w:rsidRPr="00FD5EEC">
        <w:br w:type="page"/>
      </w:r>
    </w:p>
    <w:p w14:paraId="68CBD93B" w14:textId="386E5D6F" w:rsidR="00EF0DFE" w:rsidRPr="00FD5EEC" w:rsidRDefault="00210EDB" w:rsidP="00EF0DFE">
      <w:pPr>
        <w:pStyle w:val="Heading1"/>
        <w:rPr>
          <w:rFonts w:asciiTheme="minorHAnsi" w:hAnsiTheme="minorHAnsi"/>
        </w:rPr>
      </w:pPr>
      <w:bookmarkStart w:id="20" w:name="_Toc231422563"/>
      <w:r w:rsidRPr="00FD5EEC">
        <w:rPr>
          <w:rStyle w:val="Heading1Char"/>
          <w:lang w:val="ru-RU"/>
        </w:rPr>
        <w:lastRenderedPageBreak/>
        <w:t>SmartCo</w:t>
      </w:r>
      <w:bookmarkEnd w:id="20"/>
    </w:p>
    <w:p w14:paraId="205E4F0C" w14:textId="61CA2D1D" w:rsidR="00210EDB" w:rsidRPr="00FD5EEC" w:rsidRDefault="00210EDB" w:rsidP="00210EDB">
      <w:r w:rsidRPr="00FD5EEC">
        <w:t>SmartCo is a digital transformation partner</w:t>
      </w:r>
      <w:r w:rsidR="00B6285F">
        <w:rPr>
          <w:lang w:val="en-GB"/>
        </w:rPr>
        <w:t>,</w:t>
      </w:r>
      <w:r w:rsidRPr="00FD5EEC">
        <w:t xml:space="preserve"> enabling global organisations to scale AI and data, re-risk M&amp;A, optimise cloud and ERP estates and deliver complex technology programmes with confidence. Combining advisory, hands-on delivery and continuous optimisation, SmartCo brings senior expertise and rapid mobilisation to ensure your technology programme delivers measurable outcomes and long-term value.</w:t>
      </w:r>
      <w:r w:rsidRPr="00FD5EEC">
        <w:br/>
      </w:r>
      <w:r w:rsidRPr="00FD5EEC">
        <w:br/>
      </w:r>
      <w:hyperlink r:id="rId16" w:history="1">
        <w:r w:rsidRPr="00FD5EEC">
          <w:rPr>
            <w:rStyle w:val="Hyperlink"/>
          </w:rPr>
          <w:t>www.smart-co.co.uk</w:t>
        </w:r>
      </w:hyperlink>
    </w:p>
    <w:p w14:paraId="0004E28F" w14:textId="1270D4A3" w:rsidR="006B0D0F" w:rsidRPr="00FD5EEC" w:rsidRDefault="001A5769" w:rsidP="00BB4A4B">
      <w:r w:rsidRPr="00FD5EEC">
        <w:br/>
      </w:r>
    </w:p>
    <w:p w14:paraId="47C5A091" w14:textId="1249EBE3" w:rsidR="006B0D0F" w:rsidRPr="006B0D0F" w:rsidRDefault="006B0D0F" w:rsidP="00BB4A4B">
      <w:pPr>
        <w:rPr>
          <w:b/>
          <w:bCs/>
        </w:rPr>
      </w:pPr>
      <w:r w:rsidRPr="00FD5EEC">
        <w:rPr>
          <w:b/>
        </w:rPr>
        <w:t xml:space="preserve">For </w:t>
      </w:r>
      <w:r w:rsidRPr="006B0D0F">
        <w:rPr>
          <w:b/>
          <w:bCs/>
        </w:rPr>
        <w:t>f</w:t>
      </w:r>
      <w:r w:rsidRPr="00FD5EEC">
        <w:rPr>
          <w:b/>
        </w:rPr>
        <w:t xml:space="preserve">urther </w:t>
      </w:r>
      <w:r w:rsidRPr="006B0D0F">
        <w:rPr>
          <w:b/>
          <w:bCs/>
        </w:rPr>
        <w:t>c</w:t>
      </w:r>
      <w:r w:rsidRPr="00FD5EEC">
        <w:rPr>
          <w:b/>
        </w:rPr>
        <w:t xml:space="preserve">ontact </w:t>
      </w:r>
    </w:p>
    <w:p w14:paraId="6A5BD34E" w14:textId="5FC12A85" w:rsidR="00560550" w:rsidRPr="00811D07" w:rsidRDefault="00CE0183" w:rsidP="00560550">
      <w:pPr>
        <w:rPr>
          <w:lang w:val="en-US"/>
        </w:rPr>
      </w:pPr>
      <w:r w:rsidRPr="007E44FA">
        <w:rPr>
          <w:lang w:val="en-US"/>
        </w:rPr>
        <w:drawing>
          <wp:anchor distT="0" distB="0" distL="114300" distR="114300" simplePos="0" relativeHeight="251658256" behindDoc="0" locked="0" layoutInCell="1" allowOverlap="1" wp14:anchorId="5E0400BE" wp14:editId="1B5D009C">
            <wp:simplePos x="0" y="0"/>
            <wp:positionH relativeFrom="column">
              <wp:posOffset>-5080</wp:posOffset>
            </wp:positionH>
            <wp:positionV relativeFrom="paragraph">
              <wp:posOffset>880110</wp:posOffset>
            </wp:positionV>
            <wp:extent cx="810895" cy="810895"/>
            <wp:effectExtent l="0" t="0" r="8255" b="8255"/>
            <wp:wrapSquare wrapText="bothSides"/>
            <wp:docPr id="33827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78624"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10895" cy="810895"/>
                    </a:xfrm>
                    <a:prstGeom prst="rect">
                      <a:avLst/>
                    </a:prstGeom>
                  </pic:spPr>
                </pic:pic>
              </a:graphicData>
            </a:graphic>
            <wp14:sizeRelH relativeFrom="margin">
              <wp14:pctWidth>0</wp14:pctWidth>
            </wp14:sizeRelH>
            <wp14:sizeRelV relativeFrom="margin">
              <wp14:pctHeight>0</wp14:pctHeight>
            </wp14:sizeRelV>
          </wp:anchor>
        </w:drawing>
      </w:r>
      <w:r w:rsidR="006B0D0F" w:rsidRPr="00FD5EEC">
        <w:t>If you would like to discuss this white paper, please contact the authors</w:t>
      </w:r>
      <w:r w:rsidR="008A57B7">
        <w:rPr>
          <w:lang w:val="en-GB"/>
        </w:rPr>
        <w:t>.</w:t>
      </w:r>
      <w:r w:rsidR="00DD1909" w:rsidRPr="00FD5EEC">
        <w:br/>
      </w:r>
      <w:r w:rsidR="00560550" w:rsidRPr="00FD5EEC">
        <w:br/>
      </w:r>
      <w:r w:rsidR="00560550" w:rsidRPr="00FD5EEC">
        <w:rPr>
          <w:b/>
        </w:rPr>
        <w:t>Contact the authors</w:t>
      </w:r>
    </w:p>
    <w:p w14:paraId="5410FDB9" w14:textId="13CF0F95" w:rsidR="00560550" w:rsidRPr="00FC04C6" w:rsidRDefault="00560550" w:rsidP="00560550">
      <w:pPr>
        <w:rPr>
          <w:rStyle w:val="SubtleEmphasis"/>
          <w:i w:val="0"/>
          <w:color w:val="auto"/>
        </w:rPr>
      </w:pPr>
      <w:r w:rsidRPr="00FD5EEC">
        <w:t>Callum Campbell,</w:t>
      </w:r>
      <w:r w:rsidR="00DA78B4">
        <w:rPr>
          <w:lang w:val="en-US"/>
        </w:rPr>
        <w:br/>
      </w:r>
      <w:r w:rsidRPr="00DA78B4">
        <w:rPr>
          <w:color w:val="0065FC" w:themeColor="accent1"/>
        </w:rPr>
        <w:t>SmartCo, Head of Client</w:t>
      </w:r>
      <w:r w:rsidR="007331A0">
        <w:rPr>
          <w:color w:val="0065FC" w:themeColor="accent1"/>
          <w:lang w:val="en-GB"/>
        </w:rPr>
        <w:t>s and Growth</w:t>
      </w:r>
      <w:r w:rsidR="00FC04C6">
        <w:br/>
      </w:r>
      <w:r w:rsidRPr="00FC04C6">
        <w:rPr>
          <w:rStyle w:val="SubtleEmphasis"/>
          <w:sz w:val="18"/>
          <w:szCs w:val="16"/>
        </w:rPr>
        <w:t xml:space="preserve">callum.campbell@smart-co.co.uk  </w:t>
      </w:r>
      <w:r w:rsidR="0079725A" w:rsidRPr="00FC04C6">
        <w:rPr>
          <w:rStyle w:val="SubtleEmphasis"/>
          <w:sz w:val="18"/>
          <w:szCs w:val="16"/>
          <w:lang w:val="en-GB"/>
        </w:rPr>
        <w:tab/>
      </w:r>
      <w:r w:rsidRPr="00FC04C6">
        <w:rPr>
          <w:rStyle w:val="SubtleEmphasis"/>
          <w:sz w:val="18"/>
          <w:szCs w:val="16"/>
        </w:rPr>
        <w:t>linkedin.com/in/callum-campbell-consulting</w:t>
      </w:r>
    </w:p>
    <w:p w14:paraId="1FD6D3F3" w14:textId="450DFD21" w:rsidR="00761776" w:rsidRPr="000B320C" w:rsidRDefault="00CE0183" w:rsidP="00560550">
      <w:pPr>
        <w:rPr>
          <w:lang w:val="en-US"/>
        </w:rPr>
      </w:pPr>
      <w:r w:rsidRPr="00CE0183">
        <w:drawing>
          <wp:anchor distT="0" distB="0" distL="114300" distR="114300" simplePos="0" relativeHeight="251658257" behindDoc="0" locked="0" layoutInCell="1" allowOverlap="1" wp14:anchorId="065C3BA2" wp14:editId="08EE648B">
            <wp:simplePos x="0" y="0"/>
            <wp:positionH relativeFrom="column">
              <wp:posOffset>-7620</wp:posOffset>
            </wp:positionH>
            <wp:positionV relativeFrom="paragraph">
              <wp:posOffset>215900</wp:posOffset>
            </wp:positionV>
            <wp:extent cx="809625" cy="809625"/>
            <wp:effectExtent l="0" t="0" r="9525" b="9525"/>
            <wp:wrapSquare wrapText="bothSides"/>
            <wp:docPr id="74100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02228"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09625" cy="809625"/>
                    </a:xfrm>
                    <a:prstGeom prst="rect">
                      <a:avLst/>
                    </a:prstGeom>
                  </pic:spPr>
                </pic:pic>
              </a:graphicData>
            </a:graphic>
          </wp:anchor>
        </w:drawing>
      </w:r>
      <w:r w:rsidR="00FC04C6">
        <w:br/>
      </w:r>
      <w:r w:rsidR="00560550" w:rsidRPr="00FD5EEC">
        <w:t xml:space="preserve">Sahar Khan, </w:t>
      </w:r>
      <w:r w:rsidR="000B320C">
        <w:rPr>
          <w:lang w:val="en-US"/>
        </w:rPr>
        <w:br/>
      </w:r>
      <w:r w:rsidR="00EE2415" w:rsidRPr="00EE2415">
        <w:rPr>
          <w:color w:val="0065FC" w:themeColor="accent1"/>
          <w:lang w:val="en-GB"/>
        </w:rPr>
        <w:t>Transformation and AI expert in financial services</w:t>
      </w:r>
      <w:r w:rsidR="003C3EF1">
        <w:br/>
      </w:r>
      <w:r w:rsidR="004929C6" w:rsidRPr="003C3EF1">
        <w:rPr>
          <w:i/>
          <w:color w:val="595959" w:themeColor="text1" w:themeTint="A6"/>
          <w:sz w:val="18"/>
          <w:szCs w:val="16"/>
        </w:rPr>
        <w:t>sahar_khan@live.co.uk</w:t>
      </w:r>
      <w:r w:rsidR="004929C6" w:rsidRPr="003C3EF1">
        <w:rPr>
          <w:i/>
          <w:color w:val="595959" w:themeColor="text1" w:themeTint="A6"/>
          <w:sz w:val="18"/>
          <w:szCs w:val="16"/>
          <w:lang w:val="en-GB"/>
        </w:rPr>
        <w:t xml:space="preserve"> </w:t>
      </w:r>
      <w:r w:rsidR="00A564B3" w:rsidRPr="003C3EF1">
        <w:rPr>
          <w:i/>
          <w:color w:val="595959" w:themeColor="text1" w:themeTint="A6"/>
          <w:sz w:val="18"/>
          <w:szCs w:val="16"/>
          <w:lang w:val="en-GB"/>
        </w:rPr>
        <w:t xml:space="preserve"> </w:t>
      </w:r>
      <w:r w:rsidR="0079725A">
        <w:rPr>
          <w:i/>
          <w:color w:val="595959" w:themeColor="text1" w:themeTint="A6"/>
          <w:sz w:val="18"/>
          <w:szCs w:val="16"/>
          <w:lang w:val="en-GB"/>
        </w:rPr>
        <w:t xml:space="preserve"> </w:t>
      </w:r>
      <w:r w:rsidR="00A04AF1" w:rsidRPr="003C3EF1">
        <w:rPr>
          <w:i/>
          <w:color w:val="595959" w:themeColor="text1" w:themeTint="A6"/>
          <w:sz w:val="18"/>
          <w:szCs w:val="16"/>
          <w:lang w:val="en-GB"/>
        </w:rPr>
        <w:t>https://www.linkedin.com/in/sahar-k-88a0091</w:t>
      </w:r>
      <w:r w:rsidR="00DD1909" w:rsidRPr="00FD5EEC">
        <w:br/>
      </w:r>
    </w:p>
    <w:p w14:paraId="516DBBFC" w14:textId="77777777" w:rsidR="00761776" w:rsidRDefault="00761776" w:rsidP="00560550">
      <w:pPr>
        <w:rPr>
          <w:lang w:val="en-GB"/>
        </w:rPr>
      </w:pPr>
    </w:p>
    <w:p w14:paraId="78BE2FB8" w14:textId="77777777" w:rsidR="00761776" w:rsidRDefault="00761776" w:rsidP="00560550">
      <w:pPr>
        <w:rPr>
          <w:lang w:val="en-GB"/>
        </w:rPr>
      </w:pPr>
    </w:p>
    <w:p w14:paraId="427390D6" w14:textId="77777777" w:rsidR="00761776" w:rsidRDefault="00761776" w:rsidP="00560550">
      <w:pPr>
        <w:rPr>
          <w:lang w:val="en-GB"/>
        </w:rPr>
      </w:pPr>
    </w:p>
    <w:p w14:paraId="7E7CE132" w14:textId="1360D8C3" w:rsidR="00584DE8" w:rsidRPr="00903D01" w:rsidRDefault="00DD1909" w:rsidP="00560550">
      <w:pPr>
        <w:rPr>
          <w:color w:val="6B7280"/>
          <w:sz w:val="18"/>
          <w:szCs w:val="18"/>
          <w:lang w:val="en-GB"/>
        </w:rPr>
      </w:pPr>
      <w:r>
        <w:rPr>
          <w:color w:val="6B7280"/>
          <w:sz w:val="18"/>
          <w:szCs w:val="18"/>
        </w:rPr>
        <w:t>© SmartCo 2026. All rights reserve</w:t>
      </w:r>
      <w:r w:rsidR="00903D01">
        <w:rPr>
          <w:color w:val="6B7280"/>
          <w:sz w:val="18"/>
          <w:szCs w:val="18"/>
          <w:lang w:val="en-GB"/>
        </w:rPr>
        <w:t>d</w:t>
      </w:r>
    </w:p>
    <w:p w14:paraId="1C12CB13" w14:textId="77777777" w:rsidR="00BD74AC" w:rsidRPr="00FD5EEC" w:rsidRDefault="00BD74AC" w:rsidP="00BE2C3D">
      <w:pPr>
        <w:pStyle w:val="Heading1"/>
        <w:rPr>
          <w:rFonts w:hint="eastAsia"/>
        </w:rPr>
      </w:pPr>
      <w:bookmarkStart w:id="21" w:name="_Toc231422564"/>
      <w:r w:rsidRPr="00FD5EEC">
        <w:lastRenderedPageBreak/>
        <w:t>About the authors</w:t>
      </w:r>
      <w:bookmarkEnd w:id="21"/>
    </w:p>
    <w:p w14:paraId="0F1AE59D" w14:textId="66C82E7B" w:rsidR="00AD62BA" w:rsidRPr="00AD62BA" w:rsidRDefault="00AD62BA" w:rsidP="00AD62BA">
      <w:pPr>
        <w:rPr>
          <w:bCs/>
          <w:lang w:val="en-GB"/>
        </w:rPr>
      </w:pPr>
      <w:r w:rsidRPr="00AD62BA">
        <w:rPr>
          <w:b/>
          <w:lang w:val="en-GB"/>
        </w:rPr>
        <w:t xml:space="preserve">Callum Campbell </w:t>
      </w:r>
      <w:r w:rsidRPr="00AD62BA">
        <w:rPr>
          <w:bCs/>
          <w:lang w:val="en-GB"/>
        </w:rPr>
        <w:t xml:space="preserve">leads on </w:t>
      </w:r>
      <w:r w:rsidR="003D2CCD">
        <w:rPr>
          <w:bCs/>
          <w:lang w:val="en-GB"/>
        </w:rPr>
        <w:t xml:space="preserve">clients and </w:t>
      </w:r>
      <w:r w:rsidRPr="00AD62BA">
        <w:rPr>
          <w:bCs/>
          <w:lang w:val="en-GB"/>
        </w:rPr>
        <w:t xml:space="preserve">growth at SmartCo, working closely with organisations to shape and deliver transformation outcomes. Alongside this, he plays a key role in driving </w:t>
      </w:r>
      <w:r w:rsidR="00012861">
        <w:rPr>
          <w:bCs/>
          <w:lang w:val="en-GB"/>
        </w:rPr>
        <w:t>SmartCo’s</w:t>
      </w:r>
      <w:r w:rsidRPr="00AD62BA">
        <w:rPr>
          <w:bCs/>
          <w:lang w:val="en-GB"/>
        </w:rPr>
        <w:t xml:space="preserve"> AI agenda, specialising in how AI can be applied practically to improve delivery and performance.</w:t>
      </w:r>
    </w:p>
    <w:p w14:paraId="18054816" w14:textId="7D522831" w:rsidR="00BD74AC" w:rsidRPr="00FE0EC6" w:rsidRDefault="00BD74AC" w:rsidP="00BD74AC">
      <w:pPr>
        <w:rPr>
          <w:rStyle w:val="SubtleEmphasis"/>
          <w:i w:val="0"/>
          <w:color w:val="auto"/>
          <w:lang w:val="en-GB"/>
        </w:rPr>
      </w:pPr>
    </w:p>
    <w:p w14:paraId="1DAB1F9A" w14:textId="67CEAD6F" w:rsidR="00BD74AC" w:rsidRPr="00367511" w:rsidRDefault="00BD74AC" w:rsidP="00BD74AC">
      <w:pPr>
        <w:rPr>
          <w:lang w:val="en-GB"/>
        </w:rPr>
      </w:pPr>
      <w:r w:rsidRPr="00FD5EEC">
        <w:rPr>
          <w:b/>
        </w:rPr>
        <w:t>Sahar Khan</w:t>
      </w:r>
      <w:r w:rsidR="00367511" w:rsidRPr="00367511">
        <w:rPr>
          <w:b/>
          <w:bCs/>
        </w:rPr>
        <w:t xml:space="preserve"> </w:t>
      </w:r>
      <w:r w:rsidR="00367511" w:rsidRPr="00367511">
        <w:t xml:space="preserve">has been a Transformation and AI expert for several global financial groups. Her practitioner perspective in this paper draws on </w:t>
      </w:r>
      <w:r w:rsidR="00394EC1">
        <w:rPr>
          <w:lang w:val="en-GB"/>
        </w:rPr>
        <w:t xml:space="preserve">big scale </w:t>
      </w:r>
      <w:r w:rsidR="00C4325C">
        <w:rPr>
          <w:lang w:val="en-GB"/>
        </w:rPr>
        <w:t>change</w:t>
      </w:r>
      <w:r w:rsidR="00367511" w:rsidRPr="00367511">
        <w:t xml:space="preserve"> assessment and delivery work across </w:t>
      </w:r>
      <w:r w:rsidR="00C4325C">
        <w:rPr>
          <w:lang w:val="en-GB"/>
        </w:rPr>
        <w:t xml:space="preserve">global </w:t>
      </w:r>
      <w:r w:rsidR="00367511" w:rsidRPr="00367511">
        <w:t>public-sector and financial-services programmes.</w:t>
      </w:r>
    </w:p>
    <w:p w14:paraId="721D178A" w14:textId="77777777" w:rsidR="00E21A79" w:rsidRDefault="00E21A79">
      <w:pPr>
        <w:spacing w:line="259" w:lineRule="auto"/>
        <w:rPr>
          <w:sz w:val="22"/>
          <w:lang w:val="pl-PL"/>
        </w:rPr>
      </w:pPr>
    </w:p>
    <w:sectPr w:rsidR="00E21A79" w:rsidSect="00A42AC0">
      <w:headerReference w:type="default" r:id="rId19"/>
      <w:footerReference w:type="default" r:id="rId20"/>
      <w:headerReference w:type="first" r:id="rId21"/>
      <w:footerReference w:type="first" r:id="rId22"/>
      <w:pgSz w:w="11906" w:h="16838"/>
      <w:pgMar w:top="1701" w:right="1418" w:bottom="1701" w:left="1418" w:header="397" w:footer="39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710FD" w14:textId="77777777" w:rsidR="009A487B" w:rsidRPr="000A3696" w:rsidRDefault="009A487B" w:rsidP="00233848">
      <w:pPr>
        <w:spacing w:after="0" w:line="240" w:lineRule="auto"/>
      </w:pPr>
      <w:r w:rsidRPr="000A3696">
        <w:separator/>
      </w:r>
    </w:p>
  </w:endnote>
  <w:endnote w:type="continuationSeparator" w:id="0">
    <w:p w14:paraId="32E741BB" w14:textId="77777777" w:rsidR="009A487B" w:rsidRPr="000A3696" w:rsidRDefault="009A487B" w:rsidP="00233848">
      <w:pPr>
        <w:spacing w:after="0" w:line="240" w:lineRule="auto"/>
      </w:pPr>
      <w:r w:rsidRPr="000A3696">
        <w:continuationSeparator/>
      </w:r>
    </w:p>
  </w:endnote>
  <w:endnote w:type="continuationNotice" w:id="1">
    <w:p w14:paraId="37BB96FF" w14:textId="77777777" w:rsidR="009A487B" w:rsidRPr="000A3696" w:rsidRDefault="009A48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Arial"/>
    <w:charset w:val="00"/>
    <w:family w:val="auto"/>
    <w:pitch w:val="variable"/>
    <w:sig w:usb0="E0000AFF" w:usb1="5000217F" w:usb2="00000021" w:usb3="00000000" w:csb0="0000019F" w:csb1="00000000"/>
  </w:font>
  <w:font w:name="Roboto Bold">
    <w:altName w:val="Roboto"/>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hivo">
    <w:panose1 w:val="00000000000000000000"/>
    <w:charset w:val="EE"/>
    <w:family w:val="auto"/>
    <w:pitch w:val="variable"/>
    <w:sig w:usb0="A00000FF" w:usb1="4000204B" w:usb2="00000008" w:usb3="00000000" w:csb0="00000193" w:csb1="00000000"/>
  </w:font>
  <w:font w:name="MS Mincho">
    <w:panose1 w:val="02020609040205080304"/>
    <w:charset w:val="80"/>
    <w:family w:val="modern"/>
    <w:pitch w:val="fixed"/>
    <w:sig w:usb0="E00002FF" w:usb1="6AC7FDFB" w:usb2="08000012" w:usb3="00000000" w:csb0="0002009F" w:csb1="00000000"/>
  </w:font>
  <w:font w:name="Plus Jakarta Sans">
    <w:panose1 w:val="00000000000000000000"/>
    <w:charset w:val="EE"/>
    <w:family w:val="auto"/>
    <w:pitch w:val="variable"/>
    <w:sig w:usb0="A10000FF" w:usb1="4000607B" w:usb2="00000000" w:usb3="00000000" w:csb0="00000193" w:csb1="00000000"/>
  </w:font>
  <w:font w:name="Aptos">
    <w:panose1 w:val="020B0004020202020204"/>
    <w:charset w:val="EE"/>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76AA" w14:textId="0FB104E7" w:rsidR="003B6435" w:rsidRPr="00B92793" w:rsidRDefault="00B92793" w:rsidP="00B92793">
    <w:pPr>
      <w:pStyle w:val="Footer"/>
      <w:rPr>
        <w:sz w:val="32"/>
        <w:szCs w:val="28"/>
      </w:rPr>
    </w:pPr>
    <w:r w:rsidRPr="00B92793">
      <w:rPr>
        <w:color w:val="6B7280"/>
        <w:sz w:val="20"/>
        <w:szCs w:val="20"/>
      </w:rPr>
      <w:t xml:space="preserve">Campbell &amp; Khan  ·  </w:t>
    </w:r>
    <w:r w:rsidR="00CB1C03">
      <w:rPr>
        <w:color w:val="6B7280"/>
        <w:sz w:val="20"/>
        <w:szCs w:val="20"/>
        <w:lang w:val="en-GB"/>
      </w:rPr>
      <w:t>June</w:t>
    </w:r>
    <w:r w:rsidRPr="00B92793">
      <w:rPr>
        <w:color w:val="6B7280"/>
        <w:sz w:val="20"/>
        <w:szCs w:val="20"/>
      </w:rPr>
      <w:t xml:space="preserve"> 2026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0466F" w14:textId="04228E6F" w:rsidR="00D56B6C" w:rsidRPr="00FD5EEC" w:rsidRDefault="009B7A2D" w:rsidP="0071119A">
    <w:pPr>
      <w:pStyle w:val="NoSpacing"/>
      <w:rPr>
        <w:lang w:val="ru-RU"/>
      </w:rPr>
    </w:pPr>
    <w:r w:rsidRPr="00FD5EEC">
      <w:rPr>
        <w:lang w:val="ru-RU"/>
      </w:rPr>
      <w:t xml:space="preserve">© 2026 SmartCo Consulting Ltd. All </w:t>
    </w:r>
    <w:proofErr w:type="spellStart"/>
    <w:r w:rsidRPr="00FD5EEC">
      <w:rPr>
        <w:lang w:val="ru-RU"/>
      </w:rPr>
      <w:t>rights</w:t>
    </w:r>
    <w:proofErr w:type="spellEnd"/>
    <w:r w:rsidRPr="00FD5EEC">
      <w:rPr>
        <w:lang w:val="ru-RU"/>
      </w:rPr>
      <w:t xml:space="preserve"> </w:t>
    </w:r>
    <w:proofErr w:type="spellStart"/>
    <w:r w:rsidRPr="00FD5EEC">
      <w:rPr>
        <w:lang w:val="ru-RU"/>
      </w:rPr>
      <w:t>reserved</w:t>
    </w:r>
    <w:proofErr w:type="spellEnd"/>
    <w:r w:rsidRPr="00FD5EEC">
      <w:rPr>
        <w:lang w:val="ru-RU"/>
      </w:rPr>
      <w:t>.</w:t>
    </w:r>
  </w:p>
  <w:p w14:paraId="3F9C3F2C" w14:textId="77777777" w:rsidR="00D56B6C" w:rsidRPr="000A3696" w:rsidRDefault="00D56B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878A1" w14:textId="77777777" w:rsidR="009A487B" w:rsidRPr="000A3696" w:rsidRDefault="009A487B" w:rsidP="00233848">
      <w:pPr>
        <w:spacing w:after="0" w:line="240" w:lineRule="auto"/>
      </w:pPr>
      <w:r w:rsidRPr="000A3696">
        <w:separator/>
      </w:r>
    </w:p>
  </w:footnote>
  <w:footnote w:type="continuationSeparator" w:id="0">
    <w:p w14:paraId="0E03E754" w14:textId="77777777" w:rsidR="009A487B" w:rsidRPr="000A3696" w:rsidRDefault="009A487B" w:rsidP="00233848">
      <w:pPr>
        <w:spacing w:after="0" w:line="240" w:lineRule="auto"/>
      </w:pPr>
      <w:r w:rsidRPr="000A3696">
        <w:continuationSeparator/>
      </w:r>
    </w:p>
  </w:footnote>
  <w:footnote w:type="continuationNotice" w:id="1">
    <w:p w14:paraId="6FA00845" w14:textId="77777777" w:rsidR="009A487B" w:rsidRPr="000A3696" w:rsidRDefault="009A487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483039"/>
      <w:docPartObj>
        <w:docPartGallery w:val="Page Numbers (Top of Page)"/>
        <w:docPartUnique/>
      </w:docPartObj>
    </w:sdtPr>
    <w:sdtContent>
      <w:p w14:paraId="5D10740E" w14:textId="734D4388" w:rsidR="009733E6" w:rsidRPr="000A3696" w:rsidRDefault="007718DC" w:rsidP="008346DA">
        <w:pPr>
          <w:pStyle w:val="Header"/>
          <w:jc w:val="right"/>
        </w:pPr>
        <w:r w:rsidRPr="000A3696">
          <w:rPr>
            <w:color w:val="000000" w:themeColor="text2"/>
            <w:sz w:val="14"/>
            <w:szCs w:val="14"/>
          </w:rPr>
          <w:drawing>
            <wp:anchor distT="0" distB="0" distL="114300" distR="114300" simplePos="0" relativeHeight="251660288" behindDoc="0" locked="0" layoutInCell="1" allowOverlap="1" wp14:anchorId="7624BD07" wp14:editId="06C7B70B">
              <wp:simplePos x="0" y="0"/>
              <wp:positionH relativeFrom="column">
                <wp:posOffset>3338</wp:posOffset>
              </wp:positionH>
              <wp:positionV relativeFrom="paragraph">
                <wp:posOffset>34985</wp:posOffset>
              </wp:positionV>
              <wp:extent cx="1212112" cy="304536"/>
              <wp:effectExtent l="0" t="0" r="7620" b="635"/>
              <wp:wrapNone/>
              <wp:docPr id="16434658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65824" name="Graphic 1"/>
                      <pic:cNvPicPr/>
                    </pic:nvPicPr>
                    <pic:blipFill>
                      <a:blip r:embed="rId1">
                        <a:extLst>
                          <a:ext uri="{96DAC541-7B7A-43D3-8B79-37D633B846F1}">
                            <asvg:svgBlip xmlns:asvg="http://schemas.microsoft.com/office/drawing/2016/SVG/main" r:embed="rId2"/>
                          </a:ext>
                        </a:extLst>
                      </a:blip>
                      <a:stretch>
                        <a:fillRect/>
                      </a:stretch>
                    </pic:blipFill>
                    <pic:spPr>
                      <a:xfrm>
                        <a:off x="0" y="0"/>
                        <a:ext cx="1218058" cy="306030"/>
                      </a:xfrm>
                      <a:prstGeom prst="rect">
                        <a:avLst/>
                      </a:prstGeom>
                    </pic:spPr>
                  </pic:pic>
                </a:graphicData>
              </a:graphic>
              <wp14:sizeRelH relativeFrom="margin">
                <wp14:pctWidth>0</wp14:pctWidth>
              </wp14:sizeRelH>
              <wp14:sizeRelV relativeFrom="margin">
                <wp14:pctHeight>0</wp14:pctHeight>
              </wp14:sizeRelV>
            </wp:anchor>
          </w:drawing>
        </w:r>
        <w:r w:rsidR="00A81E27" w:rsidRPr="000A3696">
          <w:fldChar w:fldCharType="begin"/>
        </w:r>
        <w:r w:rsidR="00A81E27" w:rsidRPr="000A3696">
          <w:instrText xml:space="preserve"> PAGE   \* MERGEFORMAT </w:instrText>
        </w:r>
        <w:r w:rsidR="00A81E27" w:rsidRPr="000A3696">
          <w:fldChar w:fldCharType="separate"/>
        </w:r>
        <w:r w:rsidR="00A81E27" w:rsidRPr="000A3696">
          <w:t>2</w:t>
        </w:r>
        <w:r w:rsidR="00A81E27" w:rsidRPr="000A3696">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60C2034" w14:paraId="5E5BA593" w14:textId="77777777" w:rsidTr="360C2034">
      <w:trPr>
        <w:trHeight w:val="300"/>
      </w:trPr>
      <w:tc>
        <w:tcPr>
          <w:tcW w:w="3020" w:type="dxa"/>
        </w:tcPr>
        <w:p w14:paraId="5D3FB949" w14:textId="72572D17" w:rsidR="360C2034" w:rsidRDefault="360C2034" w:rsidP="360C2034">
          <w:pPr>
            <w:pStyle w:val="Header"/>
            <w:ind w:left="-115"/>
          </w:pPr>
        </w:p>
      </w:tc>
      <w:tc>
        <w:tcPr>
          <w:tcW w:w="3020" w:type="dxa"/>
        </w:tcPr>
        <w:p w14:paraId="1C16C3FC" w14:textId="65BBD2C4" w:rsidR="360C2034" w:rsidRDefault="360C2034" w:rsidP="360C2034">
          <w:pPr>
            <w:pStyle w:val="Header"/>
            <w:jc w:val="center"/>
          </w:pPr>
        </w:p>
      </w:tc>
      <w:tc>
        <w:tcPr>
          <w:tcW w:w="3020" w:type="dxa"/>
        </w:tcPr>
        <w:p w14:paraId="0EDD4017" w14:textId="2D98563C" w:rsidR="360C2034" w:rsidRDefault="360C2034" w:rsidP="360C2034">
          <w:pPr>
            <w:pStyle w:val="Header"/>
            <w:ind w:right="-115"/>
            <w:jc w:val="right"/>
          </w:pPr>
        </w:p>
      </w:tc>
    </w:tr>
  </w:tbl>
  <w:p w14:paraId="79ABD5AA" w14:textId="28E664A1" w:rsidR="360C2034" w:rsidRDefault="360C2034" w:rsidP="360C20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F669F9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674771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DD64CF7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026AEE1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FA9E324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8D0E80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967B0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0DC8CB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D0CB0B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FECA3E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DC7BD0"/>
    <w:multiLevelType w:val="hybridMultilevel"/>
    <w:tmpl w:val="3EA6D5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4DC1754"/>
    <w:multiLevelType w:val="hybridMultilevel"/>
    <w:tmpl w:val="765E536A"/>
    <w:lvl w:ilvl="0" w:tplc="7D1AB170">
      <w:start w:val="1"/>
      <w:numFmt w:val="bullet"/>
      <w:pStyle w:val="ListParagraph"/>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05581F6B"/>
    <w:multiLevelType w:val="hybridMultilevel"/>
    <w:tmpl w:val="1E6C7F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76142C7"/>
    <w:multiLevelType w:val="hybridMultilevel"/>
    <w:tmpl w:val="0008A37A"/>
    <w:lvl w:ilvl="0" w:tplc="DB364E0E">
      <w:start w:val="1"/>
      <w:numFmt w:val="bullet"/>
      <w:lvlText w:val=""/>
      <w:lvlJc w:val="left"/>
      <w:pPr>
        <w:ind w:left="720" w:hanging="360"/>
      </w:pPr>
      <w:rPr>
        <w:rFonts w:ascii="Symbol" w:hAnsi="Symbol" w:hint="default"/>
        <w:color w:val="0065FC" w:themeColor="accent1"/>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09CF6BA5"/>
    <w:multiLevelType w:val="hybridMultilevel"/>
    <w:tmpl w:val="628CF666"/>
    <w:lvl w:ilvl="0" w:tplc="ABA8CD98">
      <w:start w:val="1"/>
      <w:numFmt w:val="bullet"/>
      <w:lvlText w:val=""/>
      <w:lvlJc w:val="left"/>
      <w:pPr>
        <w:ind w:left="1080" w:hanging="360"/>
      </w:pPr>
      <w:rPr>
        <w:rFonts w:ascii="Symbol" w:hAnsi="Symbol" w:hint="default"/>
        <w:color w:val="43E6A2" w:themeColor="accent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0F37757F"/>
    <w:multiLevelType w:val="hybridMultilevel"/>
    <w:tmpl w:val="AC2CC5FA"/>
    <w:lvl w:ilvl="0" w:tplc="DB364E0E">
      <w:start w:val="1"/>
      <w:numFmt w:val="bullet"/>
      <w:lvlText w:val=""/>
      <w:lvlJc w:val="left"/>
      <w:pPr>
        <w:ind w:left="720" w:hanging="360"/>
      </w:pPr>
      <w:rPr>
        <w:rFonts w:ascii="Symbol" w:hAnsi="Symbol" w:hint="default"/>
        <w:color w:val="0065FC" w:themeColor="accent1"/>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0B74302"/>
    <w:multiLevelType w:val="hybridMultilevel"/>
    <w:tmpl w:val="990250A8"/>
    <w:lvl w:ilvl="0" w:tplc="DB364E0E">
      <w:start w:val="1"/>
      <w:numFmt w:val="bullet"/>
      <w:lvlText w:val=""/>
      <w:lvlJc w:val="left"/>
      <w:pPr>
        <w:ind w:left="1065" w:hanging="705"/>
      </w:pPr>
      <w:rPr>
        <w:rFonts w:ascii="Symbol" w:hAnsi="Symbol" w:hint="default"/>
        <w:color w:val="0065FC"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30B0A53"/>
    <w:multiLevelType w:val="hybridMultilevel"/>
    <w:tmpl w:val="8BAA5ACA"/>
    <w:lvl w:ilvl="0" w:tplc="ABA8CD98">
      <w:start w:val="1"/>
      <w:numFmt w:val="bullet"/>
      <w:lvlText w:val=""/>
      <w:lvlJc w:val="left"/>
      <w:pPr>
        <w:ind w:left="1080" w:hanging="360"/>
      </w:pPr>
      <w:rPr>
        <w:rFonts w:ascii="Symbol" w:hAnsi="Symbol" w:hint="default"/>
        <w:color w:val="43E6A2" w:themeColor="accent2"/>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8" w15:restartNumberingAfterBreak="0">
    <w:nsid w:val="26BA6872"/>
    <w:multiLevelType w:val="hybridMultilevel"/>
    <w:tmpl w:val="5F50FEB8"/>
    <w:lvl w:ilvl="0" w:tplc="65A62942">
      <w:start w:val="1"/>
      <w:numFmt w:val="bullet"/>
      <w:lvlText w:val=""/>
      <w:lvlJc w:val="left"/>
      <w:pPr>
        <w:ind w:left="1440" w:hanging="360"/>
      </w:pPr>
      <w:rPr>
        <w:rFonts w:ascii="Symbol" w:hAnsi="Symbol" w:hint="default"/>
        <w:color w:val="0065FC" w:themeColor="accent1"/>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4719421F"/>
    <w:multiLevelType w:val="hybridMultilevel"/>
    <w:tmpl w:val="43E4FAB6"/>
    <w:lvl w:ilvl="0" w:tplc="04150001">
      <w:start w:val="1"/>
      <w:numFmt w:val="bullet"/>
      <w:lvlText w:val=""/>
      <w:lvlJc w:val="left"/>
      <w:pPr>
        <w:ind w:left="720" w:hanging="360"/>
      </w:pPr>
      <w:rPr>
        <w:rFonts w:ascii="Symbol" w:hAnsi="Symbol" w:hint="default"/>
        <w:color w:val="0065FC"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4952A46"/>
    <w:multiLevelType w:val="hybridMultilevel"/>
    <w:tmpl w:val="BF78F884"/>
    <w:lvl w:ilvl="0" w:tplc="C6B49B06">
      <w:numFmt w:val="bullet"/>
      <w:lvlText w:val="•"/>
      <w:lvlJc w:val="left"/>
      <w:pPr>
        <w:ind w:left="1065" w:hanging="705"/>
      </w:pPr>
      <w:rPr>
        <w:rFonts w:ascii="Roboto" w:eastAsiaTheme="minorHAnsi" w:hAnsi="Roboto"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5A7201A"/>
    <w:multiLevelType w:val="hybridMultilevel"/>
    <w:tmpl w:val="56B27BE2"/>
    <w:lvl w:ilvl="0" w:tplc="04150001">
      <w:start w:val="1"/>
      <w:numFmt w:val="bullet"/>
      <w:lvlText w:val=""/>
      <w:lvlJc w:val="left"/>
      <w:pPr>
        <w:ind w:left="1080" w:hanging="360"/>
      </w:pPr>
      <w:rPr>
        <w:rFonts w:ascii="Symbol" w:hAnsi="Symbol" w:hint="default"/>
        <w:color w:val="0065FC" w:themeColor="accent1"/>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2" w15:restartNumberingAfterBreak="0">
    <w:nsid w:val="5BEB044B"/>
    <w:multiLevelType w:val="hybridMultilevel"/>
    <w:tmpl w:val="D852855A"/>
    <w:lvl w:ilvl="0" w:tplc="DB364E0E">
      <w:start w:val="1"/>
      <w:numFmt w:val="bullet"/>
      <w:lvlText w:val=""/>
      <w:lvlJc w:val="left"/>
      <w:pPr>
        <w:ind w:left="720" w:hanging="360"/>
      </w:pPr>
      <w:rPr>
        <w:rFonts w:ascii="Symbol" w:hAnsi="Symbol" w:hint="default"/>
        <w:color w:val="0065FC" w:themeColor="accent1"/>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FFA40EE"/>
    <w:multiLevelType w:val="multilevel"/>
    <w:tmpl w:val="5D2C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3010B3"/>
    <w:multiLevelType w:val="hybridMultilevel"/>
    <w:tmpl w:val="8A369A92"/>
    <w:lvl w:ilvl="0" w:tplc="C6B49B06">
      <w:numFmt w:val="bullet"/>
      <w:lvlText w:val="•"/>
      <w:lvlJc w:val="left"/>
      <w:pPr>
        <w:ind w:left="1065" w:hanging="705"/>
      </w:pPr>
      <w:rPr>
        <w:rFonts w:ascii="Roboto" w:eastAsiaTheme="minorHAnsi" w:hAnsi="Roboto"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4A5408E"/>
    <w:multiLevelType w:val="multilevel"/>
    <w:tmpl w:val="9C06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7F2262"/>
    <w:multiLevelType w:val="hybridMultilevel"/>
    <w:tmpl w:val="8A1E1AA4"/>
    <w:lvl w:ilvl="0" w:tplc="2522DBC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9934848">
    <w:abstractNumId w:val="15"/>
  </w:num>
  <w:num w:numId="2" w16cid:durableId="529800676">
    <w:abstractNumId w:val="20"/>
  </w:num>
  <w:num w:numId="3" w16cid:durableId="747119110">
    <w:abstractNumId w:val="10"/>
  </w:num>
  <w:num w:numId="4" w16cid:durableId="1515807576">
    <w:abstractNumId w:val="24"/>
  </w:num>
  <w:num w:numId="5" w16cid:durableId="1800610332">
    <w:abstractNumId w:val="16"/>
  </w:num>
  <w:num w:numId="6" w16cid:durableId="402148322">
    <w:abstractNumId w:val="22"/>
  </w:num>
  <w:num w:numId="7" w16cid:durableId="134572092">
    <w:abstractNumId w:val="13"/>
  </w:num>
  <w:num w:numId="8" w16cid:durableId="710109867">
    <w:abstractNumId w:val="26"/>
  </w:num>
  <w:num w:numId="9" w16cid:durableId="1661231611">
    <w:abstractNumId w:val="19"/>
  </w:num>
  <w:num w:numId="10" w16cid:durableId="813528414">
    <w:abstractNumId w:val="21"/>
  </w:num>
  <w:num w:numId="11" w16cid:durableId="1587302739">
    <w:abstractNumId w:val="14"/>
  </w:num>
  <w:num w:numId="12" w16cid:durableId="469640865">
    <w:abstractNumId w:val="17"/>
  </w:num>
  <w:num w:numId="13" w16cid:durableId="496312845">
    <w:abstractNumId w:val="12"/>
  </w:num>
  <w:num w:numId="14" w16cid:durableId="365103335">
    <w:abstractNumId w:val="18"/>
  </w:num>
  <w:num w:numId="15" w16cid:durableId="446627872">
    <w:abstractNumId w:val="11"/>
  </w:num>
  <w:num w:numId="16" w16cid:durableId="2054455044">
    <w:abstractNumId w:val="23"/>
  </w:num>
  <w:num w:numId="17" w16cid:durableId="96412938">
    <w:abstractNumId w:val="25"/>
  </w:num>
  <w:num w:numId="18" w16cid:durableId="1396275478">
    <w:abstractNumId w:val="9"/>
  </w:num>
  <w:num w:numId="19" w16cid:durableId="1493595495">
    <w:abstractNumId w:val="7"/>
  </w:num>
  <w:num w:numId="20" w16cid:durableId="268706767">
    <w:abstractNumId w:val="6"/>
  </w:num>
  <w:num w:numId="21" w16cid:durableId="1851529995">
    <w:abstractNumId w:val="5"/>
  </w:num>
  <w:num w:numId="22" w16cid:durableId="1723484384">
    <w:abstractNumId w:val="4"/>
  </w:num>
  <w:num w:numId="23" w16cid:durableId="846409995">
    <w:abstractNumId w:val="8"/>
  </w:num>
  <w:num w:numId="24" w16cid:durableId="1698121145">
    <w:abstractNumId w:val="3"/>
  </w:num>
  <w:num w:numId="25" w16cid:durableId="974413796">
    <w:abstractNumId w:val="2"/>
  </w:num>
  <w:num w:numId="26" w16cid:durableId="2106534803">
    <w:abstractNumId w:val="1"/>
  </w:num>
  <w:num w:numId="27" w16cid:durableId="1048995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6B3"/>
    <w:rsid w:val="00000C96"/>
    <w:rsid w:val="00000D51"/>
    <w:rsid w:val="00002124"/>
    <w:rsid w:val="00007D75"/>
    <w:rsid w:val="00012861"/>
    <w:rsid w:val="00014189"/>
    <w:rsid w:val="00014A82"/>
    <w:rsid w:val="00016170"/>
    <w:rsid w:val="000176E5"/>
    <w:rsid w:val="00022D6E"/>
    <w:rsid w:val="00023914"/>
    <w:rsid w:val="00024695"/>
    <w:rsid w:val="00031D8B"/>
    <w:rsid w:val="00032507"/>
    <w:rsid w:val="00037724"/>
    <w:rsid w:val="00037DFF"/>
    <w:rsid w:val="00045C20"/>
    <w:rsid w:val="00046BD2"/>
    <w:rsid w:val="0005455D"/>
    <w:rsid w:val="000549CA"/>
    <w:rsid w:val="000554E6"/>
    <w:rsid w:val="000555E0"/>
    <w:rsid w:val="000565A1"/>
    <w:rsid w:val="00056E31"/>
    <w:rsid w:val="00062E3B"/>
    <w:rsid w:val="0006333C"/>
    <w:rsid w:val="000636B3"/>
    <w:rsid w:val="0007149C"/>
    <w:rsid w:val="00072DC5"/>
    <w:rsid w:val="00073AFD"/>
    <w:rsid w:val="00073FC0"/>
    <w:rsid w:val="0007440C"/>
    <w:rsid w:val="000832B0"/>
    <w:rsid w:val="00087AEF"/>
    <w:rsid w:val="00095453"/>
    <w:rsid w:val="000967F1"/>
    <w:rsid w:val="00097AE0"/>
    <w:rsid w:val="00097B69"/>
    <w:rsid w:val="000A1AF0"/>
    <w:rsid w:val="000A2A41"/>
    <w:rsid w:val="000A3696"/>
    <w:rsid w:val="000A3899"/>
    <w:rsid w:val="000A73BF"/>
    <w:rsid w:val="000B1599"/>
    <w:rsid w:val="000B320C"/>
    <w:rsid w:val="000B3A88"/>
    <w:rsid w:val="000B4CA4"/>
    <w:rsid w:val="000B724A"/>
    <w:rsid w:val="000B7B30"/>
    <w:rsid w:val="000C506E"/>
    <w:rsid w:val="000C5D23"/>
    <w:rsid w:val="000D36B2"/>
    <w:rsid w:val="000D6358"/>
    <w:rsid w:val="000E4FF8"/>
    <w:rsid w:val="000E753E"/>
    <w:rsid w:val="000F673C"/>
    <w:rsid w:val="000F7354"/>
    <w:rsid w:val="00100570"/>
    <w:rsid w:val="0010172D"/>
    <w:rsid w:val="001025ED"/>
    <w:rsid w:val="00102ED6"/>
    <w:rsid w:val="00103812"/>
    <w:rsid w:val="0010497B"/>
    <w:rsid w:val="001058E4"/>
    <w:rsid w:val="00106405"/>
    <w:rsid w:val="0011562F"/>
    <w:rsid w:val="001157D7"/>
    <w:rsid w:val="0011580D"/>
    <w:rsid w:val="00116541"/>
    <w:rsid w:val="00121C61"/>
    <w:rsid w:val="001227C5"/>
    <w:rsid w:val="00124E28"/>
    <w:rsid w:val="00126170"/>
    <w:rsid w:val="001261B1"/>
    <w:rsid w:val="001262D2"/>
    <w:rsid w:val="00127A6D"/>
    <w:rsid w:val="00127DF3"/>
    <w:rsid w:val="00136276"/>
    <w:rsid w:val="00145C0A"/>
    <w:rsid w:val="001543FA"/>
    <w:rsid w:val="0015501A"/>
    <w:rsid w:val="00165615"/>
    <w:rsid w:val="00165E35"/>
    <w:rsid w:val="0016744F"/>
    <w:rsid w:val="0016762E"/>
    <w:rsid w:val="0017432C"/>
    <w:rsid w:val="00175572"/>
    <w:rsid w:val="00176551"/>
    <w:rsid w:val="00177D6D"/>
    <w:rsid w:val="001813F8"/>
    <w:rsid w:val="00182ACD"/>
    <w:rsid w:val="00185D59"/>
    <w:rsid w:val="001A0917"/>
    <w:rsid w:val="001A1BEC"/>
    <w:rsid w:val="001A3F39"/>
    <w:rsid w:val="001A3FD9"/>
    <w:rsid w:val="001A41AD"/>
    <w:rsid w:val="001A5769"/>
    <w:rsid w:val="001A628F"/>
    <w:rsid w:val="001B59FB"/>
    <w:rsid w:val="001B7FFC"/>
    <w:rsid w:val="001C2089"/>
    <w:rsid w:val="001C377F"/>
    <w:rsid w:val="001C4058"/>
    <w:rsid w:val="001C52D2"/>
    <w:rsid w:val="001C61C3"/>
    <w:rsid w:val="001C798E"/>
    <w:rsid w:val="001D023C"/>
    <w:rsid w:val="001D30B9"/>
    <w:rsid w:val="001D65C7"/>
    <w:rsid w:val="001D7FF0"/>
    <w:rsid w:val="001E5C5C"/>
    <w:rsid w:val="001E5F62"/>
    <w:rsid w:val="001E75A7"/>
    <w:rsid w:val="001F01C9"/>
    <w:rsid w:val="001F0A58"/>
    <w:rsid w:val="001F138F"/>
    <w:rsid w:val="001F25C1"/>
    <w:rsid w:val="001F4312"/>
    <w:rsid w:val="001F529F"/>
    <w:rsid w:val="002007A1"/>
    <w:rsid w:val="0020108F"/>
    <w:rsid w:val="002047EF"/>
    <w:rsid w:val="0020739B"/>
    <w:rsid w:val="00210EDB"/>
    <w:rsid w:val="00213F4F"/>
    <w:rsid w:val="00214F13"/>
    <w:rsid w:val="00217B7F"/>
    <w:rsid w:val="00223B97"/>
    <w:rsid w:val="00225258"/>
    <w:rsid w:val="00227B4E"/>
    <w:rsid w:val="00230FC6"/>
    <w:rsid w:val="0023109A"/>
    <w:rsid w:val="00232265"/>
    <w:rsid w:val="00233848"/>
    <w:rsid w:val="00235845"/>
    <w:rsid w:val="00235C52"/>
    <w:rsid w:val="002453CF"/>
    <w:rsid w:val="002532EA"/>
    <w:rsid w:val="00254017"/>
    <w:rsid w:val="002544B3"/>
    <w:rsid w:val="0025493C"/>
    <w:rsid w:val="002551AC"/>
    <w:rsid w:val="00256192"/>
    <w:rsid w:val="00264133"/>
    <w:rsid w:val="002653AE"/>
    <w:rsid w:val="00272594"/>
    <w:rsid w:val="00277168"/>
    <w:rsid w:val="002813B8"/>
    <w:rsid w:val="00284E0C"/>
    <w:rsid w:val="00286D89"/>
    <w:rsid w:val="0028798C"/>
    <w:rsid w:val="0029152D"/>
    <w:rsid w:val="00292A9B"/>
    <w:rsid w:val="002940DC"/>
    <w:rsid w:val="0029668D"/>
    <w:rsid w:val="002A03BC"/>
    <w:rsid w:val="002A0F70"/>
    <w:rsid w:val="002A19BC"/>
    <w:rsid w:val="002A1E76"/>
    <w:rsid w:val="002A51F0"/>
    <w:rsid w:val="002A7569"/>
    <w:rsid w:val="002A7ED7"/>
    <w:rsid w:val="002B2A34"/>
    <w:rsid w:val="002B331A"/>
    <w:rsid w:val="002B401B"/>
    <w:rsid w:val="002B41C9"/>
    <w:rsid w:val="002B5114"/>
    <w:rsid w:val="002C088E"/>
    <w:rsid w:val="002D0087"/>
    <w:rsid w:val="002D1974"/>
    <w:rsid w:val="002D2163"/>
    <w:rsid w:val="002D2D79"/>
    <w:rsid w:val="002D2D81"/>
    <w:rsid w:val="002D3FCC"/>
    <w:rsid w:val="002D4F23"/>
    <w:rsid w:val="002D6C9A"/>
    <w:rsid w:val="002D6EA9"/>
    <w:rsid w:val="002D76DD"/>
    <w:rsid w:val="002E1E6C"/>
    <w:rsid w:val="002E21B0"/>
    <w:rsid w:val="002E24F0"/>
    <w:rsid w:val="002E2960"/>
    <w:rsid w:val="002E44B0"/>
    <w:rsid w:val="002E5474"/>
    <w:rsid w:val="002E7AEE"/>
    <w:rsid w:val="002F0F4D"/>
    <w:rsid w:val="002F3CF0"/>
    <w:rsid w:val="002F6464"/>
    <w:rsid w:val="00301EFA"/>
    <w:rsid w:val="003022C8"/>
    <w:rsid w:val="00305C7E"/>
    <w:rsid w:val="00311F70"/>
    <w:rsid w:val="003156A8"/>
    <w:rsid w:val="003223B3"/>
    <w:rsid w:val="00323E66"/>
    <w:rsid w:val="003252E2"/>
    <w:rsid w:val="00326B7A"/>
    <w:rsid w:val="00331A87"/>
    <w:rsid w:val="00331D64"/>
    <w:rsid w:val="00333BCE"/>
    <w:rsid w:val="003358A6"/>
    <w:rsid w:val="0033705E"/>
    <w:rsid w:val="0033733D"/>
    <w:rsid w:val="00341746"/>
    <w:rsid w:val="00343227"/>
    <w:rsid w:val="00351B40"/>
    <w:rsid w:val="003520BE"/>
    <w:rsid w:val="00356CFC"/>
    <w:rsid w:val="00357E81"/>
    <w:rsid w:val="00363149"/>
    <w:rsid w:val="00363848"/>
    <w:rsid w:val="003655FC"/>
    <w:rsid w:val="0036593D"/>
    <w:rsid w:val="00366879"/>
    <w:rsid w:val="00367511"/>
    <w:rsid w:val="00370433"/>
    <w:rsid w:val="0037188F"/>
    <w:rsid w:val="00372A58"/>
    <w:rsid w:val="003734AD"/>
    <w:rsid w:val="00373F3D"/>
    <w:rsid w:val="00374E2B"/>
    <w:rsid w:val="003772D6"/>
    <w:rsid w:val="00383498"/>
    <w:rsid w:val="00383C44"/>
    <w:rsid w:val="0038490A"/>
    <w:rsid w:val="00385D86"/>
    <w:rsid w:val="00387954"/>
    <w:rsid w:val="003904D1"/>
    <w:rsid w:val="00391DAF"/>
    <w:rsid w:val="0039283A"/>
    <w:rsid w:val="00394EC1"/>
    <w:rsid w:val="003953EB"/>
    <w:rsid w:val="003956A8"/>
    <w:rsid w:val="003A0E82"/>
    <w:rsid w:val="003A1100"/>
    <w:rsid w:val="003A2114"/>
    <w:rsid w:val="003A3221"/>
    <w:rsid w:val="003A3EAB"/>
    <w:rsid w:val="003A60F9"/>
    <w:rsid w:val="003A622E"/>
    <w:rsid w:val="003B22C6"/>
    <w:rsid w:val="003B374A"/>
    <w:rsid w:val="003B46BD"/>
    <w:rsid w:val="003B4765"/>
    <w:rsid w:val="003B528C"/>
    <w:rsid w:val="003B6435"/>
    <w:rsid w:val="003B698D"/>
    <w:rsid w:val="003B77F5"/>
    <w:rsid w:val="003B7CC3"/>
    <w:rsid w:val="003C2742"/>
    <w:rsid w:val="003C3EF1"/>
    <w:rsid w:val="003C4012"/>
    <w:rsid w:val="003C5CE6"/>
    <w:rsid w:val="003C6475"/>
    <w:rsid w:val="003D018A"/>
    <w:rsid w:val="003D0214"/>
    <w:rsid w:val="003D0922"/>
    <w:rsid w:val="003D2CCD"/>
    <w:rsid w:val="003D61B1"/>
    <w:rsid w:val="003E66E1"/>
    <w:rsid w:val="003F4D68"/>
    <w:rsid w:val="003F592B"/>
    <w:rsid w:val="003F6362"/>
    <w:rsid w:val="0040153D"/>
    <w:rsid w:val="00402B7E"/>
    <w:rsid w:val="00404195"/>
    <w:rsid w:val="00404C2E"/>
    <w:rsid w:val="00404ED9"/>
    <w:rsid w:val="00412A55"/>
    <w:rsid w:val="00412D5E"/>
    <w:rsid w:val="004136EF"/>
    <w:rsid w:val="00415FE0"/>
    <w:rsid w:val="0041729A"/>
    <w:rsid w:val="00420B83"/>
    <w:rsid w:val="00421567"/>
    <w:rsid w:val="004268E2"/>
    <w:rsid w:val="00427F5D"/>
    <w:rsid w:val="00430640"/>
    <w:rsid w:val="00431CD9"/>
    <w:rsid w:val="00434BB8"/>
    <w:rsid w:val="0043709A"/>
    <w:rsid w:val="00440FD9"/>
    <w:rsid w:val="0044492E"/>
    <w:rsid w:val="00445676"/>
    <w:rsid w:val="00445761"/>
    <w:rsid w:val="00447D19"/>
    <w:rsid w:val="00450512"/>
    <w:rsid w:val="00451303"/>
    <w:rsid w:val="00451EFF"/>
    <w:rsid w:val="0045294A"/>
    <w:rsid w:val="004565C1"/>
    <w:rsid w:val="004565FC"/>
    <w:rsid w:val="0046172C"/>
    <w:rsid w:val="00465EA4"/>
    <w:rsid w:val="00466512"/>
    <w:rsid w:val="00466BB9"/>
    <w:rsid w:val="00466D51"/>
    <w:rsid w:val="00466D8F"/>
    <w:rsid w:val="00467981"/>
    <w:rsid w:val="004711C9"/>
    <w:rsid w:val="004740EA"/>
    <w:rsid w:val="004750CA"/>
    <w:rsid w:val="00480DCC"/>
    <w:rsid w:val="00481FCB"/>
    <w:rsid w:val="00482A60"/>
    <w:rsid w:val="00486794"/>
    <w:rsid w:val="004929C6"/>
    <w:rsid w:val="00493550"/>
    <w:rsid w:val="00496C64"/>
    <w:rsid w:val="00497F5B"/>
    <w:rsid w:val="004A29EA"/>
    <w:rsid w:val="004A513C"/>
    <w:rsid w:val="004A5709"/>
    <w:rsid w:val="004A5EB1"/>
    <w:rsid w:val="004B0AA6"/>
    <w:rsid w:val="004B3597"/>
    <w:rsid w:val="004B68FF"/>
    <w:rsid w:val="004B76A7"/>
    <w:rsid w:val="004C0506"/>
    <w:rsid w:val="004C05FF"/>
    <w:rsid w:val="004C3E78"/>
    <w:rsid w:val="004D1335"/>
    <w:rsid w:val="004E3B0D"/>
    <w:rsid w:val="004E41BC"/>
    <w:rsid w:val="004E50D4"/>
    <w:rsid w:val="004E609D"/>
    <w:rsid w:val="004E7C68"/>
    <w:rsid w:val="004F42EC"/>
    <w:rsid w:val="004F44D2"/>
    <w:rsid w:val="004F5546"/>
    <w:rsid w:val="004F615F"/>
    <w:rsid w:val="004F7218"/>
    <w:rsid w:val="00512CB7"/>
    <w:rsid w:val="00513777"/>
    <w:rsid w:val="00517ED6"/>
    <w:rsid w:val="005224F8"/>
    <w:rsid w:val="00523E36"/>
    <w:rsid w:val="00526722"/>
    <w:rsid w:val="005401B8"/>
    <w:rsid w:val="00545C09"/>
    <w:rsid w:val="005503B5"/>
    <w:rsid w:val="005518EC"/>
    <w:rsid w:val="00552DEC"/>
    <w:rsid w:val="00553B8C"/>
    <w:rsid w:val="00554174"/>
    <w:rsid w:val="00556039"/>
    <w:rsid w:val="00560550"/>
    <w:rsid w:val="005609BA"/>
    <w:rsid w:val="005618DE"/>
    <w:rsid w:val="00562EAE"/>
    <w:rsid w:val="00566104"/>
    <w:rsid w:val="0056780B"/>
    <w:rsid w:val="00575BE2"/>
    <w:rsid w:val="0057621F"/>
    <w:rsid w:val="00581B0A"/>
    <w:rsid w:val="005827FF"/>
    <w:rsid w:val="005841A4"/>
    <w:rsid w:val="005842FA"/>
    <w:rsid w:val="00584DE8"/>
    <w:rsid w:val="0058614E"/>
    <w:rsid w:val="005863FC"/>
    <w:rsid w:val="00586FCF"/>
    <w:rsid w:val="005873DC"/>
    <w:rsid w:val="00590047"/>
    <w:rsid w:val="00590095"/>
    <w:rsid w:val="0059232F"/>
    <w:rsid w:val="00592D86"/>
    <w:rsid w:val="00597EEA"/>
    <w:rsid w:val="005A0F2E"/>
    <w:rsid w:val="005A1EBC"/>
    <w:rsid w:val="005A2715"/>
    <w:rsid w:val="005A4FAA"/>
    <w:rsid w:val="005A681F"/>
    <w:rsid w:val="005A70EF"/>
    <w:rsid w:val="005A791D"/>
    <w:rsid w:val="005B42D9"/>
    <w:rsid w:val="005C1F87"/>
    <w:rsid w:val="005C756B"/>
    <w:rsid w:val="005C7714"/>
    <w:rsid w:val="005D1320"/>
    <w:rsid w:val="005D2113"/>
    <w:rsid w:val="005D5D83"/>
    <w:rsid w:val="005D753F"/>
    <w:rsid w:val="005E0AB6"/>
    <w:rsid w:val="005E3748"/>
    <w:rsid w:val="005E416B"/>
    <w:rsid w:val="005F2683"/>
    <w:rsid w:val="005F34F6"/>
    <w:rsid w:val="005F42E3"/>
    <w:rsid w:val="005F4540"/>
    <w:rsid w:val="005F4571"/>
    <w:rsid w:val="005F6052"/>
    <w:rsid w:val="005F7237"/>
    <w:rsid w:val="0060679A"/>
    <w:rsid w:val="00607BB3"/>
    <w:rsid w:val="00611ABF"/>
    <w:rsid w:val="00612A3D"/>
    <w:rsid w:val="00613B12"/>
    <w:rsid w:val="006174E8"/>
    <w:rsid w:val="0062110E"/>
    <w:rsid w:val="00622673"/>
    <w:rsid w:val="006240CA"/>
    <w:rsid w:val="00630564"/>
    <w:rsid w:val="00630C3F"/>
    <w:rsid w:val="00631CAF"/>
    <w:rsid w:val="00634A5E"/>
    <w:rsid w:val="00643738"/>
    <w:rsid w:val="0064666F"/>
    <w:rsid w:val="006504ED"/>
    <w:rsid w:val="00650B70"/>
    <w:rsid w:val="00653AD4"/>
    <w:rsid w:val="00654424"/>
    <w:rsid w:val="00660892"/>
    <w:rsid w:val="006650DF"/>
    <w:rsid w:val="006679F2"/>
    <w:rsid w:val="00670BC7"/>
    <w:rsid w:val="00671AE7"/>
    <w:rsid w:val="006730B2"/>
    <w:rsid w:val="00676C12"/>
    <w:rsid w:val="0068280A"/>
    <w:rsid w:val="0068282A"/>
    <w:rsid w:val="00682CA1"/>
    <w:rsid w:val="006833F9"/>
    <w:rsid w:val="006842A9"/>
    <w:rsid w:val="006922C3"/>
    <w:rsid w:val="00693719"/>
    <w:rsid w:val="00695793"/>
    <w:rsid w:val="006A0268"/>
    <w:rsid w:val="006A1ACA"/>
    <w:rsid w:val="006A4090"/>
    <w:rsid w:val="006A4606"/>
    <w:rsid w:val="006A4C16"/>
    <w:rsid w:val="006A4FAF"/>
    <w:rsid w:val="006B0D0F"/>
    <w:rsid w:val="006B19F1"/>
    <w:rsid w:val="006B791F"/>
    <w:rsid w:val="006B7A1D"/>
    <w:rsid w:val="006C0989"/>
    <w:rsid w:val="006C1EBF"/>
    <w:rsid w:val="006C2CA8"/>
    <w:rsid w:val="006C498D"/>
    <w:rsid w:val="006D5E2F"/>
    <w:rsid w:val="006D64D0"/>
    <w:rsid w:val="006D75F6"/>
    <w:rsid w:val="006E06B5"/>
    <w:rsid w:val="006E0A46"/>
    <w:rsid w:val="006E2D09"/>
    <w:rsid w:val="006E5EAB"/>
    <w:rsid w:val="006E76F0"/>
    <w:rsid w:val="006F0689"/>
    <w:rsid w:val="006F0C30"/>
    <w:rsid w:val="006F4171"/>
    <w:rsid w:val="006F4264"/>
    <w:rsid w:val="006F6690"/>
    <w:rsid w:val="007005CC"/>
    <w:rsid w:val="00701483"/>
    <w:rsid w:val="007072A4"/>
    <w:rsid w:val="0071119A"/>
    <w:rsid w:val="007112D9"/>
    <w:rsid w:val="007144CD"/>
    <w:rsid w:val="00715BB1"/>
    <w:rsid w:val="00717942"/>
    <w:rsid w:val="00721732"/>
    <w:rsid w:val="0072298E"/>
    <w:rsid w:val="00722AE2"/>
    <w:rsid w:val="007231A9"/>
    <w:rsid w:val="00723CB6"/>
    <w:rsid w:val="007256D5"/>
    <w:rsid w:val="00727BAF"/>
    <w:rsid w:val="0073136C"/>
    <w:rsid w:val="007331A0"/>
    <w:rsid w:val="00737B17"/>
    <w:rsid w:val="00744340"/>
    <w:rsid w:val="00752C16"/>
    <w:rsid w:val="00754C27"/>
    <w:rsid w:val="00757287"/>
    <w:rsid w:val="00757F38"/>
    <w:rsid w:val="00761776"/>
    <w:rsid w:val="0076211F"/>
    <w:rsid w:val="007628BE"/>
    <w:rsid w:val="007669D3"/>
    <w:rsid w:val="00767379"/>
    <w:rsid w:val="0077144A"/>
    <w:rsid w:val="007718DC"/>
    <w:rsid w:val="0077255C"/>
    <w:rsid w:val="00773506"/>
    <w:rsid w:val="007736F4"/>
    <w:rsid w:val="00775AAA"/>
    <w:rsid w:val="00776609"/>
    <w:rsid w:val="00780E7E"/>
    <w:rsid w:val="007839BE"/>
    <w:rsid w:val="00791E37"/>
    <w:rsid w:val="00793025"/>
    <w:rsid w:val="007944BC"/>
    <w:rsid w:val="00797241"/>
    <w:rsid w:val="0079725A"/>
    <w:rsid w:val="007A051A"/>
    <w:rsid w:val="007A07CC"/>
    <w:rsid w:val="007A1943"/>
    <w:rsid w:val="007A38D6"/>
    <w:rsid w:val="007A73E9"/>
    <w:rsid w:val="007B0371"/>
    <w:rsid w:val="007B083D"/>
    <w:rsid w:val="007B0E5D"/>
    <w:rsid w:val="007B47C8"/>
    <w:rsid w:val="007B786C"/>
    <w:rsid w:val="007C1864"/>
    <w:rsid w:val="007C18E6"/>
    <w:rsid w:val="007C6B6C"/>
    <w:rsid w:val="007D137C"/>
    <w:rsid w:val="007D30F6"/>
    <w:rsid w:val="007E0827"/>
    <w:rsid w:val="007E0BA9"/>
    <w:rsid w:val="007E44C8"/>
    <w:rsid w:val="007E44FA"/>
    <w:rsid w:val="007F060F"/>
    <w:rsid w:val="007F0D90"/>
    <w:rsid w:val="007F15B8"/>
    <w:rsid w:val="007F2D74"/>
    <w:rsid w:val="00801693"/>
    <w:rsid w:val="00802820"/>
    <w:rsid w:val="00804039"/>
    <w:rsid w:val="00807E0C"/>
    <w:rsid w:val="00811D07"/>
    <w:rsid w:val="00812027"/>
    <w:rsid w:val="00815C62"/>
    <w:rsid w:val="00816622"/>
    <w:rsid w:val="00817E64"/>
    <w:rsid w:val="008200C9"/>
    <w:rsid w:val="00821B96"/>
    <w:rsid w:val="00823C67"/>
    <w:rsid w:val="008260F3"/>
    <w:rsid w:val="00831185"/>
    <w:rsid w:val="00832382"/>
    <w:rsid w:val="0083443C"/>
    <w:rsid w:val="008346DA"/>
    <w:rsid w:val="00836434"/>
    <w:rsid w:val="008426F6"/>
    <w:rsid w:val="00843096"/>
    <w:rsid w:val="008431F9"/>
    <w:rsid w:val="008448EF"/>
    <w:rsid w:val="00845BB2"/>
    <w:rsid w:val="008466C3"/>
    <w:rsid w:val="0084705B"/>
    <w:rsid w:val="0084726E"/>
    <w:rsid w:val="0085001F"/>
    <w:rsid w:val="0085426E"/>
    <w:rsid w:val="0085498E"/>
    <w:rsid w:val="00856C1E"/>
    <w:rsid w:val="008628EE"/>
    <w:rsid w:val="0086458B"/>
    <w:rsid w:val="00864CA9"/>
    <w:rsid w:val="0087203D"/>
    <w:rsid w:val="00872049"/>
    <w:rsid w:val="00873B2B"/>
    <w:rsid w:val="00873DC1"/>
    <w:rsid w:val="008836FC"/>
    <w:rsid w:val="0089114D"/>
    <w:rsid w:val="00892D9B"/>
    <w:rsid w:val="00893161"/>
    <w:rsid w:val="008A2348"/>
    <w:rsid w:val="008A57B7"/>
    <w:rsid w:val="008A5E1C"/>
    <w:rsid w:val="008B14C5"/>
    <w:rsid w:val="008C06E0"/>
    <w:rsid w:val="008C1EF4"/>
    <w:rsid w:val="008C350D"/>
    <w:rsid w:val="008C5B2B"/>
    <w:rsid w:val="008C690D"/>
    <w:rsid w:val="008C6A48"/>
    <w:rsid w:val="008C7BC5"/>
    <w:rsid w:val="008D2939"/>
    <w:rsid w:val="008D3F8B"/>
    <w:rsid w:val="008D63A2"/>
    <w:rsid w:val="008E318D"/>
    <w:rsid w:val="008E7B16"/>
    <w:rsid w:val="008F4820"/>
    <w:rsid w:val="008F57FF"/>
    <w:rsid w:val="008F5F70"/>
    <w:rsid w:val="008F675C"/>
    <w:rsid w:val="008F7D5A"/>
    <w:rsid w:val="00903D01"/>
    <w:rsid w:val="00906FBF"/>
    <w:rsid w:val="009075AE"/>
    <w:rsid w:val="00910218"/>
    <w:rsid w:val="00910733"/>
    <w:rsid w:val="00912058"/>
    <w:rsid w:val="00912EDA"/>
    <w:rsid w:val="00913BE3"/>
    <w:rsid w:val="00914183"/>
    <w:rsid w:val="00914810"/>
    <w:rsid w:val="0092047F"/>
    <w:rsid w:val="00920A0B"/>
    <w:rsid w:val="0093146F"/>
    <w:rsid w:val="00931E74"/>
    <w:rsid w:val="0093549D"/>
    <w:rsid w:val="00936AA8"/>
    <w:rsid w:val="009372FD"/>
    <w:rsid w:val="00937500"/>
    <w:rsid w:val="009441E1"/>
    <w:rsid w:val="009451E8"/>
    <w:rsid w:val="00951AC0"/>
    <w:rsid w:val="00952320"/>
    <w:rsid w:val="00953891"/>
    <w:rsid w:val="009614E6"/>
    <w:rsid w:val="0096477A"/>
    <w:rsid w:val="009657A3"/>
    <w:rsid w:val="00965D67"/>
    <w:rsid w:val="00970339"/>
    <w:rsid w:val="00970671"/>
    <w:rsid w:val="00971FA2"/>
    <w:rsid w:val="00972370"/>
    <w:rsid w:val="00973252"/>
    <w:rsid w:val="009733E6"/>
    <w:rsid w:val="00973F90"/>
    <w:rsid w:val="009742FD"/>
    <w:rsid w:val="00980664"/>
    <w:rsid w:val="00980A23"/>
    <w:rsid w:val="00980EE8"/>
    <w:rsid w:val="009817CB"/>
    <w:rsid w:val="00983187"/>
    <w:rsid w:val="0098385E"/>
    <w:rsid w:val="009850A8"/>
    <w:rsid w:val="009865BA"/>
    <w:rsid w:val="00987B8D"/>
    <w:rsid w:val="00990740"/>
    <w:rsid w:val="00990DDC"/>
    <w:rsid w:val="00991740"/>
    <w:rsid w:val="009926BD"/>
    <w:rsid w:val="009A1461"/>
    <w:rsid w:val="009A325F"/>
    <w:rsid w:val="009A3304"/>
    <w:rsid w:val="009A3E07"/>
    <w:rsid w:val="009A487B"/>
    <w:rsid w:val="009A4F8B"/>
    <w:rsid w:val="009B26F4"/>
    <w:rsid w:val="009B73AA"/>
    <w:rsid w:val="009B791E"/>
    <w:rsid w:val="009B7A2D"/>
    <w:rsid w:val="009D12DA"/>
    <w:rsid w:val="009D193D"/>
    <w:rsid w:val="009D2EB3"/>
    <w:rsid w:val="009D4262"/>
    <w:rsid w:val="009D486D"/>
    <w:rsid w:val="009E352B"/>
    <w:rsid w:val="009E4836"/>
    <w:rsid w:val="009E5068"/>
    <w:rsid w:val="009E6BCB"/>
    <w:rsid w:val="009F2F61"/>
    <w:rsid w:val="009F33A9"/>
    <w:rsid w:val="009F44CC"/>
    <w:rsid w:val="009F4961"/>
    <w:rsid w:val="00A01E92"/>
    <w:rsid w:val="00A030CA"/>
    <w:rsid w:val="00A04AF1"/>
    <w:rsid w:val="00A05AD6"/>
    <w:rsid w:val="00A12942"/>
    <w:rsid w:val="00A131FB"/>
    <w:rsid w:val="00A132BF"/>
    <w:rsid w:val="00A1368E"/>
    <w:rsid w:val="00A141C8"/>
    <w:rsid w:val="00A1521D"/>
    <w:rsid w:val="00A17602"/>
    <w:rsid w:val="00A17A61"/>
    <w:rsid w:val="00A229D4"/>
    <w:rsid w:val="00A26AEE"/>
    <w:rsid w:val="00A277A8"/>
    <w:rsid w:val="00A3357D"/>
    <w:rsid w:val="00A348D4"/>
    <w:rsid w:val="00A34CB8"/>
    <w:rsid w:val="00A34FA2"/>
    <w:rsid w:val="00A377E0"/>
    <w:rsid w:val="00A42AC0"/>
    <w:rsid w:val="00A46986"/>
    <w:rsid w:val="00A55F83"/>
    <w:rsid w:val="00A564B3"/>
    <w:rsid w:val="00A602F4"/>
    <w:rsid w:val="00A65165"/>
    <w:rsid w:val="00A6598D"/>
    <w:rsid w:val="00A662E2"/>
    <w:rsid w:val="00A70507"/>
    <w:rsid w:val="00A70F37"/>
    <w:rsid w:val="00A71603"/>
    <w:rsid w:val="00A72EDB"/>
    <w:rsid w:val="00A81E27"/>
    <w:rsid w:val="00A844AF"/>
    <w:rsid w:val="00A85050"/>
    <w:rsid w:val="00A87CFA"/>
    <w:rsid w:val="00A90B2E"/>
    <w:rsid w:val="00A94676"/>
    <w:rsid w:val="00A97582"/>
    <w:rsid w:val="00AA1319"/>
    <w:rsid w:val="00AA26B2"/>
    <w:rsid w:val="00AB3E85"/>
    <w:rsid w:val="00AB7EC5"/>
    <w:rsid w:val="00AC16AA"/>
    <w:rsid w:val="00AC3A9B"/>
    <w:rsid w:val="00AC654F"/>
    <w:rsid w:val="00AD012F"/>
    <w:rsid w:val="00AD0EC9"/>
    <w:rsid w:val="00AD1968"/>
    <w:rsid w:val="00AD54D9"/>
    <w:rsid w:val="00AD6140"/>
    <w:rsid w:val="00AD62BA"/>
    <w:rsid w:val="00AD63D9"/>
    <w:rsid w:val="00AD664A"/>
    <w:rsid w:val="00AE4338"/>
    <w:rsid w:val="00AE44DB"/>
    <w:rsid w:val="00AE588A"/>
    <w:rsid w:val="00AF4814"/>
    <w:rsid w:val="00AF4AA6"/>
    <w:rsid w:val="00AF4B2F"/>
    <w:rsid w:val="00AF5E05"/>
    <w:rsid w:val="00B00417"/>
    <w:rsid w:val="00B01AE7"/>
    <w:rsid w:val="00B029BA"/>
    <w:rsid w:val="00B029BF"/>
    <w:rsid w:val="00B02F34"/>
    <w:rsid w:val="00B04293"/>
    <w:rsid w:val="00B052E1"/>
    <w:rsid w:val="00B06B6C"/>
    <w:rsid w:val="00B07B17"/>
    <w:rsid w:val="00B07FB5"/>
    <w:rsid w:val="00B10723"/>
    <w:rsid w:val="00B17770"/>
    <w:rsid w:val="00B17805"/>
    <w:rsid w:val="00B23230"/>
    <w:rsid w:val="00B2607E"/>
    <w:rsid w:val="00B30543"/>
    <w:rsid w:val="00B31210"/>
    <w:rsid w:val="00B31535"/>
    <w:rsid w:val="00B361B0"/>
    <w:rsid w:val="00B40F40"/>
    <w:rsid w:val="00B45273"/>
    <w:rsid w:val="00B46CEC"/>
    <w:rsid w:val="00B504BE"/>
    <w:rsid w:val="00B5458A"/>
    <w:rsid w:val="00B552B2"/>
    <w:rsid w:val="00B56534"/>
    <w:rsid w:val="00B5749E"/>
    <w:rsid w:val="00B6131E"/>
    <w:rsid w:val="00B61F30"/>
    <w:rsid w:val="00B6285F"/>
    <w:rsid w:val="00B63750"/>
    <w:rsid w:val="00B63EDC"/>
    <w:rsid w:val="00B65542"/>
    <w:rsid w:val="00B65DAD"/>
    <w:rsid w:val="00B65EC2"/>
    <w:rsid w:val="00B70440"/>
    <w:rsid w:val="00B72596"/>
    <w:rsid w:val="00B72C0E"/>
    <w:rsid w:val="00B74277"/>
    <w:rsid w:val="00B76849"/>
    <w:rsid w:val="00B77D63"/>
    <w:rsid w:val="00B808AF"/>
    <w:rsid w:val="00B80D93"/>
    <w:rsid w:val="00B84D05"/>
    <w:rsid w:val="00B873A9"/>
    <w:rsid w:val="00B907A9"/>
    <w:rsid w:val="00B92793"/>
    <w:rsid w:val="00B93DC2"/>
    <w:rsid w:val="00B93FCA"/>
    <w:rsid w:val="00B9566A"/>
    <w:rsid w:val="00B97417"/>
    <w:rsid w:val="00BA083A"/>
    <w:rsid w:val="00BA1053"/>
    <w:rsid w:val="00BB4A4B"/>
    <w:rsid w:val="00BC0600"/>
    <w:rsid w:val="00BC1653"/>
    <w:rsid w:val="00BC3056"/>
    <w:rsid w:val="00BC54A4"/>
    <w:rsid w:val="00BC75E7"/>
    <w:rsid w:val="00BD10D2"/>
    <w:rsid w:val="00BD6014"/>
    <w:rsid w:val="00BD74AC"/>
    <w:rsid w:val="00BE0D12"/>
    <w:rsid w:val="00BE2C3D"/>
    <w:rsid w:val="00BE3B43"/>
    <w:rsid w:val="00BE51B4"/>
    <w:rsid w:val="00BF45D8"/>
    <w:rsid w:val="00BF57ED"/>
    <w:rsid w:val="00BF6F42"/>
    <w:rsid w:val="00BF7407"/>
    <w:rsid w:val="00C01EFC"/>
    <w:rsid w:val="00C02360"/>
    <w:rsid w:val="00C06854"/>
    <w:rsid w:val="00C113CF"/>
    <w:rsid w:val="00C126C1"/>
    <w:rsid w:val="00C15766"/>
    <w:rsid w:val="00C165D6"/>
    <w:rsid w:val="00C20F1E"/>
    <w:rsid w:val="00C21337"/>
    <w:rsid w:val="00C21BA0"/>
    <w:rsid w:val="00C322F8"/>
    <w:rsid w:val="00C32C58"/>
    <w:rsid w:val="00C35AD2"/>
    <w:rsid w:val="00C4201B"/>
    <w:rsid w:val="00C4325C"/>
    <w:rsid w:val="00C43D4C"/>
    <w:rsid w:val="00C50D30"/>
    <w:rsid w:val="00C52E09"/>
    <w:rsid w:val="00C546D4"/>
    <w:rsid w:val="00C60646"/>
    <w:rsid w:val="00C66D3E"/>
    <w:rsid w:val="00C83D4E"/>
    <w:rsid w:val="00C912E9"/>
    <w:rsid w:val="00C9545E"/>
    <w:rsid w:val="00CA20FB"/>
    <w:rsid w:val="00CA2D3E"/>
    <w:rsid w:val="00CA4CD0"/>
    <w:rsid w:val="00CA5231"/>
    <w:rsid w:val="00CA5481"/>
    <w:rsid w:val="00CB0F40"/>
    <w:rsid w:val="00CB1C03"/>
    <w:rsid w:val="00CB1C16"/>
    <w:rsid w:val="00CB2683"/>
    <w:rsid w:val="00CB6F5E"/>
    <w:rsid w:val="00CC0806"/>
    <w:rsid w:val="00CC0CD4"/>
    <w:rsid w:val="00CC3C63"/>
    <w:rsid w:val="00CC4597"/>
    <w:rsid w:val="00CC7600"/>
    <w:rsid w:val="00CD1077"/>
    <w:rsid w:val="00CD26B8"/>
    <w:rsid w:val="00CD38F2"/>
    <w:rsid w:val="00CD3AE7"/>
    <w:rsid w:val="00CD6770"/>
    <w:rsid w:val="00CE0183"/>
    <w:rsid w:val="00CE359B"/>
    <w:rsid w:val="00CE3D11"/>
    <w:rsid w:val="00CF0A33"/>
    <w:rsid w:val="00CF27F0"/>
    <w:rsid w:val="00CF2902"/>
    <w:rsid w:val="00CF3F4D"/>
    <w:rsid w:val="00CF60C8"/>
    <w:rsid w:val="00D04CD7"/>
    <w:rsid w:val="00D074D4"/>
    <w:rsid w:val="00D07529"/>
    <w:rsid w:val="00D0763B"/>
    <w:rsid w:val="00D07EE3"/>
    <w:rsid w:val="00D10E72"/>
    <w:rsid w:val="00D215B9"/>
    <w:rsid w:val="00D22A7D"/>
    <w:rsid w:val="00D23265"/>
    <w:rsid w:val="00D25E2A"/>
    <w:rsid w:val="00D3031B"/>
    <w:rsid w:val="00D3315E"/>
    <w:rsid w:val="00D33D56"/>
    <w:rsid w:val="00D35D38"/>
    <w:rsid w:val="00D40C41"/>
    <w:rsid w:val="00D4170B"/>
    <w:rsid w:val="00D432C0"/>
    <w:rsid w:val="00D44BC2"/>
    <w:rsid w:val="00D44C22"/>
    <w:rsid w:val="00D465B5"/>
    <w:rsid w:val="00D50195"/>
    <w:rsid w:val="00D50E72"/>
    <w:rsid w:val="00D53CDE"/>
    <w:rsid w:val="00D56B6C"/>
    <w:rsid w:val="00D56E45"/>
    <w:rsid w:val="00D60D73"/>
    <w:rsid w:val="00D627EC"/>
    <w:rsid w:val="00D62F32"/>
    <w:rsid w:val="00D6314D"/>
    <w:rsid w:val="00D6377E"/>
    <w:rsid w:val="00D63953"/>
    <w:rsid w:val="00D64425"/>
    <w:rsid w:val="00D66B74"/>
    <w:rsid w:val="00D70B21"/>
    <w:rsid w:val="00D711C3"/>
    <w:rsid w:val="00D7168E"/>
    <w:rsid w:val="00D72E90"/>
    <w:rsid w:val="00D7356A"/>
    <w:rsid w:val="00D76914"/>
    <w:rsid w:val="00D76EA6"/>
    <w:rsid w:val="00D84547"/>
    <w:rsid w:val="00D85483"/>
    <w:rsid w:val="00D902B4"/>
    <w:rsid w:val="00D93791"/>
    <w:rsid w:val="00D96532"/>
    <w:rsid w:val="00DA1F09"/>
    <w:rsid w:val="00DA22A1"/>
    <w:rsid w:val="00DA4C2C"/>
    <w:rsid w:val="00DA5795"/>
    <w:rsid w:val="00DA78B4"/>
    <w:rsid w:val="00DB01C7"/>
    <w:rsid w:val="00DB342A"/>
    <w:rsid w:val="00DB3B01"/>
    <w:rsid w:val="00DB3C2B"/>
    <w:rsid w:val="00DB5670"/>
    <w:rsid w:val="00DB762D"/>
    <w:rsid w:val="00DD0A3A"/>
    <w:rsid w:val="00DD0B97"/>
    <w:rsid w:val="00DD15D7"/>
    <w:rsid w:val="00DD1815"/>
    <w:rsid w:val="00DD1909"/>
    <w:rsid w:val="00DD2935"/>
    <w:rsid w:val="00DD4E1A"/>
    <w:rsid w:val="00DD52FC"/>
    <w:rsid w:val="00DD5A49"/>
    <w:rsid w:val="00DD6D92"/>
    <w:rsid w:val="00DD775A"/>
    <w:rsid w:val="00DE0B05"/>
    <w:rsid w:val="00DE0D6F"/>
    <w:rsid w:val="00DE1763"/>
    <w:rsid w:val="00DE307B"/>
    <w:rsid w:val="00DE417C"/>
    <w:rsid w:val="00DE46CF"/>
    <w:rsid w:val="00DE52E5"/>
    <w:rsid w:val="00DF0B7F"/>
    <w:rsid w:val="00DF39B9"/>
    <w:rsid w:val="00E003CB"/>
    <w:rsid w:val="00E01511"/>
    <w:rsid w:val="00E02B24"/>
    <w:rsid w:val="00E03AAA"/>
    <w:rsid w:val="00E041AD"/>
    <w:rsid w:val="00E044F8"/>
    <w:rsid w:val="00E04E6C"/>
    <w:rsid w:val="00E157CF"/>
    <w:rsid w:val="00E15F0B"/>
    <w:rsid w:val="00E177C9"/>
    <w:rsid w:val="00E20575"/>
    <w:rsid w:val="00E2181E"/>
    <w:rsid w:val="00E21A79"/>
    <w:rsid w:val="00E21B35"/>
    <w:rsid w:val="00E24E50"/>
    <w:rsid w:val="00E30D5F"/>
    <w:rsid w:val="00E33157"/>
    <w:rsid w:val="00E360FB"/>
    <w:rsid w:val="00E522B0"/>
    <w:rsid w:val="00E53046"/>
    <w:rsid w:val="00E604F0"/>
    <w:rsid w:val="00E61D22"/>
    <w:rsid w:val="00E64CC2"/>
    <w:rsid w:val="00E65850"/>
    <w:rsid w:val="00E7096C"/>
    <w:rsid w:val="00E71AA8"/>
    <w:rsid w:val="00E71F96"/>
    <w:rsid w:val="00E74426"/>
    <w:rsid w:val="00E7772D"/>
    <w:rsid w:val="00E81D68"/>
    <w:rsid w:val="00E82B7F"/>
    <w:rsid w:val="00E848B6"/>
    <w:rsid w:val="00E86573"/>
    <w:rsid w:val="00E91A62"/>
    <w:rsid w:val="00E9253D"/>
    <w:rsid w:val="00E9769D"/>
    <w:rsid w:val="00EA29E6"/>
    <w:rsid w:val="00EA5B08"/>
    <w:rsid w:val="00EA657B"/>
    <w:rsid w:val="00EA707A"/>
    <w:rsid w:val="00EA75CE"/>
    <w:rsid w:val="00EB6983"/>
    <w:rsid w:val="00EC580B"/>
    <w:rsid w:val="00EC6B1F"/>
    <w:rsid w:val="00ED07DD"/>
    <w:rsid w:val="00ED4551"/>
    <w:rsid w:val="00ED4957"/>
    <w:rsid w:val="00ED5877"/>
    <w:rsid w:val="00EE02E2"/>
    <w:rsid w:val="00EE2415"/>
    <w:rsid w:val="00EE27D3"/>
    <w:rsid w:val="00EE2A59"/>
    <w:rsid w:val="00EE4B2C"/>
    <w:rsid w:val="00EE5D43"/>
    <w:rsid w:val="00EF0DFE"/>
    <w:rsid w:val="00EF16D1"/>
    <w:rsid w:val="00EF2730"/>
    <w:rsid w:val="00EF424F"/>
    <w:rsid w:val="00EF5DD0"/>
    <w:rsid w:val="00EF77A1"/>
    <w:rsid w:val="00EF7848"/>
    <w:rsid w:val="00EF7A65"/>
    <w:rsid w:val="00F00500"/>
    <w:rsid w:val="00F00597"/>
    <w:rsid w:val="00F0100E"/>
    <w:rsid w:val="00F04274"/>
    <w:rsid w:val="00F0475A"/>
    <w:rsid w:val="00F04903"/>
    <w:rsid w:val="00F04904"/>
    <w:rsid w:val="00F122A5"/>
    <w:rsid w:val="00F21A97"/>
    <w:rsid w:val="00F23214"/>
    <w:rsid w:val="00F232FA"/>
    <w:rsid w:val="00F25811"/>
    <w:rsid w:val="00F34D5A"/>
    <w:rsid w:val="00F35A01"/>
    <w:rsid w:val="00F36AE5"/>
    <w:rsid w:val="00F51449"/>
    <w:rsid w:val="00F53724"/>
    <w:rsid w:val="00F56A4B"/>
    <w:rsid w:val="00F60E98"/>
    <w:rsid w:val="00F61754"/>
    <w:rsid w:val="00F6244F"/>
    <w:rsid w:val="00F65670"/>
    <w:rsid w:val="00F67C72"/>
    <w:rsid w:val="00F72669"/>
    <w:rsid w:val="00F73710"/>
    <w:rsid w:val="00F8101B"/>
    <w:rsid w:val="00F82865"/>
    <w:rsid w:val="00F838CA"/>
    <w:rsid w:val="00F85AFC"/>
    <w:rsid w:val="00F860C7"/>
    <w:rsid w:val="00F90A6E"/>
    <w:rsid w:val="00F91E96"/>
    <w:rsid w:val="00F92416"/>
    <w:rsid w:val="00F946AC"/>
    <w:rsid w:val="00FA189D"/>
    <w:rsid w:val="00FA2873"/>
    <w:rsid w:val="00FA320E"/>
    <w:rsid w:val="00FA6DBD"/>
    <w:rsid w:val="00FB1C92"/>
    <w:rsid w:val="00FB1DAA"/>
    <w:rsid w:val="00FB678D"/>
    <w:rsid w:val="00FB7FC7"/>
    <w:rsid w:val="00FC04C6"/>
    <w:rsid w:val="00FC2E3E"/>
    <w:rsid w:val="00FC59F3"/>
    <w:rsid w:val="00FC6F85"/>
    <w:rsid w:val="00FD3CB5"/>
    <w:rsid w:val="00FD4E19"/>
    <w:rsid w:val="00FD5EEC"/>
    <w:rsid w:val="00FE0EC6"/>
    <w:rsid w:val="00FE2F4D"/>
    <w:rsid w:val="00FE30FF"/>
    <w:rsid w:val="00FE4DD3"/>
    <w:rsid w:val="00FE52C3"/>
    <w:rsid w:val="00FE6C2F"/>
    <w:rsid w:val="00FF3F3E"/>
    <w:rsid w:val="00FF483E"/>
    <w:rsid w:val="00FF4BAA"/>
    <w:rsid w:val="00FF75F0"/>
    <w:rsid w:val="00FF79A0"/>
    <w:rsid w:val="0EA2843C"/>
    <w:rsid w:val="32372924"/>
    <w:rsid w:val="360C2034"/>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67A6AB"/>
  <w15:chartTrackingRefBased/>
  <w15:docId w15:val="{704088CD-CD3B-4755-B0D4-A6B7D8F46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19A"/>
    <w:pPr>
      <w:spacing w:line="360" w:lineRule="auto"/>
    </w:pPr>
    <w:rPr>
      <w:noProof/>
      <w:sz w:val="24"/>
      <w:lang w:val="ru-RU"/>
    </w:rPr>
  </w:style>
  <w:style w:type="paragraph" w:styleId="Heading1">
    <w:name w:val="heading 1"/>
    <w:basedOn w:val="Normal"/>
    <w:next w:val="Normal"/>
    <w:link w:val="Heading1Char"/>
    <w:uiPriority w:val="9"/>
    <w:qFormat/>
    <w:rsid w:val="00CA2D3E"/>
    <w:pPr>
      <w:keepNext/>
      <w:keepLines/>
      <w:pBdr>
        <w:bottom w:val="single" w:sz="36" w:space="1" w:color="0065FC" w:themeColor="accent1"/>
      </w:pBdr>
      <w:spacing w:before="360" w:after="36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7A1943"/>
    <w:pPr>
      <w:keepNext/>
      <w:keepLines/>
      <w:spacing w:before="240" w:after="120"/>
      <w:outlineLvl w:val="1"/>
    </w:pPr>
    <w:rPr>
      <w:rFonts w:asciiTheme="majorHAnsi" w:eastAsiaTheme="majorEastAsia" w:hAnsiTheme="majorHAnsi" w:cstheme="majorBidi"/>
      <w:color w:val="000000" w:themeColor="text1"/>
      <w:sz w:val="32"/>
      <w:szCs w:val="26"/>
    </w:rPr>
  </w:style>
  <w:style w:type="paragraph" w:styleId="Heading3">
    <w:name w:val="heading 3"/>
    <w:basedOn w:val="Normal"/>
    <w:next w:val="Normal"/>
    <w:link w:val="Heading3Char"/>
    <w:uiPriority w:val="9"/>
    <w:semiHidden/>
    <w:unhideWhenUsed/>
    <w:qFormat/>
    <w:rsid w:val="007A1943"/>
    <w:pPr>
      <w:keepNext/>
      <w:keepLines/>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0636B3"/>
    <w:pPr>
      <w:keepNext/>
      <w:keepLines/>
      <w:spacing w:before="80" w:after="40"/>
      <w:outlineLvl w:val="3"/>
    </w:pPr>
    <w:rPr>
      <w:rFonts w:eastAsiaTheme="majorEastAsia" w:cstheme="majorBidi"/>
      <w:i/>
      <w:iCs/>
      <w:color w:val="004BBC" w:themeColor="accent1" w:themeShade="BF"/>
    </w:rPr>
  </w:style>
  <w:style w:type="paragraph" w:styleId="Heading5">
    <w:name w:val="heading 5"/>
    <w:basedOn w:val="Normal"/>
    <w:next w:val="Normal"/>
    <w:link w:val="Heading5Char"/>
    <w:uiPriority w:val="9"/>
    <w:semiHidden/>
    <w:unhideWhenUsed/>
    <w:qFormat/>
    <w:rsid w:val="000636B3"/>
    <w:pPr>
      <w:keepNext/>
      <w:keepLines/>
      <w:spacing w:before="80" w:after="40"/>
      <w:outlineLvl w:val="4"/>
    </w:pPr>
    <w:rPr>
      <w:rFonts w:eastAsiaTheme="majorEastAsia" w:cstheme="majorBidi"/>
      <w:color w:val="004BBC" w:themeColor="accent1" w:themeShade="BF"/>
    </w:rPr>
  </w:style>
  <w:style w:type="paragraph" w:styleId="Heading6">
    <w:name w:val="heading 6"/>
    <w:basedOn w:val="Normal"/>
    <w:next w:val="Normal"/>
    <w:link w:val="Heading6Char"/>
    <w:uiPriority w:val="9"/>
    <w:semiHidden/>
    <w:unhideWhenUsed/>
    <w:qFormat/>
    <w:rsid w:val="000636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6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6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6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Стиль1"/>
    <w:basedOn w:val="BodyText"/>
    <w:next w:val="BodyText"/>
    <w:link w:val="10"/>
    <w:rsid w:val="007736F4"/>
    <w:pPr>
      <w:ind w:left="360"/>
    </w:pPr>
    <w:rPr>
      <w:rFonts w:ascii="Chivo" w:hAnsi="Chivo" w:cstheme="majorHAnsi"/>
      <w:color w:val="000000" w:themeColor="text1"/>
      <w:sz w:val="32"/>
      <w:szCs w:val="44"/>
    </w:rPr>
  </w:style>
  <w:style w:type="character" w:customStyle="1" w:styleId="10">
    <w:name w:val="Стиль1 Знак"/>
    <w:basedOn w:val="BodyTextChar"/>
    <w:link w:val="1"/>
    <w:rsid w:val="007736F4"/>
    <w:rPr>
      <w:rFonts w:ascii="Chivo" w:hAnsi="Chivo" w:cstheme="majorHAnsi"/>
      <w:color w:val="000000" w:themeColor="text1"/>
      <w:sz w:val="32"/>
      <w:szCs w:val="44"/>
      <w:lang w:val="ru-RU"/>
    </w:rPr>
  </w:style>
  <w:style w:type="paragraph" w:styleId="BodyText">
    <w:name w:val="Body Text"/>
    <w:basedOn w:val="Normal"/>
    <w:link w:val="BodyTextChar"/>
    <w:uiPriority w:val="99"/>
    <w:semiHidden/>
    <w:unhideWhenUsed/>
    <w:rsid w:val="007736F4"/>
    <w:pPr>
      <w:spacing w:after="120"/>
    </w:pPr>
  </w:style>
  <w:style w:type="character" w:customStyle="1" w:styleId="BodyTextChar">
    <w:name w:val="Body Text Char"/>
    <w:basedOn w:val="DefaultParagraphFont"/>
    <w:link w:val="BodyText"/>
    <w:uiPriority w:val="99"/>
    <w:semiHidden/>
    <w:rsid w:val="007736F4"/>
  </w:style>
  <w:style w:type="paragraph" w:customStyle="1" w:styleId="Title1">
    <w:name w:val="Title 1"/>
    <w:basedOn w:val="Heading2"/>
    <w:next w:val="Normal"/>
    <w:link w:val="Title10"/>
    <w:autoRedefine/>
    <w:rsid w:val="001A628F"/>
    <w:pPr>
      <w:spacing w:line="288" w:lineRule="auto"/>
    </w:pPr>
    <w:rPr>
      <w:rFonts w:ascii="Roboto" w:hAnsi="Roboto"/>
      <w:b/>
      <w:sz w:val="40"/>
      <w:szCs w:val="28"/>
    </w:rPr>
  </w:style>
  <w:style w:type="character" w:customStyle="1" w:styleId="Title10">
    <w:name w:val="Title 1 Знак"/>
    <w:basedOn w:val="DefaultParagraphFont"/>
    <w:link w:val="Title1"/>
    <w:rsid w:val="001A628F"/>
    <w:rPr>
      <w:rFonts w:ascii="Roboto" w:eastAsiaTheme="majorEastAsia" w:hAnsi="Roboto" w:cstheme="majorBidi"/>
      <w:b/>
      <w:color w:val="000000" w:themeColor="text1"/>
      <w:sz w:val="40"/>
      <w:szCs w:val="28"/>
    </w:rPr>
  </w:style>
  <w:style w:type="character" w:customStyle="1" w:styleId="Heading2Char">
    <w:name w:val="Heading 2 Char"/>
    <w:basedOn w:val="DefaultParagraphFont"/>
    <w:link w:val="Heading2"/>
    <w:uiPriority w:val="9"/>
    <w:rsid w:val="007A1943"/>
    <w:rPr>
      <w:rFonts w:asciiTheme="majorHAnsi" w:eastAsiaTheme="majorEastAsia" w:hAnsiTheme="majorHAnsi" w:cstheme="majorBidi"/>
      <w:color w:val="000000" w:themeColor="text1"/>
      <w:sz w:val="32"/>
      <w:szCs w:val="26"/>
    </w:rPr>
  </w:style>
  <w:style w:type="table" w:customStyle="1" w:styleId="TestStyle">
    <w:name w:val="Test Style"/>
    <w:basedOn w:val="TableNormal"/>
    <w:uiPriority w:val="99"/>
    <w:rsid w:val="00100570"/>
    <w:pPr>
      <w:spacing w:after="0" w:line="240" w:lineRule="auto"/>
      <w:jc w:val="center"/>
    </w:pPr>
    <w:rPr>
      <w:rFonts w:eastAsiaTheme="minorEastAsia"/>
      <w:b/>
      <w:color w:val="43E6A2" w:themeColor="accent2"/>
    </w:rPr>
    <w:tblPr>
      <w:jc w:val="center"/>
      <w:tblBorders>
        <w:insideH w:val="single" w:sz="12" w:space="0" w:color="FFFFFF" w:themeColor="background1"/>
        <w:insideV w:val="single" w:sz="12" w:space="0" w:color="FFFFFF" w:themeColor="background1"/>
      </w:tblBorders>
    </w:tblPr>
    <w:trPr>
      <w:jc w:val="center"/>
    </w:trPr>
    <w:tcPr>
      <w:shd w:val="clear" w:color="auto" w:fill="E65C43" w:themeFill="accent3"/>
      <w:vAlign w:val="center"/>
    </w:tcPr>
  </w:style>
  <w:style w:type="table" w:customStyle="1" w:styleId="SmartCoTable">
    <w:name w:val="SmartCo Table"/>
    <w:basedOn w:val="TableNormal"/>
    <w:uiPriority w:val="99"/>
    <w:rsid w:val="00100570"/>
    <w:pPr>
      <w:spacing w:after="0" w:line="240" w:lineRule="auto"/>
      <w:jc w:val="center"/>
    </w:pPr>
    <w:rPr>
      <w:rFonts w:eastAsiaTheme="minorEastAsia"/>
      <w:b/>
      <w:sz w:val="12"/>
    </w:rPr>
    <w:tblPr>
      <w:tblStyleRowBandSize w:val="1"/>
      <w:jc w:val="center"/>
      <w:tblBorders>
        <w:insideH w:val="single" w:sz="12" w:space="0" w:color="FFFFFF" w:themeColor="background1"/>
        <w:insideV w:val="single" w:sz="12" w:space="0" w:color="FFFFFF" w:themeColor="background1"/>
      </w:tblBorders>
    </w:tblPr>
    <w:trPr>
      <w:jc w:val="center"/>
    </w:trPr>
    <w:tcPr>
      <w:shd w:val="clear" w:color="auto" w:fill="E65C43" w:themeFill="accent3"/>
      <w:vAlign w:val="center"/>
    </w:tcPr>
    <w:tblStylePr w:type="firstRow">
      <w:rPr>
        <w:rFonts w:ascii="Plus Jakarta Sans" w:hAnsi="Plus Jakarta Sans"/>
        <w:color w:val="E65C43" w:themeColor="accent3"/>
        <w:sz w:val="12"/>
      </w:rPr>
      <w:tblPr/>
      <w:tcPr>
        <w:shd w:val="clear" w:color="auto" w:fill="0065FC" w:themeFill="accent1"/>
      </w:tcPr>
    </w:tblStylePr>
    <w:tblStylePr w:type="band2Horz">
      <w:tblPr/>
      <w:tcPr>
        <w:shd w:val="clear" w:color="auto" w:fill="E6D443" w:themeFill="accent4"/>
      </w:tcPr>
    </w:tblStylePr>
  </w:style>
  <w:style w:type="paragraph" w:customStyle="1" w:styleId="CoverText">
    <w:name w:val="Cover Text"/>
    <w:basedOn w:val="Title1"/>
    <w:uiPriority w:val="1"/>
    <w:qFormat/>
    <w:rsid w:val="00722AE2"/>
    <w:pPr>
      <w:spacing w:before="0" w:line="240" w:lineRule="auto"/>
    </w:pPr>
    <w:rPr>
      <w:rFonts w:asciiTheme="majorHAnsi" w:hAnsiTheme="majorHAnsi"/>
      <w:b w:val="0"/>
      <w:sz w:val="72"/>
      <w:szCs w:val="72"/>
    </w:rPr>
  </w:style>
  <w:style w:type="table" w:customStyle="1" w:styleId="CloudGuardTable">
    <w:name w:val="CloudGuard Table"/>
    <w:basedOn w:val="TableNormal"/>
    <w:uiPriority w:val="99"/>
    <w:rsid w:val="00971FA2"/>
    <w:pPr>
      <w:spacing w:after="0" w:line="240" w:lineRule="auto"/>
    </w:pPr>
    <w:tblPr>
      <w:tblStyleRowBandSize w:val="1"/>
    </w:tblPr>
    <w:tcPr>
      <w:shd w:val="clear" w:color="auto" w:fill="000000" w:themeFill="text1"/>
    </w:tcPr>
    <w:tblStylePr w:type="firstRow">
      <w:pPr>
        <w:jc w:val="center"/>
      </w:pPr>
      <w:rPr>
        <w:rFonts w:asciiTheme="minorHAnsi" w:hAnsiTheme="minorHAnsi"/>
        <w:b/>
        <w:color w:val="000000" w:themeColor="text1"/>
        <w:sz w:val="22"/>
      </w:rPr>
      <w:tblPr/>
      <w:tcPr>
        <w:shd w:val="clear" w:color="auto" w:fill="0065FC" w:themeFill="accent1"/>
        <w:vAlign w:val="center"/>
      </w:tcPr>
    </w:tblStylePr>
    <w:tblStylePr w:type="band1Horz">
      <w:pPr>
        <w:jc w:val="center"/>
      </w:pPr>
      <w:tblPr/>
      <w:tcPr>
        <w:vAlign w:val="center"/>
      </w:tcPr>
    </w:tblStylePr>
    <w:tblStylePr w:type="band2Horz">
      <w:pPr>
        <w:jc w:val="center"/>
      </w:pPr>
      <w:tblPr/>
      <w:tcPr>
        <w:shd w:val="clear" w:color="auto" w:fill="1E2730"/>
        <w:vAlign w:val="center"/>
      </w:tcPr>
    </w:tblStylePr>
  </w:style>
  <w:style w:type="table" w:customStyle="1" w:styleId="2">
    <w:name w:val="Стиль2"/>
    <w:basedOn w:val="TableGrid"/>
    <w:uiPriority w:val="99"/>
    <w:rsid w:val="006A4090"/>
    <w:tblPr>
      <w:tblBorders>
        <w:top w:val="single" w:sz="8" w:space="0" w:color="C4341A" w:themeColor="accent3" w:themeShade="BF"/>
        <w:left w:val="single" w:sz="8" w:space="0" w:color="C4341A" w:themeColor="accent3" w:themeShade="BF"/>
        <w:bottom w:val="single" w:sz="8" w:space="0" w:color="C4341A" w:themeColor="accent3" w:themeShade="BF"/>
        <w:right w:val="single" w:sz="8" w:space="0" w:color="C4341A" w:themeColor="accent3" w:themeShade="BF"/>
        <w:insideH w:val="single" w:sz="8" w:space="0" w:color="C4341A" w:themeColor="accent3" w:themeShade="BF"/>
        <w:insideV w:val="single" w:sz="8" w:space="0" w:color="C4341A" w:themeColor="accent3" w:themeShade="BF"/>
      </w:tblBorders>
    </w:tblPr>
    <w:tcPr>
      <w:shd w:val="clear" w:color="auto" w:fill="FFFFFF" w:themeFill="background1"/>
    </w:tcPr>
    <w:tblStylePr w:type="firstCol">
      <w:pPr>
        <w:jc w:val="left"/>
      </w:pPr>
      <w:rPr>
        <w:rFonts w:asciiTheme="minorHAnsi" w:hAnsiTheme="minorHAnsi"/>
        <w:b/>
        <w:color w:val="FFFFFF" w:themeColor="background1"/>
      </w:rPr>
      <w:tblPr/>
      <w:tcPr>
        <w:shd w:val="clear" w:color="auto" w:fill="000000" w:themeFill="text2"/>
        <w:vAlign w:val="center"/>
      </w:tcPr>
    </w:tblStylePr>
  </w:style>
  <w:style w:type="table" w:styleId="TableGrid">
    <w:name w:val="Table Grid"/>
    <w:basedOn w:val="TableNormal"/>
    <w:uiPriority w:val="39"/>
    <w:rsid w:val="006A40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тиль3"/>
    <w:basedOn w:val="TableNormal"/>
    <w:uiPriority w:val="99"/>
    <w:rsid w:val="006A4090"/>
    <w:pPr>
      <w:spacing w:after="0" w:line="240" w:lineRule="auto"/>
    </w:pPr>
    <w:rPr>
      <w:sz w:val="20"/>
    </w:rPr>
    <w:tblPr>
      <w:tblBorders>
        <w:top w:val="single" w:sz="8" w:space="0" w:color="E65C43" w:themeColor="accent3"/>
        <w:left w:val="single" w:sz="8" w:space="0" w:color="E65C43" w:themeColor="accent3"/>
        <w:bottom w:val="single" w:sz="8" w:space="0" w:color="E65C43" w:themeColor="accent3"/>
        <w:right w:val="single" w:sz="8" w:space="0" w:color="E65C43" w:themeColor="accent3"/>
        <w:insideH w:val="single" w:sz="8" w:space="0" w:color="E65C43" w:themeColor="accent3"/>
        <w:insideV w:val="single" w:sz="8" w:space="0" w:color="E65C43" w:themeColor="accent3"/>
      </w:tblBorders>
    </w:tblPr>
    <w:tcPr>
      <w:shd w:val="clear" w:color="auto" w:fill="FFFFFF" w:themeFill="background1"/>
    </w:tcPr>
    <w:tblStylePr w:type="firstRow">
      <w:rPr>
        <w:rFonts w:ascii="Plus Jakarta Sans" w:hAnsi="Plus Jakarta Sans"/>
        <w:b w:val="0"/>
        <w:color w:val="FFFFFF" w:themeColor="background1"/>
        <w:sz w:val="22"/>
      </w:rPr>
      <w:tblPr/>
      <w:tcPr>
        <w:tcBorders>
          <w:top w:val="single" w:sz="8" w:space="0" w:color="00327E" w:themeColor="accent1" w:themeShade="80"/>
          <w:left w:val="single" w:sz="8" w:space="0" w:color="00327E" w:themeColor="accent1" w:themeShade="80"/>
          <w:bottom w:val="single" w:sz="8" w:space="0" w:color="00327E" w:themeColor="accent1" w:themeShade="80"/>
          <w:right w:val="single" w:sz="8" w:space="0" w:color="00327E" w:themeColor="accent1" w:themeShade="80"/>
          <w:insideH w:val="single" w:sz="8" w:space="0" w:color="00327E" w:themeColor="accent1" w:themeShade="80"/>
          <w:insideV w:val="single" w:sz="8" w:space="0" w:color="00327E" w:themeColor="accent1" w:themeShade="80"/>
        </w:tcBorders>
        <w:shd w:val="clear" w:color="auto" w:fill="0065FC" w:themeFill="accent1"/>
      </w:tcPr>
    </w:tblStylePr>
  </w:style>
  <w:style w:type="table" w:customStyle="1" w:styleId="Niwart2">
    <w:name w:val="Niwart 2"/>
    <w:basedOn w:val="TableNormal"/>
    <w:uiPriority w:val="99"/>
    <w:rsid w:val="0029668D"/>
    <w:pPr>
      <w:spacing w:after="0" w:line="240" w:lineRule="auto"/>
    </w:pPr>
    <w:rPr>
      <w:rFonts w:ascii="Plus Jakarta Sans" w:hAnsi="Plus Jakarta Sans"/>
      <w:color w:val="000000" w:themeColor="text2"/>
      <w:kern w:val="0"/>
      <w:sz w:val="24"/>
      <w:szCs w:val="20"/>
      <w:lang w:val="ru-RU" w:eastAsia="ru-RU"/>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CBE0FF" w:themeFill="accent1" w:themeFillTint="33"/>
    </w:tcPr>
    <w:tblStylePr w:type="firstRow">
      <w:rPr>
        <w:rFonts w:ascii="Aptos" w:hAnsi="Aptos"/>
      </w:rPr>
      <w:tblPr/>
      <w:tcPr>
        <w:shd w:val="clear" w:color="auto" w:fill="FFFFFF" w:themeFill="background2"/>
      </w:tcPr>
    </w:tblStylePr>
    <w:tblStylePr w:type="lastRow">
      <w:tblPr/>
      <w:tcPr>
        <w:shd w:val="clear" w:color="auto" w:fill="0065FC" w:themeFill="accent1"/>
      </w:tcPr>
    </w:tblStylePr>
    <w:tblStylePr w:type="firstCol">
      <w:pPr>
        <w:jc w:val="left"/>
      </w:pPr>
      <w:rPr>
        <w:rFonts w:asciiTheme="majorHAnsi" w:hAnsiTheme="majorHAnsi"/>
        <w:color w:val="000000" w:themeColor="text2"/>
        <w:sz w:val="2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shd w:val="clear" w:color="auto" w:fill="0065FC" w:themeFill="accent1"/>
      </w:tcPr>
    </w:tblStylePr>
    <w:tblStylePr w:type="lastCol">
      <w:tblPr/>
      <w:tcPr>
        <w:shd w:val="clear" w:color="auto" w:fill="FFFFFF" w:themeFill="background2"/>
      </w:tcPr>
    </w:tblStylePr>
    <w:tblStylePr w:type="band1Vert">
      <w:tblPr/>
      <w:tcPr>
        <w:shd w:val="clear" w:color="auto" w:fill="CBE0FF" w:themeFill="accent1" w:themeFillTint="33"/>
      </w:tcPr>
    </w:tblStylePr>
    <w:tblStylePr w:type="band2Vert">
      <w:tblPr/>
      <w:tcPr>
        <w:shd w:val="clear" w:color="auto" w:fill="CBE0FF" w:themeFill="accent1" w:themeFillTint="33"/>
      </w:tcPr>
    </w:tblStylePr>
    <w:tblStylePr w:type="band1Horz">
      <w:tblPr/>
      <w:tcPr>
        <w:shd w:val="clear" w:color="auto" w:fill="FFFFFF" w:themeFill="background2" w:themeFillTint="1A"/>
      </w:tcPr>
    </w:tblStylePr>
    <w:tblStylePr w:type="band2Horz">
      <w:tblPr/>
      <w:tcPr>
        <w:shd w:val="clear" w:color="auto" w:fill="FFFFFF" w:themeFill="background2" w:themeFillTint="1A"/>
      </w:tcPr>
    </w:tblStylePr>
    <w:tblStylePr w:type="nwCell">
      <w:tblPr/>
      <w:tcPr>
        <w:shd w:val="clear" w:color="auto" w:fill="0065FC" w:themeFill="accent1"/>
      </w:tcPr>
    </w:tblStylePr>
  </w:style>
  <w:style w:type="table" w:customStyle="1" w:styleId="Niwart">
    <w:name w:val="Niwart"/>
    <w:basedOn w:val="TableNormal"/>
    <w:uiPriority w:val="99"/>
    <w:rsid w:val="0029668D"/>
    <w:pPr>
      <w:spacing w:after="0" w:line="240" w:lineRule="auto"/>
    </w:pPr>
    <w:rPr>
      <w:color w:val="000000" w:themeColor="text2"/>
    </w:rPr>
    <w:tblPr>
      <w:tblStyleRowBandSize w:val="1"/>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jc w:val="center"/>
    </w:trPr>
    <w:tcPr>
      <w:shd w:val="clear" w:color="auto" w:fill="CBE0FF" w:themeFill="accent1" w:themeFillTint="33"/>
    </w:tcPr>
    <w:tblStylePr w:type="firstRow">
      <w:pPr>
        <w:jc w:val="center"/>
      </w:pPr>
      <w:rPr>
        <w:rFonts w:asciiTheme="minorHAnsi" w:hAnsiTheme="minorHAnsi"/>
        <w:b/>
        <w:color w:val="000000" w:themeColor="text2"/>
        <w:sz w:val="22"/>
      </w:rPr>
      <w:tblPr/>
      <w:tcPr>
        <w:shd w:val="clear" w:color="auto" w:fill="0065FC" w:themeFill="accent1"/>
        <w:vAlign w:val="center"/>
      </w:tcPr>
    </w:tblStylePr>
    <w:tblStylePr w:type="lastRow">
      <w:pPr>
        <w:jc w:val="center"/>
      </w:pPr>
      <w:tblPr/>
      <w:tcPr>
        <w:shd w:val="clear" w:color="auto" w:fill="FFFFFF" w:themeFill="background2"/>
      </w:tcPr>
    </w:tblStylePr>
    <w:tblStylePr w:type="band1Horz">
      <w:pPr>
        <w:jc w:val="center"/>
      </w:pPr>
      <w:tblPr/>
      <w:tcPr>
        <w:shd w:val="clear" w:color="auto" w:fill="CBE0FF" w:themeFill="accent1" w:themeFillTint="33"/>
      </w:tcPr>
    </w:tblStylePr>
    <w:tblStylePr w:type="band2Horz">
      <w:pPr>
        <w:jc w:val="center"/>
      </w:pPr>
      <w:tblPr/>
      <w:tcPr>
        <w:shd w:val="clear" w:color="auto" w:fill="000000" w:themeFill="text1"/>
      </w:tcPr>
    </w:tblStylePr>
  </w:style>
  <w:style w:type="table" w:customStyle="1" w:styleId="Niwart3">
    <w:name w:val="Niwart 3"/>
    <w:basedOn w:val="TableNormal"/>
    <w:uiPriority w:val="99"/>
    <w:rsid w:val="0029668D"/>
    <w:pPr>
      <w:spacing w:after="0" w:line="240" w:lineRule="auto"/>
    </w:pPr>
    <w:tblPr>
      <w:tblStyleRowBandSize w:val="1"/>
      <w:tblStyleColBandSize w:val="1"/>
    </w:tblPr>
    <w:tcPr>
      <w:shd w:val="clear" w:color="auto" w:fill="000000" w:themeFill="text1"/>
    </w:tcPr>
    <w:tblStylePr w:type="firstRow">
      <w:tblPr/>
      <w:tcPr>
        <w:shd w:val="clear" w:color="auto" w:fill="FFFFFF" w:themeFill="background2"/>
      </w:tcPr>
    </w:tblStylePr>
    <w:tblStylePr w:type="lastRow">
      <w:tblPr/>
      <w:tcPr>
        <w:shd w:val="clear" w:color="auto" w:fill="0065FC" w:themeFill="accent1"/>
      </w:tcPr>
    </w:tblStylePr>
    <w:tblStylePr w:type="band1Horz">
      <w:tblPr/>
      <w:tcPr>
        <w:shd w:val="clear" w:color="auto" w:fill="CBE0FF" w:themeFill="accent1" w:themeFillTint="33"/>
      </w:tcPr>
    </w:tblStylePr>
  </w:style>
  <w:style w:type="table" w:customStyle="1" w:styleId="Niwart4">
    <w:name w:val="Niwart 4"/>
    <w:basedOn w:val="Niwart3"/>
    <w:uiPriority w:val="99"/>
    <w:rsid w:val="0029668D"/>
    <w:tblPr/>
    <w:tblStylePr w:type="firstRow">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FFFFF" w:themeFill="background2"/>
      </w:tcPr>
    </w:tblStylePr>
    <w:tblStylePr w:type="lastRow">
      <w:tblPr/>
      <w:tcPr>
        <w:tcBorders>
          <w:top w:val="nil"/>
          <w:left w:val="nil"/>
          <w:bottom w:val="nil"/>
          <w:right w:val="nil"/>
          <w:insideH w:val="nil"/>
          <w:insideV w:val="nil"/>
        </w:tcBorders>
        <w:shd w:val="clear" w:color="auto" w:fill="0065FC" w:themeFill="accent1"/>
      </w:tcPr>
    </w:tblStylePr>
    <w:tblStylePr w:type="band1Horz">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cBorders>
        <w:shd w:val="clear" w:color="auto" w:fill="CBE0FF" w:themeFill="accent1" w:themeFillTint="33"/>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table" w:customStyle="1" w:styleId="Niwart5">
    <w:name w:val="Niwart 5"/>
    <w:basedOn w:val="Niwart4"/>
    <w:uiPriority w:val="99"/>
    <w:rsid w:val="0029668D"/>
    <w:rPr>
      <w:color w:val="000000" w:themeColor="text1"/>
    </w:rPr>
    <w:tblPr/>
    <w:tblStylePr w:type="firstRow">
      <w:rPr>
        <w:rFonts w:asciiTheme="majorHAnsi" w:hAnsiTheme="majorHAnsi"/>
        <w:color w:val="000000" w:themeColor="text1"/>
        <w:sz w:val="24"/>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l2br w:val="nil"/>
          <w:tr2bl w:val="nil"/>
        </w:tcBorders>
        <w:shd w:val="clear" w:color="auto" w:fill="FFFFFF" w:themeFill="background2"/>
      </w:tcPr>
    </w:tblStylePr>
    <w:tblStylePr w:type="lastRow">
      <w:tblPr/>
      <w:tcPr>
        <w:tcBorders>
          <w:top w:val="nil"/>
          <w:left w:val="nil"/>
          <w:bottom w:val="nil"/>
          <w:right w:val="nil"/>
          <w:insideH w:val="nil"/>
          <w:insideV w:val="nil"/>
        </w:tcBorders>
        <w:shd w:val="clear" w:color="auto" w:fill="0065FC" w:themeFill="accent1"/>
      </w:tcPr>
    </w:tblStylePr>
    <w:tblStylePr w:type="firstCol">
      <w:tblPr/>
      <w:tcPr>
        <w:shd w:val="clear" w:color="auto" w:fill="FFFFFF" w:themeFill="background2"/>
      </w:tcPr>
    </w:tblStylePr>
    <w:tblStylePr w:type="band1Horz">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cBorders>
        <w:shd w:val="clear" w:color="auto" w:fill="CBE0FF" w:themeFill="accent1" w:themeFillTint="33"/>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sw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FFFF" w:themeFill="background2"/>
      </w:tcPr>
    </w:tblStylePr>
  </w:style>
  <w:style w:type="character" w:customStyle="1" w:styleId="Heading1Char">
    <w:name w:val="Heading 1 Char"/>
    <w:basedOn w:val="DefaultParagraphFont"/>
    <w:link w:val="Heading1"/>
    <w:uiPriority w:val="9"/>
    <w:rsid w:val="00CA2D3E"/>
    <w:rPr>
      <w:rFonts w:asciiTheme="majorHAnsi" w:eastAsiaTheme="majorEastAsia" w:hAnsiTheme="majorHAnsi" w:cstheme="majorBidi"/>
      <w:noProof/>
      <w:color w:val="000000" w:themeColor="text1"/>
      <w:sz w:val="40"/>
      <w:szCs w:val="40"/>
      <w:lang w:val="en-US"/>
    </w:rPr>
  </w:style>
  <w:style w:type="character" w:customStyle="1" w:styleId="Heading3Char">
    <w:name w:val="Heading 3 Char"/>
    <w:basedOn w:val="DefaultParagraphFont"/>
    <w:link w:val="Heading3"/>
    <w:uiPriority w:val="9"/>
    <w:semiHidden/>
    <w:rsid w:val="007A1943"/>
    <w:rPr>
      <w:rFonts w:eastAsiaTheme="majorEastAsia" w:cstheme="majorBidi"/>
      <w:color w:val="000000" w:themeColor="text1"/>
      <w:sz w:val="24"/>
      <w:szCs w:val="28"/>
    </w:rPr>
  </w:style>
  <w:style w:type="character" w:customStyle="1" w:styleId="Heading4Char">
    <w:name w:val="Heading 4 Char"/>
    <w:basedOn w:val="DefaultParagraphFont"/>
    <w:link w:val="Heading4"/>
    <w:uiPriority w:val="9"/>
    <w:semiHidden/>
    <w:rsid w:val="000636B3"/>
    <w:rPr>
      <w:rFonts w:eastAsiaTheme="majorEastAsia" w:cstheme="majorBidi"/>
      <w:i/>
      <w:iCs/>
      <w:color w:val="004BBC" w:themeColor="accent1" w:themeShade="BF"/>
    </w:rPr>
  </w:style>
  <w:style w:type="character" w:customStyle="1" w:styleId="Heading5Char">
    <w:name w:val="Heading 5 Char"/>
    <w:basedOn w:val="DefaultParagraphFont"/>
    <w:link w:val="Heading5"/>
    <w:uiPriority w:val="9"/>
    <w:semiHidden/>
    <w:rsid w:val="000636B3"/>
    <w:rPr>
      <w:rFonts w:eastAsiaTheme="majorEastAsia" w:cstheme="majorBidi"/>
      <w:color w:val="004BBC" w:themeColor="accent1" w:themeShade="BF"/>
    </w:rPr>
  </w:style>
  <w:style w:type="character" w:customStyle="1" w:styleId="Heading6Char">
    <w:name w:val="Heading 6 Char"/>
    <w:basedOn w:val="DefaultParagraphFont"/>
    <w:link w:val="Heading6"/>
    <w:uiPriority w:val="9"/>
    <w:semiHidden/>
    <w:rsid w:val="000636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6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6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6B3"/>
    <w:rPr>
      <w:rFonts w:eastAsiaTheme="majorEastAsia" w:cstheme="majorBidi"/>
      <w:color w:val="272727" w:themeColor="text1" w:themeTint="D8"/>
    </w:rPr>
  </w:style>
  <w:style w:type="paragraph" w:styleId="Title">
    <w:name w:val="Title"/>
    <w:basedOn w:val="Normal"/>
    <w:next w:val="Normal"/>
    <w:link w:val="TitleChar"/>
    <w:uiPriority w:val="10"/>
    <w:qFormat/>
    <w:rsid w:val="00063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6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6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6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6B3"/>
    <w:pPr>
      <w:spacing w:before="160"/>
      <w:jc w:val="center"/>
    </w:pPr>
    <w:rPr>
      <w:i/>
      <w:iCs/>
      <w:color w:val="404040" w:themeColor="text1" w:themeTint="BF"/>
    </w:rPr>
  </w:style>
  <w:style w:type="character" w:customStyle="1" w:styleId="QuoteChar">
    <w:name w:val="Quote Char"/>
    <w:basedOn w:val="DefaultParagraphFont"/>
    <w:link w:val="Quote"/>
    <w:uiPriority w:val="29"/>
    <w:rsid w:val="000636B3"/>
    <w:rPr>
      <w:i/>
      <w:iCs/>
      <w:color w:val="404040" w:themeColor="text1" w:themeTint="BF"/>
    </w:rPr>
  </w:style>
  <w:style w:type="paragraph" w:styleId="ListParagraph">
    <w:name w:val="List Paragraph"/>
    <w:basedOn w:val="Normal"/>
    <w:autoRedefine/>
    <w:uiPriority w:val="34"/>
    <w:qFormat/>
    <w:rsid w:val="004C3E78"/>
    <w:pPr>
      <w:numPr>
        <w:numId w:val="15"/>
      </w:numPr>
      <w:spacing w:after="0" w:line="276" w:lineRule="auto"/>
      <w:contextualSpacing/>
    </w:pPr>
  </w:style>
  <w:style w:type="character" w:styleId="IntenseEmphasis">
    <w:name w:val="Intense Emphasis"/>
    <w:basedOn w:val="DefaultParagraphFont"/>
    <w:uiPriority w:val="21"/>
    <w:qFormat/>
    <w:rsid w:val="000636B3"/>
    <w:rPr>
      <w:i/>
      <w:iCs/>
      <w:color w:val="004BBC" w:themeColor="accent1" w:themeShade="BF"/>
    </w:rPr>
  </w:style>
  <w:style w:type="paragraph" w:styleId="IntenseQuote">
    <w:name w:val="Intense Quote"/>
    <w:basedOn w:val="Normal"/>
    <w:next w:val="Normal"/>
    <w:link w:val="IntenseQuoteChar"/>
    <w:uiPriority w:val="30"/>
    <w:qFormat/>
    <w:rsid w:val="000636B3"/>
    <w:pPr>
      <w:pBdr>
        <w:top w:val="single" w:sz="4" w:space="10" w:color="004BBC" w:themeColor="accent1" w:themeShade="BF"/>
        <w:bottom w:val="single" w:sz="4" w:space="10" w:color="004BBC" w:themeColor="accent1" w:themeShade="BF"/>
      </w:pBdr>
      <w:spacing w:before="360" w:after="360"/>
      <w:ind w:left="864" w:right="864"/>
      <w:jc w:val="center"/>
    </w:pPr>
    <w:rPr>
      <w:i/>
      <w:iCs/>
      <w:color w:val="004BBC" w:themeColor="accent1" w:themeShade="BF"/>
    </w:rPr>
  </w:style>
  <w:style w:type="character" w:customStyle="1" w:styleId="IntenseQuoteChar">
    <w:name w:val="Intense Quote Char"/>
    <w:basedOn w:val="DefaultParagraphFont"/>
    <w:link w:val="IntenseQuote"/>
    <w:uiPriority w:val="30"/>
    <w:rsid w:val="000636B3"/>
    <w:rPr>
      <w:i/>
      <w:iCs/>
      <w:color w:val="004BBC" w:themeColor="accent1" w:themeShade="BF"/>
    </w:rPr>
  </w:style>
  <w:style w:type="character" w:styleId="IntenseReference">
    <w:name w:val="Intense Reference"/>
    <w:basedOn w:val="DefaultParagraphFont"/>
    <w:uiPriority w:val="32"/>
    <w:qFormat/>
    <w:rsid w:val="000636B3"/>
    <w:rPr>
      <w:b/>
      <w:bCs/>
      <w:smallCaps/>
      <w:color w:val="004BBC" w:themeColor="accent1" w:themeShade="BF"/>
      <w:spacing w:val="5"/>
    </w:rPr>
  </w:style>
  <w:style w:type="paragraph" w:customStyle="1" w:styleId="Caption1">
    <w:name w:val="Caption1"/>
    <w:basedOn w:val="Normal"/>
    <w:link w:val="Caption"/>
    <w:uiPriority w:val="1"/>
    <w:qFormat/>
    <w:rsid w:val="00351B40"/>
    <w:pPr>
      <w:spacing w:after="0"/>
    </w:pPr>
    <w:rPr>
      <w:rFonts w:eastAsiaTheme="minorEastAsia"/>
      <w:color w:val="000000" w:themeColor="text2"/>
      <w:kern w:val="0"/>
      <w:sz w:val="20"/>
      <w:szCs w:val="20"/>
      <w14:ligatures w14:val="none"/>
    </w:rPr>
  </w:style>
  <w:style w:type="character" w:customStyle="1" w:styleId="Caption">
    <w:name w:val="Caption Знак"/>
    <w:basedOn w:val="DefaultParagraphFont"/>
    <w:link w:val="Caption1"/>
    <w:uiPriority w:val="1"/>
    <w:rsid w:val="00351B40"/>
    <w:rPr>
      <w:rFonts w:eastAsiaTheme="minorEastAsia"/>
      <w:color w:val="000000" w:themeColor="text2"/>
      <w:kern w:val="0"/>
      <w:sz w:val="20"/>
      <w:szCs w:val="20"/>
      <w:lang w:val="en-US"/>
      <w14:ligatures w14:val="none"/>
    </w:rPr>
  </w:style>
  <w:style w:type="paragraph" w:styleId="Header">
    <w:name w:val="header"/>
    <w:basedOn w:val="Normal"/>
    <w:link w:val="HeaderChar"/>
    <w:uiPriority w:val="99"/>
    <w:unhideWhenUsed/>
    <w:rsid w:val="00233848"/>
    <w:pPr>
      <w:tabs>
        <w:tab w:val="center" w:pos="4536"/>
        <w:tab w:val="right" w:pos="9072"/>
      </w:tabs>
      <w:spacing w:after="0" w:line="240" w:lineRule="auto"/>
    </w:pPr>
  </w:style>
  <w:style w:type="character" w:customStyle="1" w:styleId="HeaderChar">
    <w:name w:val="Header Char"/>
    <w:basedOn w:val="DefaultParagraphFont"/>
    <w:link w:val="Header"/>
    <w:uiPriority w:val="99"/>
    <w:rsid w:val="00233848"/>
  </w:style>
  <w:style w:type="paragraph" w:styleId="Footer">
    <w:name w:val="footer"/>
    <w:basedOn w:val="Normal"/>
    <w:link w:val="FooterChar"/>
    <w:uiPriority w:val="99"/>
    <w:unhideWhenUsed/>
    <w:rsid w:val="00233848"/>
    <w:pPr>
      <w:tabs>
        <w:tab w:val="center" w:pos="4536"/>
        <w:tab w:val="right" w:pos="9072"/>
      </w:tabs>
      <w:spacing w:after="0" w:line="240" w:lineRule="auto"/>
    </w:pPr>
  </w:style>
  <w:style w:type="character" w:customStyle="1" w:styleId="FooterChar">
    <w:name w:val="Footer Char"/>
    <w:basedOn w:val="DefaultParagraphFont"/>
    <w:link w:val="Footer"/>
    <w:uiPriority w:val="99"/>
    <w:rsid w:val="00233848"/>
  </w:style>
  <w:style w:type="character" w:styleId="Hyperlink">
    <w:name w:val="Hyperlink"/>
    <w:uiPriority w:val="99"/>
    <w:rsid w:val="00AD54D9"/>
    <w:rPr>
      <w:color w:val="0000FF"/>
      <w:u w:val="single"/>
    </w:rPr>
  </w:style>
  <w:style w:type="paragraph" w:styleId="TOCHeading">
    <w:name w:val="TOC Heading"/>
    <w:basedOn w:val="Heading1"/>
    <w:next w:val="Normal"/>
    <w:uiPriority w:val="39"/>
    <w:unhideWhenUsed/>
    <w:qFormat/>
    <w:rsid w:val="00E21B35"/>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E21B35"/>
    <w:pPr>
      <w:spacing w:after="100"/>
      <w:ind w:left="220"/>
    </w:pPr>
  </w:style>
  <w:style w:type="paragraph" w:styleId="NoSpacing">
    <w:name w:val="No Spacing"/>
    <w:uiPriority w:val="1"/>
    <w:qFormat/>
    <w:rsid w:val="001A3FD9"/>
    <w:pPr>
      <w:spacing w:after="0" w:line="240" w:lineRule="auto"/>
    </w:pPr>
  </w:style>
  <w:style w:type="character" w:styleId="UnresolvedMention">
    <w:name w:val="Unresolved Mention"/>
    <w:basedOn w:val="DefaultParagraphFont"/>
    <w:uiPriority w:val="99"/>
    <w:semiHidden/>
    <w:unhideWhenUsed/>
    <w:rsid w:val="00767379"/>
    <w:rPr>
      <w:color w:val="605E5C"/>
      <w:shd w:val="clear" w:color="auto" w:fill="E1DFDD"/>
    </w:rPr>
  </w:style>
  <w:style w:type="table" w:styleId="GridTable2">
    <w:name w:val="Grid Table 2"/>
    <w:basedOn w:val="TableNormal"/>
    <w:uiPriority w:val="47"/>
    <w:rsid w:val="00613B1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1">
    <w:name w:val="toc 1"/>
    <w:basedOn w:val="Normal"/>
    <w:next w:val="Normal"/>
    <w:autoRedefine/>
    <w:uiPriority w:val="39"/>
    <w:unhideWhenUsed/>
    <w:rsid w:val="00C32C58"/>
    <w:pPr>
      <w:tabs>
        <w:tab w:val="right" w:leader="dot" w:pos="9060"/>
      </w:tabs>
      <w:spacing w:after="100"/>
    </w:pPr>
  </w:style>
  <w:style w:type="paragraph" w:styleId="NormalWeb">
    <w:name w:val="Normal (Web)"/>
    <w:basedOn w:val="Normal"/>
    <w:uiPriority w:val="99"/>
    <w:unhideWhenUsed/>
    <w:rsid w:val="001E5F62"/>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CA2D3E"/>
    <w:rPr>
      <w:b/>
      <w:bCs/>
    </w:rPr>
  </w:style>
  <w:style w:type="table" w:styleId="ListTable4-Accent1">
    <w:name w:val="List Table 4 Accent 1"/>
    <w:basedOn w:val="TableNormal"/>
    <w:uiPriority w:val="49"/>
    <w:rsid w:val="004E50D4"/>
    <w:pPr>
      <w:spacing w:after="0" w:line="240" w:lineRule="auto"/>
    </w:pPr>
    <w:tblPr>
      <w:tblStyleRowBandSize w:val="1"/>
      <w:tblStyleColBandSize w:val="1"/>
      <w:tblBorders>
        <w:top w:val="single" w:sz="4" w:space="0" w:color="64A2FF" w:themeColor="accent1" w:themeTint="99"/>
        <w:left w:val="single" w:sz="4" w:space="0" w:color="64A2FF" w:themeColor="accent1" w:themeTint="99"/>
        <w:bottom w:val="single" w:sz="4" w:space="0" w:color="64A2FF" w:themeColor="accent1" w:themeTint="99"/>
        <w:right w:val="single" w:sz="4" w:space="0" w:color="64A2FF" w:themeColor="accent1" w:themeTint="99"/>
        <w:insideH w:val="single" w:sz="4" w:space="0" w:color="64A2FF" w:themeColor="accent1" w:themeTint="99"/>
      </w:tblBorders>
    </w:tblPr>
    <w:tblStylePr w:type="firstRow">
      <w:rPr>
        <w:b/>
        <w:bCs/>
        <w:color w:val="FFFFFF" w:themeColor="background1"/>
      </w:rPr>
      <w:tblPr/>
      <w:tcPr>
        <w:tcBorders>
          <w:top w:val="single" w:sz="4" w:space="0" w:color="0065FC" w:themeColor="accent1"/>
          <w:left w:val="single" w:sz="4" w:space="0" w:color="0065FC" w:themeColor="accent1"/>
          <w:bottom w:val="single" w:sz="4" w:space="0" w:color="0065FC" w:themeColor="accent1"/>
          <w:right w:val="single" w:sz="4" w:space="0" w:color="0065FC" w:themeColor="accent1"/>
          <w:insideH w:val="nil"/>
        </w:tcBorders>
        <w:shd w:val="clear" w:color="auto" w:fill="0065FC" w:themeFill="accent1"/>
      </w:tcPr>
    </w:tblStylePr>
    <w:tblStylePr w:type="lastRow">
      <w:rPr>
        <w:b/>
        <w:bCs/>
      </w:rPr>
      <w:tblPr/>
      <w:tcPr>
        <w:tcBorders>
          <w:top w:val="double" w:sz="4" w:space="0" w:color="64A2FF" w:themeColor="accent1" w:themeTint="99"/>
        </w:tcBorders>
      </w:tcPr>
    </w:tblStylePr>
    <w:tblStylePr w:type="firstCol">
      <w:rPr>
        <w:b/>
        <w:bCs/>
      </w:rPr>
    </w:tblStylePr>
    <w:tblStylePr w:type="lastCol">
      <w:rPr>
        <w:b/>
        <w:bCs/>
      </w:rPr>
    </w:tblStylePr>
    <w:tblStylePr w:type="band1Vert">
      <w:tblPr/>
      <w:tcPr>
        <w:shd w:val="clear" w:color="auto" w:fill="CBE0FF" w:themeFill="accent1" w:themeFillTint="33"/>
      </w:tcPr>
    </w:tblStylePr>
    <w:tblStylePr w:type="band1Horz">
      <w:tblPr/>
      <w:tcPr>
        <w:shd w:val="clear" w:color="auto" w:fill="CBE0FF" w:themeFill="accent1" w:themeFillTint="33"/>
      </w:tcPr>
    </w:tblStylePr>
  </w:style>
  <w:style w:type="character" w:styleId="SubtleEmphasis">
    <w:name w:val="Subtle Emphasis"/>
    <w:basedOn w:val="DefaultParagraphFont"/>
    <w:uiPriority w:val="19"/>
    <w:qFormat/>
    <w:rsid w:val="00EF0DFE"/>
    <w:rPr>
      <w:i/>
      <w:iCs/>
      <w:color w:val="404040" w:themeColor="text1" w:themeTint="BF"/>
    </w:rPr>
  </w:style>
  <w:style w:type="paragraph" w:styleId="TOC9">
    <w:name w:val="toc 9"/>
    <w:basedOn w:val="Normal"/>
    <w:next w:val="Normal"/>
    <w:autoRedefine/>
    <w:uiPriority w:val="39"/>
    <w:semiHidden/>
    <w:unhideWhenUsed/>
    <w:rsid w:val="00611ABF"/>
    <w:pPr>
      <w:spacing w:after="100"/>
      <w:ind w:left="1920"/>
    </w:pPr>
  </w:style>
  <w:style w:type="character" w:styleId="CommentReference">
    <w:name w:val="annotation reference"/>
    <w:basedOn w:val="DefaultParagraphFont"/>
    <w:uiPriority w:val="99"/>
    <w:semiHidden/>
    <w:unhideWhenUsed/>
    <w:rsid w:val="000549CA"/>
    <w:rPr>
      <w:sz w:val="16"/>
      <w:szCs w:val="16"/>
    </w:rPr>
  </w:style>
  <w:style w:type="paragraph" w:styleId="CommentText">
    <w:name w:val="annotation text"/>
    <w:basedOn w:val="Normal"/>
    <w:link w:val="CommentTextChar"/>
    <w:uiPriority w:val="99"/>
    <w:unhideWhenUsed/>
    <w:rsid w:val="000549CA"/>
    <w:pPr>
      <w:spacing w:line="240" w:lineRule="auto"/>
    </w:pPr>
    <w:rPr>
      <w:sz w:val="20"/>
      <w:szCs w:val="20"/>
    </w:rPr>
  </w:style>
  <w:style w:type="character" w:customStyle="1" w:styleId="CommentTextChar">
    <w:name w:val="Comment Text Char"/>
    <w:basedOn w:val="DefaultParagraphFont"/>
    <w:link w:val="CommentText"/>
    <w:uiPriority w:val="99"/>
    <w:rsid w:val="000549CA"/>
    <w:rPr>
      <w:sz w:val="20"/>
      <w:szCs w:val="20"/>
      <w:lang w:val="en-US"/>
    </w:rPr>
  </w:style>
  <w:style w:type="paragraph" w:styleId="CommentSubject">
    <w:name w:val="annotation subject"/>
    <w:basedOn w:val="CommentText"/>
    <w:next w:val="CommentText"/>
    <w:link w:val="CommentSubjectChar"/>
    <w:uiPriority w:val="99"/>
    <w:semiHidden/>
    <w:unhideWhenUsed/>
    <w:rsid w:val="000549CA"/>
    <w:rPr>
      <w:b/>
      <w:bCs/>
    </w:rPr>
  </w:style>
  <w:style w:type="character" w:customStyle="1" w:styleId="CommentSubjectChar">
    <w:name w:val="Comment Subject Char"/>
    <w:basedOn w:val="CommentTextChar"/>
    <w:link w:val="CommentSubject"/>
    <w:uiPriority w:val="99"/>
    <w:semiHidden/>
    <w:rsid w:val="000549CA"/>
    <w:rPr>
      <w:b/>
      <w:bCs/>
      <w:sz w:val="20"/>
      <w:szCs w:val="20"/>
      <w:lang w:val="en-US"/>
    </w:rPr>
  </w:style>
  <w:style w:type="character" w:styleId="Mention">
    <w:name w:val="Mention"/>
    <w:basedOn w:val="DefaultParagraphFont"/>
    <w:uiPriority w:val="99"/>
    <w:unhideWhenUsed/>
    <w:rsid w:val="008466C3"/>
    <w:rPr>
      <w:color w:val="2B579A"/>
      <w:shd w:val="clear" w:color="auto" w:fill="E1DFDD"/>
    </w:rPr>
  </w:style>
  <w:style w:type="paragraph" w:styleId="BalloonText">
    <w:name w:val="Balloon Text"/>
    <w:basedOn w:val="Normal"/>
    <w:link w:val="BalloonTextChar"/>
    <w:uiPriority w:val="99"/>
    <w:semiHidden/>
    <w:unhideWhenUsed/>
    <w:rsid w:val="00D07E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7EE3"/>
    <w:rPr>
      <w:rFonts w:ascii="Segoe UI" w:hAnsi="Segoe UI" w:cs="Segoe UI"/>
      <w:noProof/>
      <w:sz w:val="18"/>
      <w:szCs w:val="18"/>
      <w:lang w:val="ru-RU"/>
    </w:rPr>
  </w:style>
  <w:style w:type="paragraph" w:styleId="Bibliography">
    <w:name w:val="Bibliography"/>
    <w:basedOn w:val="Normal"/>
    <w:next w:val="Normal"/>
    <w:uiPriority w:val="37"/>
    <w:semiHidden/>
    <w:unhideWhenUsed/>
    <w:rsid w:val="00D07EE3"/>
  </w:style>
  <w:style w:type="paragraph" w:styleId="BlockText">
    <w:name w:val="Block Text"/>
    <w:basedOn w:val="Normal"/>
    <w:uiPriority w:val="99"/>
    <w:semiHidden/>
    <w:unhideWhenUsed/>
    <w:rsid w:val="00D07EE3"/>
    <w:pPr>
      <w:pBdr>
        <w:top w:val="single" w:sz="2" w:space="10" w:color="0065FC" w:themeColor="accent1"/>
        <w:left w:val="single" w:sz="2" w:space="10" w:color="0065FC" w:themeColor="accent1"/>
        <w:bottom w:val="single" w:sz="2" w:space="10" w:color="0065FC" w:themeColor="accent1"/>
        <w:right w:val="single" w:sz="2" w:space="10" w:color="0065FC" w:themeColor="accent1"/>
      </w:pBdr>
      <w:ind w:left="1152" w:right="1152"/>
    </w:pPr>
    <w:rPr>
      <w:rFonts w:eastAsiaTheme="minorEastAsia"/>
      <w:i/>
      <w:iCs/>
      <w:color w:val="0065FC" w:themeColor="accent1"/>
    </w:rPr>
  </w:style>
  <w:style w:type="paragraph" w:styleId="BodyText2">
    <w:name w:val="Body Text 2"/>
    <w:basedOn w:val="Normal"/>
    <w:link w:val="BodyText2Char"/>
    <w:uiPriority w:val="99"/>
    <w:semiHidden/>
    <w:unhideWhenUsed/>
    <w:rsid w:val="00D07EE3"/>
    <w:pPr>
      <w:spacing w:after="120" w:line="480" w:lineRule="auto"/>
    </w:pPr>
  </w:style>
  <w:style w:type="character" w:customStyle="1" w:styleId="BodyText2Char">
    <w:name w:val="Body Text 2 Char"/>
    <w:basedOn w:val="DefaultParagraphFont"/>
    <w:link w:val="BodyText2"/>
    <w:uiPriority w:val="99"/>
    <w:semiHidden/>
    <w:rsid w:val="00D07EE3"/>
    <w:rPr>
      <w:noProof/>
      <w:sz w:val="24"/>
      <w:lang w:val="ru-RU"/>
    </w:rPr>
  </w:style>
  <w:style w:type="paragraph" w:styleId="BodyText3">
    <w:name w:val="Body Text 3"/>
    <w:basedOn w:val="Normal"/>
    <w:link w:val="BodyText3Char"/>
    <w:uiPriority w:val="99"/>
    <w:semiHidden/>
    <w:unhideWhenUsed/>
    <w:rsid w:val="00D07EE3"/>
    <w:pPr>
      <w:spacing w:after="120"/>
    </w:pPr>
    <w:rPr>
      <w:sz w:val="16"/>
      <w:szCs w:val="16"/>
    </w:rPr>
  </w:style>
  <w:style w:type="character" w:customStyle="1" w:styleId="BodyText3Char">
    <w:name w:val="Body Text 3 Char"/>
    <w:basedOn w:val="DefaultParagraphFont"/>
    <w:link w:val="BodyText3"/>
    <w:uiPriority w:val="99"/>
    <w:semiHidden/>
    <w:rsid w:val="00D07EE3"/>
    <w:rPr>
      <w:noProof/>
      <w:sz w:val="16"/>
      <w:szCs w:val="16"/>
      <w:lang w:val="ru-RU"/>
    </w:rPr>
  </w:style>
  <w:style w:type="paragraph" w:styleId="BodyTextFirstIndent">
    <w:name w:val="Body Text First Indent"/>
    <w:basedOn w:val="BodyText"/>
    <w:link w:val="BodyTextFirstIndentChar"/>
    <w:uiPriority w:val="99"/>
    <w:semiHidden/>
    <w:unhideWhenUsed/>
    <w:rsid w:val="00D07EE3"/>
    <w:pPr>
      <w:spacing w:after="160"/>
      <w:ind w:firstLine="360"/>
    </w:pPr>
  </w:style>
  <w:style w:type="character" w:customStyle="1" w:styleId="BodyTextFirstIndentChar">
    <w:name w:val="Body Text First Indent Char"/>
    <w:basedOn w:val="BodyTextChar"/>
    <w:link w:val="BodyTextFirstIndent"/>
    <w:uiPriority w:val="99"/>
    <w:semiHidden/>
    <w:rsid w:val="00D07EE3"/>
    <w:rPr>
      <w:noProof/>
      <w:sz w:val="24"/>
      <w:lang w:val="ru-RU"/>
    </w:rPr>
  </w:style>
  <w:style w:type="paragraph" w:styleId="BodyTextIndent">
    <w:name w:val="Body Text Indent"/>
    <w:basedOn w:val="Normal"/>
    <w:link w:val="BodyTextIndentChar"/>
    <w:uiPriority w:val="99"/>
    <w:semiHidden/>
    <w:unhideWhenUsed/>
    <w:rsid w:val="00D07EE3"/>
    <w:pPr>
      <w:spacing w:after="120"/>
      <w:ind w:left="283"/>
    </w:pPr>
  </w:style>
  <w:style w:type="character" w:customStyle="1" w:styleId="BodyTextIndentChar">
    <w:name w:val="Body Text Indent Char"/>
    <w:basedOn w:val="DefaultParagraphFont"/>
    <w:link w:val="BodyTextIndent"/>
    <w:uiPriority w:val="99"/>
    <w:semiHidden/>
    <w:rsid w:val="00D07EE3"/>
    <w:rPr>
      <w:noProof/>
      <w:sz w:val="24"/>
      <w:lang w:val="ru-RU"/>
    </w:rPr>
  </w:style>
  <w:style w:type="paragraph" w:styleId="BodyTextFirstIndent2">
    <w:name w:val="Body Text First Indent 2"/>
    <w:basedOn w:val="BodyTextIndent"/>
    <w:link w:val="BodyTextFirstIndent2Char"/>
    <w:uiPriority w:val="99"/>
    <w:semiHidden/>
    <w:unhideWhenUsed/>
    <w:rsid w:val="00D07EE3"/>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D07EE3"/>
    <w:rPr>
      <w:noProof/>
      <w:sz w:val="24"/>
      <w:lang w:val="ru-RU"/>
    </w:rPr>
  </w:style>
  <w:style w:type="paragraph" w:styleId="BodyTextIndent2">
    <w:name w:val="Body Text Indent 2"/>
    <w:basedOn w:val="Normal"/>
    <w:link w:val="BodyTextIndent2Char"/>
    <w:uiPriority w:val="99"/>
    <w:semiHidden/>
    <w:unhideWhenUsed/>
    <w:rsid w:val="00D07EE3"/>
    <w:pPr>
      <w:spacing w:after="120" w:line="480" w:lineRule="auto"/>
      <w:ind w:left="283"/>
    </w:pPr>
  </w:style>
  <w:style w:type="character" w:customStyle="1" w:styleId="BodyTextIndent2Char">
    <w:name w:val="Body Text Indent 2 Char"/>
    <w:basedOn w:val="DefaultParagraphFont"/>
    <w:link w:val="BodyTextIndent2"/>
    <w:uiPriority w:val="99"/>
    <w:semiHidden/>
    <w:rsid w:val="00D07EE3"/>
    <w:rPr>
      <w:noProof/>
      <w:sz w:val="24"/>
      <w:lang w:val="ru-RU"/>
    </w:rPr>
  </w:style>
  <w:style w:type="paragraph" w:styleId="BodyTextIndent3">
    <w:name w:val="Body Text Indent 3"/>
    <w:basedOn w:val="Normal"/>
    <w:link w:val="BodyTextIndent3Char"/>
    <w:uiPriority w:val="99"/>
    <w:semiHidden/>
    <w:unhideWhenUsed/>
    <w:rsid w:val="00D07EE3"/>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07EE3"/>
    <w:rPr>
      <w:noProof/>
      <w:sz w:val="16"/>
      <w:szCs w:val="16"/>
      <w:lang w:val="ru-RU"/>
    </w:rPr>
  </w:style>
  <w:style w:type="paragraph" w:styleId="Caption0">
    <w:name w:val="caption"/>
    <w:basedOn w:val="Normal"/>
    <w:next w:val="Normal"/>
    <w:uiPriority w:val="35"/>
    <w:semiHidden/>
    <w:unhideWhenUsed/>
    <w:qFormat/>
    <w:rsid w:val="00D07EE3"/>
    <w:pPr>
      <w:spacing w:after="200" w:line="240" w:lineRule="auto"/>
    </w:pPr>
    <w:rPr>
      <w:i/>
      <w:iCs/>
      <w:color w:val="000000" w:themeColor="text2"/>
      <w:sz w:val="18"/>
      <w:szCs w:val="18"/>
    </w:rPr>
  </w:style>
  <w:style w:type="paragraph" w:styleId="Closing">
    <w:name w:val="Closing"/>
    <w:basedOn w:val="Normal"/>
    <w:link w:val="ClosingChar"/>
    <w:uiPriority w:val="99"/>
    <w:semiHidden/>
    <w:unhideWhenUsed/>
    <w:rsid w:val="00D07EE3"/>
    <w:pPr>
      <w:spacing w:after="0" w:line="240" w:lineRule="auto"/>
      <w:ind w:left="4252"/>
    </w:pPr>
  </w:style>
  <w:style w:type="character" w:customStyle="1" w:styleId="ClosingChar">
    <w:name w:val="Closing Char"/>
    <w:basedOn w:val="DefaultParagraphFont"/>
    <w:link w:val="Closing"/>
    <w:uiPriority w:val="99"/>
    <w:semiHidden/>
    <w:rsid w:val="00D07EE3"/>
    <w:rPr>
      <w:noProof/>
      <w:sz w:val="24"/>
      <w:lang w:val="ru-RU"/>
    </w:rPr>
  </w:style>
  <w:style w:type="paragraph" w:styleId="Date">
    <w:name w:val="Date"/>
    <w:basedOn w:val="Normal"/>
    <w:next w:val="Normal"/>
    <w:link w:val="DateChar"/>
    <w:uiPriority w:val="99"/>
    <w:semiHidden/>
    <w:unhideWhenUsed/>
    <w:rsid w:val="00D07EE3"/>
  </w:style>
  <w:style w:type="character" w:customStyle="1" w:styleId="DateChar">
    <w:name w:val="Date Char"/>
    <w:basedOn w:val="DefaultParagraphFont"/>
    <w:link w:val="Date"/>
    <w:uiPriority w:val="99"/>
    <w:semiHidden/>
    <w:rsid w:val="00D07EE3"/>
    <w:rPr>
      <w:noProof/>
      <w:sz w:val="24"/>
      <w:lang w:val="ru-RU"/>
    </w:rPr>
  </w:style>
  <w:style w:type="paragraph" w:styleId="DocumentMap">
    <w:name w:val="Document Map"/>
    <w:basedOn w:val="Normal"/>
    <w:link w:val="DocumentMapChar"/>
    <w:uiPriority w:val="99"/>
    <w:semiHidden/>
    <w:unhideWhenUsed/>
    <w:rsid w:val="00D07EE3"/>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07EE3"/>
    <w:rPr>
      <w:rFonts w:ascii="Segoe UI" w:hAnsi="Segoe UI" w:cs="Segoe UI"/>
      <w:noProof/>
      <w:sz w:val="16"/>
      <w:szCs w:val="16"/>
      <w:lang w:val="ru-RU"/>
    </w:rPr>
  </w:style>
  <w:style w:type="paragraph" w:styleId="E-mailSignature">
    <w:name w:val="E-mail Signature"/>
    <w:basedOn w:val="Normal"/>
    <w:link w:val="E-mailSignatureChar"/>
    <w:uiPriority w:val="99"/>
    <w:semiHidden/>
    <w:unhideWhenUsed/>
    <w:rsid w:val="00D07EE3"/>
    <w:pPr>
      <w:spacing w:after="0" w:line="240" w:lineRule="auto"/>
    </w:pPr>
  </w:style>
  <w:style w:type="character" w:customStyle="1" w:styleId="E-mailSignatureChar">
    <w:name w:val="E-mail Signature Char"/>
    <w:basedOn w:val="DefaultParagraphFont"/>
    <w:link w:val="E-mailSignature"/>
    <w:uiPriority w:val="99"/>
    <w:semiHidden/>
    <w:rsid w:val="00D07EE3"/>
    <w:rPr>
      <w:noProof/>
      <w:sz w:val="24"/>
      <w:lang w:val="ru-RU"/>
    </w:rPr>
  </w:style>
  <w:style w:type="paragraph" w:styleId="EndnoteText">
    <w:name w:val="endnote text"/>
    <w:basedOn w:val="Normal"/>
    <w:link w:val="EndnoteTextChar"/>
    <w:uiPriority w:val="99"/>
    <w:semiHidden/>
    <w:unhideWhenUsed/>
    <w:rsid w:val="00D07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07EE3"/>
    <w:rPr>
      <w:noProof/>
      <w:sz w:val="20"/>
      <w:szCs w:val="20"/>
      <w:lang w:val="ru-RU"/>
    </w:rPr>
  </w:style>
  <w:style w:type="paragraph" w:styleId="EnvelopeAddress">
    <w:name w:val="envelope address"/>
    <w:basedOn w:val="Normal"/>
    <w:uiPriority w:val="99"/>
    <w:semiHidden/>
    <w:unhideWhenUsed/>
    <w:rsid w:val="00D07EE3"/>
    <w:pPr>
      <w:framePr w:w="7920" w:h="1980" w:hRule="exact" w:hSpace="180" w:wrap="auto" w:hAnchor="page" w:xAlign="center" w:yAlign="bottom"/>
      <w:spacing w:after="0" w:line="240" w:lineRule="auto"/>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D07EE3"/>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D07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07EE3"/>
    <w:rPr>
      <w:noProof/>
      <w:sz w:val="20"/>
      <w:szCs w:val="20"/>
      <w:lang w:val="ru-RU"/>
    </w:rPr>
  </w:style>
  <w:style w:type="paragraph" w:styleId="HTMLAddress">
    <w:name w:val="HTML Address"/>
    <w:basedOn w:val="Normal"/>
    <w:link w:val="HTMLAddressChar"/>
    <w:uiPriority w:val="99"/>
    <w:semiHidden/>
    <w:unhideWhenUsed/>
    <w:rsid w:val="00D07EE3"/>
    <w:pPr>
      <w:spacing w:after="0" w:line="240" w:lineRule="auto"/>
    </w:pPr>
    <w:rPr>
      <w:i/>
      <w:iCs/>
    </w:rPr>
  </w:style>
  <w:style w:type="character" w:customStyle="1" w:styleId="HTMLAddressChar">
    <w:name w:val="HTML Address Char"/>
    <w:basedOn w:val="DefaultParagraphFont"/>
    <w:link w:val="HTMLAddress"/>
    <w:uiPriority w:val="99"/>
    <w:semiHidden/>
    <w:rsid w:val="00D07EE3"/>
    <w:rPr>
      <w:i/>
      <w:iCs/>
      <w:noProof/>
      <w:sz w:val="24"/>
      <w:lang w:val="ru-RU"/>
    </w:rPr>
  </w:style>
  <w:style w:type="paragraph" w:styleId="HTMLPreformatted">
    <w:name w:val="HTML Preformatted"/>
    <w:basedOn w:val="Normal"/>
    <w:link w:val="HTMLPreformattedChar"/>
    <w:uiPriority w:val="99"/>
    <w:semiHidden/>
    <w:unhideWhenUsed/>
    <w:rsid w:val="00D07EE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07EE3"/>
    <w:rPr>
      <w:rFonts w:ascii="Consolas" w:hAnsi="Consolas"/>
      <w:noProof/>
      <w:sz w:val="20"/>
      <w:szCs w:val="20"/>
      <w:lang w:val="ru-RU"/>
    </w:rPr>
  </w:style>
  <w:style w:type="paragraph" w:styleId="Index1">
    <w:name w:val="index 1"/>
    <w:basedOn w:val="Normal"/>
    <w:next w:val="Normal"/>
    <w:autoRedefine/>
    <w:uiPriority w:val="99"/>
    <w:semiHidden/>
    <w:unhideWhenUsed/>
    <w:rsid w:val="00D07EE3"/>
    <w:pPr>
      <w:spacing w:after="0" w:line="240" w:lineRule="auto"/>
      <w:ind w:left="240" w:hanging="240"/>
    </w:pPr>
  </w:style>
  <w:style w:type="paragraph" w:styleId="Index2">
    <w:name w:val="index 2"/>
    <w:basedOn w:val="Normal"/>
    <w:next w:val="Normal"/>
    <w:autoRedefine/>
    <w:uiPriority w:val="99"/>
    <w:semiHidden/>
    <w:unhideWhenUsed/>
    <w:rsid w:val="00D07EE3"/>
    <w:pPr>
      <w:spacing w:after="0" w:line="240" w:lineRule="auto"/>
      <w:ind w:left="480" w:hanging="240"/>
    </w:pPr>
  </w:style>
  <w:style w:type="paragraph" w:styleId="Index3">
    <w:name w:val="index 3"/>
    <w:basedOn w:val="Normal"/>
    <w:next w:val="Normal"/>
    <w:autoRedefine/>
    <w:uiPriority w:val="99"/>
    <w:semiHidden/>
    <w:unhideWhenUsed/>
    <w:rsid w:val="00D07EE3"/>
    <w:pPr>
      <w:spacing w:after="0" w:line="240" w:lineRule="auto"/>
      <w:ind w:left="720" w:hanging="240"/>
    </w:pPr>
  </w:style>
  <w:style w:type="paragraph" w:styleId="Index4">
    <w:name w:val="index 4"/>
    <w:basedOn w:val="Normal"/>
    <w:next w:val="Normal"/>
    <w:autoRedefine/>
    <w:uiPriority w:val="99"/>
    <w:semiHidden/>
    <w:unhideWhenUsed/>
    <w:rsid w:val="00D07EE3"/>
    <w:pPr>
      <w:spacing w:after="0" w:line="240" w:lineRule="auto"/>
      <w:ind w:left="960" w:hanging="240"/>
    </w:pPr>
  </w:style>
  <w:style w:type="paragraph" w:styleId="Index5">
    <w:name w:val="index 5"/>
    <w:basedOn w:val="Normal"/>
    <w:next w:val="Normal"/>
    <w:autoRedefine/>
    <w:uiPriority w:val="99"/>
    <w:semiHidden/>
    <w:unhideWhenUsed/>
    <w:rsid w:val="00D07EE3"/>
    <w:pPr>
      <w:spacing w:after="0" w:line="240" w:lineRule="auto"/>
      <w:ind w:left="1200" w:hanging="240"/>
    </w:pPr>
  </w:style>
  <w:style w:type="paragraph" w:styleId="Index6">
    <w:name w:val="index 6"/>
    <w:basedOn w:val="Normal"/>
    <w:next w:val="Normal"/>
    <w:autoRedefine/>
    <w:uiPriority w:val="99"/>
    <w:semiHidden/>
    <w:unhideWhenUsed/>
    <w:rsid w:val="00D07EE3"/>
    <w:pPr>
      <w:spacing w:after="0" w:line="240" w:lineRule="auto"/>
      <w:ind w:left="1440" w:hanging="240"/>
    </w:pPr>
  </w:style>
  <w:style w:type="paragraph" w:styleId="Index7">
    <w:name w:val="index 7"/>
    <w:basedOn w:val="Normal"/>
    <w:next w:val="Normal"/>
    <w:autoRedefine/>
    <w:uiPriority w:val="99"/>
    <w:semiHidden/>
    <w:unhideWhenUsed/>
    <w:rsid w:val="00D07EE3"/>
    <w:pPr>
      <w:spacing w:after="0" w:line="240" w:lineRule="auto"/>
      <w:ind w:left="1680" w:hanging="240"/>
    </w:pPr>
  </w:style>
  <w:style w:type="paragraph" w:styleId="Index8">
    <w:name w:val="index 8"/>
    <w:basedOn w:val="Normal"/>
    <w:next w:val="Normal"/>
    <w:autoRedefine/>
    <w:uiPriority w:val="99"/>
    <w:semiHidden/>
    <w:unhideWhenUsed/>
    <w:rsid w:val="00D07EE3"/>
    <w:pPr>
      <w:spacing w:after="0" w:line="240" w:lineRule="auto"/>
      <w:ind w:left="1920" w:hanging="240"/>
    </w:pPr>
  </w:style>
  <w:style w:type="paragraph" w:styleId="Index9">
    <w:name w:val="index 9"/>
    <w:basedOn w:val="Normal"/>
    <w:next w:val="Normal"/>
    <w:autoRedefine/>
    <w:uiPriority w:val="99"/>
    <w:semiHidden/>
    <w:unhideWhenUsed/>
    <w:rsid w:val="00D07EE3"/>
    <w:pPr>
      <w:spacing w:after="0" w:line="240" w:lineRule="auto"/>
      <w:ind w:left="2160" w:hanging="240"/>
    </w:pPr>
  </w:style>
  <w:style w:type="paragraph" w:styleId="IndexHeading">
    <w:name w:val="index heading"/>
    <w:basedOn w:val="Normal"/>
    <w:next w:val="Index1"/>
    <w:uiPriority w:val="99"/>
    <w:semiHidden/>
    <w:unhideWhenUsed/>
    <w:rsid w:val="00D07EE3"/>
    <w:rPr>
      <w:rFonts w:asciiTheme="majorHAnsi" w:eastAsiaTheme="majorEastAsia" w:hAnsiTheme="majorHAnsi" w:cstheme="majorBidi"/>
      <w:b/>
      <w:bCs/>
    </w:rPr>
  </w:style>
  <w:style w:type="paragraph" w:styleId="List">
    <w:name w:val="List"/>
    <w:basedOn w:val="Normal"/>
    <w:uiPriority w:val="99"/>
    <w:semiHidden/>
    <w:unhideWhenUsed/>
    <w:rsid w:val="00D07EE3"/>
    <w:pPr>
      <w:ind w:left="283" w:hanging="283"/>
      <w:contextualSpacing/>
    </w:pPr>
  </w:style>
  <w:style w:type="paragraph" w:styleId="List2">
    <w:name w:val="List 2"/>
    <w:basedOn w:val="Normal"/>
    <w:uiPriority w:val="99"/>
    <w:semiHidden/>
    <w:unhideWhenUsed/>
    <w:rsid w:val="00D07EE3"/>
    <w:pPr>
      <w:ind w:left="566" w:hanging="283"/>
      <w:contextualSpacing/>
    </w:pPr>
  </w:style>
  <w:style w:type="paragraph" w:styleId="List3">
    <w:name w:val="List 3"/>
    <w:basedOn w:val="Normal"/>
    <w:uiPriority w:val="99"/>
    <w:semiHidden/>
    <w:unhideWhenUsed/>
    <w:rsid w:val="00D07EE3"/>
    <w:pPr>
      <w:ind w:left="849" w:hanging="283"/>
      <w:contextualSpacing/>
    </w:pPr>
  </w:style>
  <w:style w:type="paragraph" w:styleId="List4">
    <w:name w:val="List 4"/>
    <w:basedOn w:val="Normal"/>
    <w:uiPriority w:val="99"/>
    <w:semiHidden/>
    <w:unhideWhenUsed/>
    <w:rsid w:val="00D07EE3"/>
    <w:pPr>
      <w:ind w:left="1132" w:hanging="283"/>
      <w:contextualSpacing/>
    </w:pPr>
  </w:style>
  <w:style w:type="paragraph" w:styleId="List5">
    <w:name w:val="List 5"/>
    <w:basedOn w:val="Normal"/>
    <w:uiPriority w:val="99"/>
    <w:semiHidden/>
    <w:unhideWhenUsed/>
    <w:rsid w:val="00D07EE3"/>
    <w:pPr>
      <w:ind w:left="1415" w:hanging="283"/>
      <w:contextualSpacing/>
    </w:pPr>
  </w:style>
  <w:style w:type="paragraph" w:styleId="ListBullet">
    <w:name w:val="List Bullet"/>
    <w:basedOn w:val="Normal"/>
    <w:uiPriority w:val="99"/>
    <w:semiHidden/>
    <w:unhideWhenUsed/>
    <w:rsid w:val="00D07EE3"/>
    <w:pPr>
      <w:numPr>
        <w:numId w:val="18"/>
      </w:numPr>
      <w:contextualSpacing/>
    </w:pPr>
  </w:style>
  <w:style w:type="paragraph" w:styleId="ListBullet2">
    <w:name w:val="List Bullet 2"/>
    <w:basedOn w:val="Normal"/>
    <w:uiPriority w:val="99"/>
    <w:semiHidden/>
    <w:unhideWhenUsed/>
    <w:rsid w:val="00D07EE3"/>
    <w:pPr>
      <w:numPr>
        <w:numId w:val="19"/>
      </w:numPr>
      <w:contextualSpacing/>
    </w:pPr>
  </w:style>
  <w:style w:type="paragraph" w:styleId="ListBullet3">
    <w:name w:val="List Bullet 3"/>
    <w:basedOn w:val="Normal"/>
    <w:uiPriority w:val="99"/>
    <w:semiHidden/>
    <w:unhideWhenUsed/>
    <w:rsid w:val="00D07EE3"/>
    <w:pPr>
      <w:numPr>
        <w:numId w:val="20"/>
      </w:numPr>
      <w:contextualSpacing/>
    </w:pPr>
  </w:style>
  <w:style w:type="paragraph" w:styleId="ListBullet4">
    <w:name w:val="List Bullet 4"/>
    <w:basedOn w:val="Normal"/>
    <w:uiPriority w:val="99"/>
    <w:semiHidden/>
    <w:unhideWhenUsed/>
    <w:rsid w:val="00D07EE3"/>
    <w:pPr>
      <w:numPr>
        <w:numId w:val="21"/>
      </w:numPr>
      <w:contextualSpacing/>
    </w:pPr>
  </w:style>
  <w:style w:type="paragraph" w:styleId="ListBullet5">
    <w:name w:val="List Bullet 5"/>
    <w:basedOn w:val="Normal"/>
    <w:uiPriority w:val="99"/>
    <w:semiHidden/>
    <w:unhideWhenUsed/>
    <w:rsid w:val="00D07EE3"/>
    <w:pPr>
      <w:numPr>
        <w:numId w:val="22"/>
      </w:numPr>
      <w:contextualSpacing/>
    </w:pPr>
  </w:style>
  <w:style w:type="paragraph" w:styleId="ListContinue">
    <w:name w:val="List Continue"/>
    <w:basedOn w:val="Normal"/>
    <w:uiPriority w:val="99"/>
    <w:semiHidden/>
    <w:unhideWhenUsed/>
    <w:rsid w:val="00D07EE3"/>
    <w:pPr>
      <w:spacing w:after="120"/>
      <w:ind w:left="283"/>
      <w:contextualSpacing/>
    </w:pPr>
  </w:style>
  <w:style w:type="paragraph" w:styleId="ListContinue2">
    <w:name w:val="List Continue 2"/>
    <w:basedOn w:val="Normal"/>
    <w:uiPriority w:val="99"/>
    <w:semiHidden/>
    <w:unhideWhenUsed/>
    <w:rsid w:val="00D07EE3"/>
    <w:pPr>
      <w:spacing w:after="120"/>
      <w:ind w:left="566"/>
      <w:contextualSpacing/>
    </w:pPr>
  </w:style>
  <w:style w:type="paragraph" w:styleId="ListContinue3">
    <w:name w:val="List Continue 3"/>
    <w:basedOn w:val="Normal"/>
    <w:uiPriority w:val="99"/>
    <w:semiHidden/>
    <w:unhideWhenUsed/>
    <w:rsid w:val="00D07EE3"/>
    <w:pPr>
      <w:spacing w:after="120"/>
      <w:ind w:left="849"/>
      <w:contextualSpacing/>
    </w:pPr>
  </w:style>
  <w:style w:type="paragraph" w:styleId="ListContinue4">
    <w:name w:val="List Continue 4"/>
    <w:basedOn w:val="Normal"/>
    <w:uiPriority w:val="99"/>
    <w:semiHidden/>
    <w:unhideWhenUsed/>
    <w:rsid w:val="00D07EE3"/>
    <w:pPr>
      <w:spacing w:after="120"/>
      <w:ind w:left="1132"/>
      <w:contextualSpacing/>
    </w:pPr>
  </w:style>
  <w:style w:type="paragraph" w:styleId="ListContinue5">
    <w:name w:val="List Continue 5"/>
    <w:basedOn w:val="Normal"/>
    <w:uiPriority w:val="99"/>
    <w:semiHidden/>
    <w:unhideWhenUsed/>
    <w:rsid w:val="00D07EE3"/>
    <w:pPr>
      <w:spacing w:after="120"/>
      <w:ind w:left="1415"/>
      <w:contextualSpacing/>
    </w:pPr>
  </w:style>
  <w:style w:type="paragraph" w:styleId="ListNumber">
    <w:name w:val="List Number"/>
    <w:basedOn w:val="Normal"/>
    <w:uiPriority w:val="99"/>
    <w:semiHidden/>
    <w:unhideWhenUsed/>
    <w:rsid w:val="00D07EE3"/>
    <w:pPr>
      <w:numPr>
        <w:numId w:val="23"/>
      </w:numPr>
      <w:contextualSpacing/>
    </w:pPr>
  </w:style>
  <w:style w:type="paragraph" w:styleId="ListNumber2">
    <w:name w:val="List Number 2"/>
    <w:basedOn w:val="Normal"/>
    <w:uiPriority w:val="99"/>
    <w:semiHidden/>
    <w:unhideWhenUsed/>
    <w:rsid w:val="00D07EE3"/>
    <w:pPr>
      <w:numPr>
        <w:numId w:val="24"/>
      </w:numPr>
      <w:contextualSpacing/>
    </w:pPr>
  </w:style>
  <w:style w:type="paragraph" w:styleId="ListNumber3">
    <w:name w:val="List Number 3"/>
    <w:basedOn w:val="Normal"/>
    <w:uiPriority w:val="99"/>
    <w:semiHidden/>
    <w:unhideWhenUsed/>
    <w:rsid w:val="00D07EE3"/>
    <w:pPr>
      <w:numPr>
        <w:numId w:val="25"/>
      </w:numPr>
      <w:contextualSpacing/>
    </w:pPr>
  </w:style>
  <w:style w:type="paragraph" w:styleId="ListNumber4">
    <w:name w:val="List Number 4"/>
    <w:basedOn w:val="Normal"/>
    <w:uiPriority w:val="99"/>
    <w:semiHidden/>
    <w:unhideWhenUsed/>
    <w:rsid w:val="00D07EE3"/>
    <w:pPr>
      <w:numPr>
        <w:numId w:val="26"/>
      </w:numPr>
      <w:contextualSpacing/>
    </w:pPr>
  </w:style>
  <w:style w:type="paragraph" w:styleId="ListNumber5">
    <w:name w:val="List Number 5"/>
    <w:basedOn w:val="Normal"/>
    <w:uiPriority w:val="99"/>
    <w:semiHidden/>
    <w:unhideWhenUsed/>
    <w:rsid w:val="00D07EE3"/>
    <w:pPr>
      <w:numPr>
        <w:numId w:val="27"/>
      </w:numPr>
      <w:contextualSpacing/>
    </w:pPr>
  </w:style>
  <w:style w:type="paragraph" w:styleId="MacroText">
    <w:name w:val="macro"/>
    <w:link w:val="MacroTextChar"/>
    <w:uiPriority w:val="99"/>
    <w:semiHidden/>
    <w:unhideWhenUsed/>
    <w:rsid w:val="00D07EE3"/>
    <w:pPr>
      <w:tabs>
        <w:tab w:val="left" w:pos="480"/>
        <w:tab w:val="left" w:pos="960"/>
        <w:tab w:val="left" w:pos="1440"/>
        <w:tab w:val="left" w:pos="1920"/>
        <w:tab w:val="left" w:pos="2400"/>
        <w:tab w:val="left" w:pos="2880"/>
        <w:tab w:val="left" w:pos="3360"/>
        <w:tab w:val="left" w:pos="3840"/>
        <w:tab w:val="left" w:pos="4320"/>
      </w:tabs>
      <w:spacing w:after="0" w:line="360" w:lineRule="auto"/>
    </w:pPr>
    <w:rPr>
      <w:rFonts w:ascii="Consolas" w:hAnsi="Consolas"/>
      <w:noProof/>
      <w:sz w:val="20"/>
      <w:szCs w:val="20"/>
      <w:lang w:val="ru-RU"/>
    </w:rPr>
  </w:style>
  <w:style w:type="character" w:customStyle="1" w:styleId="MacroTextChar">
    <w:name w:val="Macro Text Char"/>
    <w:basedOn w:val="DefaultParagraphFont"/>
    <w:link w:val="MacroText"/>
    <w:uiPriority w:val="99"/>
    <w:semiHidden/>
    <w:rsid w:val="00D07EE3"/>
    <w:rPr>
      <w:rFonts w:ascii="Consolas" w:hAnsi="Consolas"/>
      <w:noProof/>
      <w:sz w:val="20"/>
      <w:szCs w:val="20"/>
      <w:lang w:val="ru-RU"/>
    </w:rPr>
  </w:style>
  <w:style w:type="paragraph" w:styleId="MessageHeader">
    <w:name w:val="Message Header"/>
    <w:basedOn w:val="Normal"/>
    <w:link w:val="MessageHeaderChar"/>
    <w:uiPriority w:val="99"/>
    <w:semiHidden/>
    <w:unhideWhenUsed/>
    <w:rsid w:val="00D07EE3"/>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D07EE3"/>
    <w:rPr>
      <w:rFonts w:asciiTheme="majorHAnsi" w:eastAsiaTheme="majorEastAsia" w:hAnsiTheme="majorHAnsi" w:cstheme="majorBidi"/>
      <w:noProof/>
      <w:sz w:val="24"/>
      <w:szCs w:val="24"/>
      <w:shd w:val="pct20" w:color="auto" w:fill="auto"/>
      <w:lang w:val="ru-RU"/>
    </w:rPr>
  </w:style>
  <w:style w:type="paragraph" w:styleId="NormalIndent">
    <w:name w:val="Normal Indent"/>
    <w:basedOn w:val="Normal"/>
    <w:uiPriority w:val="99"/>
    <w:semiHidden/>
    <w:unhideWhenUsed/>
    <w:rsid w:val="00D07EE3"/>
    <w:pPr>
      <w:ind w:left="708"/>
    </w:pPr>
  </w:style>
  <w:style w:type="paragraph" w:styleId="NoteHeading">
    <w:name w:val="Note Heading"/>
    <w:basedOn w:val="Normal"/>
    <w:next w:val="Normal"/>
    <w:link w:val="NoteHeadingChar"/>
    <w:uiPriority w:val="99"/>
    <w:semiHidden/>
    <w:unhideWhenUsed/>
    <w:rsid w:val="00D07EE3"/>
    <w:pPr>
      <w:spacing w:after="0" w:line="240" w:lineRule="auto"/>
    </w:pPr>
  </w:style>
  <w:style w:type="character" w:customStyle="1" w:styleId="NoteHeadingChar">
    <w:name w:val="Note Heading Char"/>
    <w:basedOn w:val="DefaultParagraphFont"/>
    <w:link w:val="NoteHeading"/>
    <w:uiPriority w:val="99"/>
    <w:semiHidden/>
    <w:rsid w:val="00D07EE3"/>
    <w:rPr>
      <w:noProof/>
      <w:sz w:val="24"/>
      <w:lang w:val="ru-RU"/>
    </w:rPr>
  </w:style>
  <w:style w:type="paragraph" w:styleId="PlainText">
    <w:name w:val="Plain Text"/>
    <w:basedOn w:val="Normal"/>
    <w:link w:val="PlainTextChar"/>
    <w:uiPriority w:val="99"/>
    <w:semiHidden/>
    <w:unhideWhenUsed/>
    <w:rsid w:val="00D07EE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D07EE3"/>
    <w:rPr>
      <w:rFonts w:ascii="Consolas" w:hAnsi="Consolas"/>
      <w:noProof/>
      <w:sz w:val="21"/>
      <w:szCs w:val="21"/>
      <w:lang w:val="ru-RU"/>
    </w:rPr>
  </w:style>
  <w:style w:type="paragraph" w:styleId="Salutation">
    <w:name w:val="Salutation"/>
    <w:basedOn w:val="Normal"/>
    <w:next w:val="Normal"/>
    <w:link w:val="SalutationChar"/>
    <w:uiPriority w:val="99"/>
    <w:semiHidden/>
    <w:unhideWhenUsed/>
    <w:rsid w:val="00D07EE3"/>
  </w:style>
  <w:style w:type="character" w:customStyle="1" w:styleId="SalutationChar">
    <w:name w:val="Salutation Char"/>
    <w:basedOn w:val="DefaultParagraphFont"/>
    <w:link w:val="Salutation"/>
    <w:uiPriority w:val="99"/>
    <w:semiHidden/>
    <w:rsid w:val="00D07EE3"/>
    <w:rPr>
      <w:noProof/>
      <w:sz w:val="24"/>
      <w:lang w:val="ru-RU"/>
    </w:rPr>
  </w:style>
  <w:style w:type="paragraph" w:styleId="Signature">
    <w:name w:val="Signature"/>
    <w:basedOn w:val="Normal"/>
    <w:link w:val="SignatureChar"/>
    <w:uiPriority w:val="99"/>
    <w:semiHidden/>
    <w:unhideWhenUsed/>
    <w:rsid w:val="00D07EE3"/>
    <w:pPr>
      <w:spacing w:after="0" w:line="240" w:lineRule="auto"/>
      <w:ind w:left="4252"/>
    </w:pPr>
  </w:style>
  <w:style w:type="character" w:customStyle="1" w:styleId="SignatureChar">
    <w:name w:val="Signature Char"/>
    <w:basedOn w:val="DefaultParagraphFont"/>
    <w:link w:val="Signature"/>
    <w:uiPriority w:val="99"/>
    <w:semiHidden/>
    <w:rsid w:val="00D07EE3"/>
    <w:rPr>
      <w:noProof/>
      <w:sz w:val="24"/>
      <w:lang w:val="ru-RU"/>
    </w:rPr>
  </w:style>
  <w:style w:type="paragraph" w:styleId="TableofAuthorities">
    <w:name w:val="table of authorities"/>
    <w:basedOn w:val="Normal"/>
    <w:next w:val="Normal"/>
    <w:uiPriority w:val="99"/>
    <w:semiHidden/>
    <w:unhideWhenUsed/>
    <w:rsid w:val="00D07EE3"/>
    <w:pPr>
      <w:spacing w:after="0"/>
      <w:ind w:left="240" w:hanging="240"/>
    </w:pPr>
  </w:style>
  <w:style w:type="paragraph" w:styleId="TableofFigures">
    <w:name w:val="table of figures"/>
    <w:basedOn w:val="Normal"/>
    <w:next w:val="Normal"/>
    <w:uiPriority w:val="99"/>
    <w:semiHidden/>
    <w:unhideWhenUsed/>
    <w:rsid w:val="00D07EE3"/>
    <w:pPr>
      <w:spacing w:after="0"/>
    </w:pPr>
  </w:style>
  <w:style w:type="paragraph" w:styleId="TOAHeading">
    <w:name w:val="toa heading"/>
    <w:basedOn w:val="Normal"/>
    <w:next w:val="Normal"/>
    <w:uiPriority w:val="99"/>
    <w:semiHidden/>
    <w:unhideWhenUsed/>
    <w:rsid w:val="00D07EE3"/>
    <w:pPr>
      <w:spacing w:before="120"/>
    </w:pPr>
    <w:rPr>
      <w:rFonts w:asciiTheme="majorHAnsi" w:eastAsiaTheme="majorEastAsia" w:hAnsiTheme="majorHAnsi" w:cstheme="majorBidi"/>
      <w:b/>
      <w:bCs/>
      <w:szCs w:val="24"/>
    </w:rPr>
  </w:style>
  <w:style w:type="paragraph" w:styleId="TOC3">
    <w:name w:val="toc 3"/>
    <w:basedOn w:val="Normal"/>
    <w:next w:val="Normal"/>
    <w:autoRedefine/>
    <w:uiPriority w:val="39"/>
    <w:semiHidden/>
    <w:unhideWhenUsed/>
    <w:rsid w:val="00D07EE3"/>
    <w:pPr>
      <w:spacing w:after="100"/>
      <w:ind w:left="480"/>
    </w:pPr>
  </w:style>
  <w:style w:type="paragraph" w:styleId="TOC4">
    <w:name w:val="toc 4"/>
    <w:basedOn w:val="Normal"/>
    <w:next w:val="Normal"/>
    <w:autoRedefine/>
    <w:uiPriority w:val="39"/>
    <w:semiHidden/>
    <w:unhideWhenUsed/>
    <w:rsid w:val="00D07EE3"/>
    <w:pPr>
      <w:spacing w:after="100"/>
      <w:ind w:left="720"/>
    </w:pPr>
  </w:style>
  <w:style w:type="paragraph" w:styleId="TOC5">
    <w:name w:val="toc 5"/>
    <w:basedOn w:val="Normal"/>
    <w:next w:val="Normal"/>
    <w:autoRedefine/>
    <w:uiPriority w:val="39"/>
    <w:semiHidden/>
    <w:unhideWhenUsed/>
    <w:rsid w:val="00D07EE3"/>
    <w:pPr>
      <w:spacing w:after="100"/>
      <w:ind w:left="960"/>
    </w:pPr>
  </w:style>
  <w:style w:type="paragraph" w:styleId="TOC6">
    <w:name w:val="toc 6"/>
    <w:basedOn w:val="Normal"/>
    <w:next w:val="Normal"/>
    <w:autoRedefine/>
    <w:uiPriority w:val="39"/>
    <w:semiHidden/>
    <w:unhideWhenUsed/>
    <w:rsid w:val="00D07EE3"/>
    <w:pPr>
      <w:spacing w:after="100"/>
      <w:ind w:left="1200"/>
    </w:pPr>
  </w:style>
  <w:style w:type="paragraph" w:styleId="TOC7">
    <w:name w:val="toc 7"/>
    <w:basedOn w:val="Normal"/>
    <w:next w:val="Normal"/>
    <w:autoRedefine/>
    <w:uiPriority w:val="39"/>
    <w:semiHidden/>
    <w:unhideWhenUsed/>
    <w:rsid w:val="00D07EE3"/>
    <w:pPr>
      <w:spacing w:after="100"/>
      <w:ind w:left="1440"/>
    </w:pPr>
  </w:style>
  <w:style w:type="paragraph" w:styleId="TOC8">
    <w:name w:val="toc 8"/>
    <w:basedOn w:val="Normal"/>
    <w:next w:val="Normal"/>
    <w:autoRedefine/>
    <w:uiPriority w:val="39"/>
    <w:semiHidden/>
    <w:unhideWhenUsed/>
    <w:rsid w:val="00D07EE3"/>
    <w:pPr>
      <w:spacing w:after="100"/>
      <w:ind w:left="1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27664">
      <w:bodyDiv w:val="1"/>
      <w:marLeft w:val="0"/>
      <w:marRight w:val="0"/>
      <w:marTop w:val="0"/>
      <w:marBottom w:val="0"/>
      <w:divBdr>
        <w:top w:val="none" w:sz="0" w:space="0" w:color="auto"/>
        <w:left w:val="none" w:sz="0" w:space="0" w:color="auto"/>
        <w:bottom w:val="none" w:sz="0" w:space="0" w:color="auto"/>
        <w:right w:val="none" w:sz="0" w:space="0" w:color="auto"/>
      </w:divBdr>
    </w:div>
    <w:div w:id="230041799">
      <w:bodyDiv w:val="1"/>
      <w:marLeft w:val="0"/>
      <w:marRight w:val="0"/>
      <w:marTop w:val="0"/>
      <w:marBottom w:val="0"/>
      <w:divBdr>
        <w:top w:val="none" w:sz="0" w:space="0" w:color="auto"/>
        <w:left w:val="none" w:sz="0" w:space="0" w:color="auto"/>
        <w:bottom w:val="none" w:sz="0" w:space="0" w:color="auto"/>
        <w:right w:val="none" w:sz="0" w:space="0" w:color="auto"/>
      </w:divBdr>
    </w:div>
    <w:div w:id="844321317">
      <w:bodyDiv w:val="1"/>
      <w:marLeft w:val="0"/>
      <w:marRight w:val="0"/>
      <w:marTop w:val="0"/>
      <w:marBottom w:val="0"/>
      <w:divBdr>
        <w:top w:val="none" w:sz="0" w:space="0" w:color="auto"/>
        <w:left w:val="none" w:sz="0" w:space="0" w:color="auto"/>
        <w:bottom w:val="none" w:sz="0" w:space="0" w:color="auto"/>
        <w:right w:val="none" w:sz="0" w:space="0" w:color="auto"/>
      </w:divBdr>
    </w:div>
    <w:div w:id="1916744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yperlink" Target="https://d.docs.live.net/9DA05498BC5ED027/Email%20attachments/www.smart-co.co.uk"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Тема Office">
  <a:themeElements>
    <a:clrScheme name="SmartCo">
      <a:dk1>
        <a:srgbClr val="000000"/>
      </a:dk1>
      <a:lt1>
        <a:sysClr val="window" lastClr="FFFFFF"/>
      </a:lt1>
      <a:dk2>
        <a:srgbClr val="000000"/>
      </a:dk2>
      <a:lt2>
        <a:srgbClr val="FFFFFF"/>
      </a:lt2>
      <a:accent1>
        <a:srgbClr val="0065FC"/>
      </a:accent1>
      <a:accent2>
        <a:srgbClr val="43E6A2"/>
      </a:accent2>
      <a:accent3>
        <a:srgbClr val="E65C43"/>
      </a:accent3>
      <a:accent4>
        <a:srgbClr val="E6D443"/>
      </a:accent4>
      <a:accent5>
        <a:srgbClr val="A02B93"/>
      </a:accent5>
      <a:accent6>
        <a:srgbClr val="4EA72E"/>
      </a:accent6>
      <a:hlink>
        <a:srgbClr val="467886"/>
      </a:hlink>
      <a:folHlink>
        <a:srgbClr val="0065FC"/>
      </a:folHlink>
    </a:clrScheme>
    <a:fontScheme name="SmartCo">
      <a:majorFont>
        <a:latin typeface="Roboto Bold"/>
        <a:ea typeface=""/>
        <a:cs typeface=""/>
      </a:majorFont>
      <a:minorFont>
        <a:latin typeface="Roboto"/>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e7b9617-f52d-4dce-b69e-aaf9019de100">
      <Terms xmlns="http://schemas.microsoft.com/office/infopath/2007/PartnerControls"/>
    </lcf76f155ced4ddcb4097134ff3c332f>
    <TaxCatchAll xmlns="951d1433-4ede-4561-be4f-4adeab27ab3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DC183ACA15C484A91AC8FF7965756FF" ma:contentTypeVersion="13" ma:contentTypeDescription="Create a new document." ma:contentTypeScope="" ma:versionID="a9754c19307ba5c01391bf21b45deb30">
  <xsd:schema xmlns:xsd="http://www.w3.org/2001/XMLSchema" xmlns:xs="http://www.w3.org/2001/XMLSchema" xmlns:p="http://schemas.microsoft.com/office/2006/metadata/properties" xmlns:ns2="ae7b9617-f52d-4dce-b69e-aaf9019de100" xmlns:ns3="951d1433-4ede-4561-be4f-4adeab27ab3d" targetNamespace="http://schemas.microsoft.com/office/2006/metadata/properties" ma:root="true" ma:fieldsID="f614d56a1a39c76b22f4d16c084e9fd8" ns2:_="" ns3:_="">
    <xsd:import namespace="ae7b9617-f52d-4dce-b69e-aaf9019de100"/>
    <xsd:import namespace="951d1433-4ede-4561-be4f-4adeab27ab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7b9617-f52d-4dce-b69e-aaf9019de1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422b39e-a562-46d3-973d-59f61cd86a1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1d1433-4ede-4561-be4f-4adeab27ab3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582d85-602a-4a8f-a055-e1fc1ae07b21}" ma:internalName="TaxCatchAll" ma:showField="CatchAllData" ma:web="951d1433-4ede-4561-be4f-4adeab27ab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335850-ECAC-4CCD-8AA0-E938CE4318C7}">
  <ds:schemaRefs>
    <ds:schemaRef ds:uri="http://schemas.microsoft.com/sharepoint/v3/contenttype/forms"/>
  </ds:schemaRefs>
</ds:datastoreItem>
</file>

<file path=customXml/itemProps2.xml><?xml version="1.0" encoding="utf-8"?>
<ds:datastoreItem xmlns:ds="http://schemas.openxmlformats.org/officeDocument/2006/customXml" ds:itemID="{74DC5099-BD9A-40B3-8B51-F7670D28C380}">
  <ds:schemaRefs>
    <ds:schemaRef ds:uri="http://schemas.openxmlformats.org/officeDocument/2006/bibliography"/>
  </ds:schemaRefs>
</ds:datastoreItem>
</file>

<file path=customXml/itemProps3.xml><?xml version="1.0" encoding="utf-8"?>
<ds:datastoreItem xmlns:ds="http://schemas.openxmlformats.org/officeDocument/2006/customXml" ds:itemID="{C575EED1-374E-440F-820E-7CEFC808497B}">
  <ds:schemaRefs>
    <ds:schemaRef ds:uri="http://schemas.microsoft.com/office/2006/metadata/properties"/>
    <ds:schemaRef ds:uri="http://schemas.microsoft.com/office/infopath/2007/PartnerControls"/>
    <ds:schemaRef ds:uri="ae7b9617-f52d-4dce-b69e-aaf9019de100"/>
    <ds:schemaRef ds:uri="951d1433-4ede-4561-be4f-4adeab27ab3d"/>
  </ds:schemaRefs>
</ds:datastoreItem>
</file>

<file path=customXml/itemProps4.xml><?xml version="1.0" encoding="utf-8"?>
<ds:datastoreItem xmlns:ds="http://schemas.openxmlformats.org/officeDocument/2006/customXml" ds:itemID="{C8AE362F-D3CD-4C2A-A1DA-6F152006EE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7b9617-f52d-4dce-b69e-aaf9019de100"/>
    <ds:schemaRef ds:uri="951d1433-4ede-4561-be4f-4adeab27ab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28</Pages>
  <Words>6201</Words>
  <Characters>34478</Characters>
  <Application>Microsoft Office Word</Application>
  <DocSecurity>0</DocSecurity>
  <Lines>861</Lines>
  <Paragraphs>341</Paragraphs>
  <ScaleCrop>false</ScaleCrop>
  <Company/>
  <LinksUpToDate>false</LinksUpToDate>
  <CharactersWithSpaces>40338</CharactersWithSpaces>
  <SharedDoc>false</SharedDoc>
  <HLinks>
    <vt:vector size="126" baseType="variant">
      <vt:variant>
        <vt:i4>2228273</vt:i4>
      </vt:variant>
      <vt:variant>
        <vt:i4>117</vt:i4>
      </vt:variant>
      <vt:variant>
        <vt:i4>0</vt:i4>
      </vt:variant>
      <vt:variant>
        <vt:i4>5</vt:i4>
      </vt:variant>
      <vt:variant>
        <vt:lpwstr>www.smart-co.co.uk</vt:lpwstr>
      </vt:variant>
      <vt:variant>
        <vt:lpwstr/>
      </vt:variant>
      <vt:variant>
        <vt:i4>1507386</vt:i4>
      </vt:variant>
      <vt:variant>
        <vt:i4>110</vt:i4>
      </vt:variant>
      <vt:variant>
        <vt:i4>0</vt:i4>
      </vt:variant>
      <vt:variant>
        <vt:i4>5</vt:i4>
      </vt:variant>
      <vt:variant>
        <vt:lpwstr/>
      </vt:variant>
      <vt:variant>
        <vt:lpwstr>_Toc231203925</vt:lpwstr>
      </vt:variant>
      <vt:variant>
        <vt:i4>1507386</vt:i4>
      </vt:variant>
      <vt:variant>
        <vt:i4>104</vt:i4>
      </vt:variant>
      <vt:variant>
        <vt:i4>0</vt:i4>
      </vt:variant>
      <vt:variant>
        <vt:i4>5</vt:i4>
      </vt:variant>
      <vt:variant>
        <vt:lpwstr/>
      </vt:variant>
      <vt:variant>
        <vt:lpwstr>_Toc231203924</vt:lpwstr>
      </vt:variant>
      <vt:variant>
        <vt:i4>1507386</vt:i4>
      </vt:variant>
      <vt:variant>
        <vt:i4>98</vt:i4>
      </vt:variant>
      <vt:variant>
        <vt:i4>0</vt:i4>
      </vt:variant>
      <vt:variant>
        <vt:i4>5</vt:i4>
      </vt:variant>
      <vt:variant>
        <vt:lpwstr/>
      </vt:variant>
      <vt:variant>
        <vt:lpwstr>_Toc231203923</vt:lpwstr>
      </vt:variant>
      <vt:variant>
        <vt:i4>1507386</vt:i4>
      </vt:variant>
      <vt:variant>
        <vt:i4>92</vt:i4>
      </vt:variant>
      <vt:variant>
        <vt:i4>0</vt:i4>
      </vt:variant>
      <vt:variant>
        <vt:i4>5</vt:i4>
      </vt:variant>
      <vt:variant>
        <vt:lpwstr/>
      </vt:variant>
      <vt:variant>
        <vt:lpwstr>_Toc231203922</vt:lpwstr>
      </vt:variant>
      <vt:variant>
        <vt:i4>1507386</vt:i4>
      </vt:variant>
      <vt:variant>
        <vt:i4>86</vt:i4>
      </vt:variant>
      <vt:variant>
        <vt:i4>0</vt:i4>
      </vt:variant>
      <vt:variant>
        <vt:i4>5</vt:i4>
      </vt:variant>
      <vt:variant>
        <vt:lpwstr/>
      </vt:variant>
      <vt:variant>
        <vt:lpwstr>_Toc231203921</vt:lpwstr>
      </vt:variant>
      <vt:variant>
        <vt:i4>1507386</vt:i4>
      </vt:variant>
      <vt:variant>
        <vt:i4>80</vt:i4>
      </vt:variant>
      <vt:variant>
        <vt:i4>0</vt:i4>
      </vt:variant>
      <vt:variant>
        <vt:i4>5</vt:i4>
      </vt:variant>
      <vt:variant>
        <vt:lpwstr/>
      </vt:variant>
      <vt:variant>
        <vt:lpwstr>_Toc231203920</vt:lpwstr>
      </vt:variant>
      <vt:variant>
        <vt:i4>1310778</vt:i4>
      </vt:variant>
      <vt:variant>
        <vt:i4>74</vt:i4>
      </vt:variant>
      <vt:variant>
        <vt:i4>0</vt:i4>
      </vt:variant>
      <vt:variant>
        <vt:i4>5</vt:i4>
      </vt:variant>
      <vt:variant>
        <vt:lpwstr/>
      </vt:variant>
      <vt:variant>
        <vt:lpwstr>_Toc231203919</vt:lpwstr>
      </vt:variant>
      <vt:variant>
        <vt:i4>1310778</vt:i4>
      </vt:variant>
      <vt:variant>
        <vt:i4>68</vt:i4>
      </vt:variant>
      <vt:variant>
        <vt:i4>0</vt:i4>
      </vt:variant>
      <vt:variant>
        <vt:i4>5</vt:i4>
      </vt:variant>
      <vt:variant>
        <vt:lpwstr/>
      </vt:variant>
      <vt:variant>
        <vt:lpwstr>_Toc231203918</vt:lpwstr>
      </vt:variant>
      <vt:variant>
        <vt:i4>1310778</vt:i4>
      </vt:variant>
      <vt:variant>
        <vt:i4>62</vt:i4>
      </vt:variant>
      <vt:variant>
        <vt:i4>0</vt:i4>
      </vt:variant>
      <vt:variant>
        <vt:i4>5</vt:i4>
      </vt:variant>
      <vt:variant>
        <vt:lpwstr/>
      </vt:variant>
      <vt:variant>
        <vt:lpwstr>_Toc231203917</vt:lpwstr>
      </vt:variant>
      <vt:variant>
        <vt:i4>1310778</vt:i4>
      </vt:variant>
      <vt:variant>
        <vt:i4>56</vt:i4>
      </vt:variant>
      <vt:variant>
        <vt:i4>0</vt:i4>
      </vt:variant>
      <vt:variant>
        <vt:i4>5</vt:i4>
      </vt:variant>
      <vt:variant>
        <vt:lpwstr/>
      </vt:variant>
      <vt:variant>
        <vt:lpwstr>_Toc231203916</vt:lpwstr>
      </vt:variant>
      <vt:variant>
        <vt:i4>1310778</vt:i4>
      </vt:variant>
      <vt:variant>
        <vt:i4>50</vt:i4>
      </vt:variant>
      <vt:variant>
        <vt:i4>0</vt:i4>
      </vt:variant>
      <vt:variant>
        <vt:i4>5</vt:i4>
      </vt:variant>
      <vt:variant>
        <vt:lpwstr/>
      </vt:variant>
      <vt:variant>
        <vt:lpwstr>_Toc231203915</vt:lpwstr>
      </vt:variant>
      <vt:variant>
        <vt:i4>1310778</vt:i4>
      </vt:variant>
      <vt:variant>
        <vt:i4>44</vt:i4>
      </vt:variant>
      <vt:variant>
        <vt:i4>0</vt:i4>
      </vt:variant>
      <vt:variant>
        <vt:i4>5</vt:i4>
      </vt:variant>
      <vt:variant>
        <vt:lpwstr/>
      </vt:variant>
      <vt:variant>
        <vt:lpwstr>_Toc231203914</vt:lpwstr>
      </vt:variant>
      <vt:variant>
        <vt:i4>1310778</vt:i4>
      </vt:variant>
      <vt:variant>
        <vt:i4>38</vt:i4>
      </vt:variant>
      <vt:variant>
        <vt:i4>0</vt:i4>
      </vt:variant>
      <vt:variant>
        <vt:i4>5</vt:i4>
      </vt:variant>
      <vt:variant>
        <vt:lpwstr/>
      </vt:variant>
      <vt:variant>
        <vt:lpwstr>_Toc231203913</vt:lpwstr>
      </vt:variant>
      <vt:variant>
        <vt:i4>1310778</vt:i4>
      </vt:variant>
      <vt:variant>
        <vt:i4>32</vt:i4>
      </vt:variant>
      <vt:variant>
        <vt:i4>0</vt:i4>
      </vt:variant>
      <vt:variant>
        <vt:i4>5</vt:i4>
      </vt:variant>
      <vt:variant>
        <vt:lpwstr/>
      </vt:variant>
      <vt:variant>
        <vt:lpwstr>_Toc231203912</vt:lpwstr>
      </vt:variant>
      <vt:variant>
        <vt:i4>1310778</vt:i4>
      </vt:variant>
      <vt:variant>
        <vt:i4>26</vt:i4>
      </vt:variant>
      <vt:variant>
        <vt:i4>0</vt:i4>
      </vt:variant>
      <vt:variant>
        <vt:i4>5</vt:i4>
      </vt:variant>
      <vt:variant>
        <vt:lpwstr/>
      </vt:variant>
      <vt:variant>
        <vt:lpwstr>_Toc231203911</vt:lpwstr>
      </vt:variant>
      <vt:variant>
        <vt:i4>1310778</vt:i4>
      </vt:variant>
      <vt:variant>
        <vt:i4>20</vt:i4>
      </vt:variant>
      <vt:variant>
        <vt:i4>0</vt:i4>
      </vt:variant>
      <vt:variant>
        <vt:i4>5</vt:i4>
      </vt:variant>
      <vt:variant>
        <vt:lpwstr/>
      </vt:variant>
      <vt:variant>
        <vt:lpwstr>_Toc231203910</vt:lpwstr>
      </vt:variant>
      <vt:variant>
        <vt:i4>1376314</vt:i4>
      </vt:variant>
      <vt:variant>
        <vt:i4>14</vt:i4>
      </vt:variant>
      <vt:variant>
        <vt:i4>0</vt:i4>
      </vt:variant>
      <vt:variant>
        <vt:i4>5</vt:i4>
      </vt:variant>
      <vt:variant>
        <vt:lpwstr/>
      </vt:variant>
      <vt:variant>
        <vt:lpwstr>_Toc231203909</vt:lpwstr>
      </vt:variant>
      <vt:variant>
        <vt:i4>1376314</vt:i4>
      </vt:variant>
      <vt:variant>
        <vt:i4>8</vt:i4>
      </vt:variant>
      <vt:variant>
        <vt:i4>0</vt:i4>
      </vt:variant>
      <vt:variant>
        <vt:i4>5</vt:i4>
      </vt:variant>
      <vt:variant>
        <vt:lpwstr/>
      </vt:variant>
      <vt:variant>
        <vt:lpwstr>_Toc231203908</vt:lpwstr>
      </vt:variant>
      <vt:variant>
        <vt:i4>1376314</vt:i4>
      </vt:variant>
      <vt:variant>
        <vt:i4>2</vt:i4>
      </vt:variant>
      <vt:variant>
        <vt:i4>0</vt:i4>
      </vt:variant>
      <vt:variant>
        <vt:i4>5</vt:i4>
      </vt:variant>
      <vt:variant>
        <vt:lpwstr/>
      </vt:variant>
      <vt:variant>
        <vt:lpwstr>_Toc231203907</vt:lpwstr>
      </vt:variant>
      <vt:variant>
        <vt:i4>2031738</vt:i4>
      </vt:variant>
      <vt:variant>
        <vt:i4>0</vt:i4>
      </vt:variant>
      <vt:variant>
        <vt:i4>0</vt:i4>
      </vt:variant>
      <vt:variant>
        <vt:i4>5</vt:i4>
      </vt:variant>
      <vt:variant>
        <vt:lpwstr>mailto:callum.campbell@smart-co.co.uk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Artyom Yarmashuk</dc:creator>
  <cp:keywords/>
  <dc:description/>
  <cp:lastModifiedBy>Artyom Yarmashuk</cp:lastModifiedBy>
  <cp:revision>8</cp:revision>
  <cp:lastPrinted>2026-03-22T09:32:00Z</cp:lastPrinted>
  <dcterms:created xsi:type="dcterms:W3CDTF">2026-06-03T19:45:00Z</dcterms:created>
  <dcterms:modified xsi:type="dcterms:W3CDTF">2026-06-03T20:43:00Z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1d8a85f1-29b9-469f-9c1d-7ac74f8afa46</vt:lpwstr>
  </property>
  <property fmtid="{D5CDD505-2E9C-101B-9397-08002B2CF9AE}" pid="3" name="ContentTypeId">
    <vt:lpwstr>0x0101000DC183ACA15C484A91AC8FF7965756FF</vt:lpwstr>
  </property>
  <property fmtid="{D5CDD505-2E9C-101B-9397-08002B2CF9AE}" pid="4" name="MediaServiceImageTags">
    <vt:lpwstr/>
  </property>
  <property fmtid="{D5CDD505-2E9C-101B-9397-08002B2CF9AE}" pid="5" name="Order">
    <vt:r8>74400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docLang">
    <vt:lpwstr>la</vt:lpwstr>
  </property>
</Properties>
</file>