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44"/>
          <w:szCs w:val="44"/>
        </w:rPr>
        <w:t xml:space="preserve">SpyKids</w:t>
      </w:r>
    </w:p>
    <w:p>
      <w:pPr>
        <w:spacing w:after="200"/>
      </w:pPr>
      <w:r>
        <w:rPr>
          <w:rFonts w:ascii="Calibri" w:cs="Calibri" w:eastAsia="Calibri" w:hAnsi="Calibri"/>
          <w:b/>
          <w:bCs/>
          <w:sz w:val="30"/>
          <w:szCs w:val="30"/>
        </w:rPr>
        <w:t xml:space="preserve">Phase 2 — Research / Project Proposal (First Draft)</w:t>
      </w:r>
    </w:p>
    <w:p>
      <w:pPr>
        <w:spacing w:after="40"/>
      </w:pPr>
      <w:r>
        <w:rPr>
          <w:rFonts w:ascii="Calibri" w:cs="Calibri" w:eastAsia="Calibri" w:hAnsi="Calibri"/>
          <w:i/>
          <w:iCs/>
          <w:sz w:val="20"/>
          <w:szCs w:val="20"/>
        </w:rPr>
        <w:t xml:space="preserve">DECO2850 / DECO7285 Studio 2 — Interaction Design, Semester 2 2026</w:t>
      </w:r>
    </w:p>
    <w:p>
      <w:pPr>
        <w:spacing w:after="40"/>
      </w:pPr>
      <w:r>
        <w:rPr>
          <w:rFonts w:ascii="Calibri" w:cs="Calibri" w:eastAsia="Calibri" w:hAnsi="Calibri"/>
          <w:i/>
          <w:iCs/>
          <w:sz w:val="20"/>
          <w:szCs w:val="20"/>
        </w:rPr>
        <w:t xml:space="preserve">Topic: Left-behind children (parental absence due to labour migration)</w:t>
      </w:r>
    </w:p>
    <w:p>
      <w:pPr>
        <w:pBdr>
          <w:bottom w:val="single" w:color="1F4E5F" w:sz="6" w:space="4"/>
        </w:pBdr>
        <w:spacing w:after="320"/>
      </w:pPr>
      <w:r>
        <w:rPr>
          <w:rFonts w:ascii="Calibri" w:cs="Calibri" w:eastAsia="Calibri" w:hAnsi="Calibri"/>
          <w:i/>
          <w:iCs/>
          <w:sz w:val="20"/>
          <w:szCs w:val="20"/>
        </w:rPr>
        <w:t xml:space="preserve">Team: SpyKids</w:t>
      </w:r>
    </w:p>
    <w:p>
      <w:pPr>
        <w:pStyle w:val="Heading1"/>
        <w:spacing w:after="160" w:before="320"/>
      </w:pPr>
      <w:r>
        <w:rPr>
          <w:rFonts w:ascii="Calibri" w:cs="Calibri" w:eastAsia="Calibri" w:hAnsi="Calibri"/>
          <w:b/>
          <w:bCs/>
        </w:rPr>
        <w:t xml:space="preserve">1. Purpose of This Document</w:t>
      </w:r>
    </w:p>
    <w:p>
      <w:pPr>
        <w:spacing w:after="160" w:line="276"/>
      </w:pPr>
      <w:r>
        <w:rPr>
          <w:rFonts w:ascii="Calibri" w:cs="Calibri" w:eastAsia="Calibri" w:hAnsi="Calibri"/>
          <w:b w:val="false"/>
          <w:bCs w:val="false"/>
          <w:i w:val="false"/>
          <w:iCs w:val="false"/>
          <w:sz w:val="22"/>
          <w:szCs w:val="22"/>
        </w:rPr>
        <w:t xml:space="preserve">This document is the first draft of the SpyKids Phase 2 Research / Project Proposal. It sits between the Phase 1 problem-identification work already completed (the Who / How / Why / Impact / Risks framing and the Project Plan) and the Phase 2 Research Plan, which already sets out the team's methods, ethics approach and triangulation strategy for primary data collection.</w:t>
      </w:r>
    </w:p>
    <w:p>
      <w:pPr>
        <w:spacing w:after="160" w:line="276"/>
      </w:pPr>
      <w:r>
        <w:rPr>
          <w:rFonts w:ascii="Calibri" w:cs="Calibri" w:eastAsia="Calibri" w:hAnsi="Calibri"/>
          <w:b w:val="false"/>
          <w:bCs w:val="false"/>
          <w:i w:val="false"/>
          <w:iCs w:val="false"/>
          <w:sz w:val="22"/>
          <w:szCs w:val="22"/>
        </w:rPr>
        <w:t xml:space="preserve">Where the existing Research Plan answers "how will we gather knowledge," this document answers a different and earlier question: "what does the literature already tell us, and where exactly should our research sit?" Its two jobs are to (1) carry the Phase 1 ideation forward into a literature review that tests and sharpens the team's assumptions, and (2) draw clear boundaries around the research scope before Phase 2 fieldwork begins, so that the team's — and each member's individual — Assessment 1 proposal is grounded in evidence rather than assumption.</w:t>
      </w:r>
    </w:p>
    <w:p>
      <w:pPr>
        <w:spacing w:after="160" w:line="276"/>
      </w:pPr>
      <w:r>
        <w:rPr>
          <w:rFonts w:ascii="Calibri" w:cs="Calibri" w:eastAsia="Calibri" w:hAnsi="Calibri"/>
          <w:b w:val="false"/>
          <w:bCs w:val="false"/>
          <w:i w:val="false"/>
          <w:iCs w:val="false"/>
          <w:sz w:val="22"/>
          <w:szCs w:val="22"/>
        </w:rPr>
        <w:t xml:space="preserve">This draft is written to directly feed the "Project Definition" and "Significance of Proposed Interaction" sections of Assessment 1, and to give the team a shared, citable foundation before Weeks 4–5 fieldwork starts.</w:t>
      </w:r>
    </w:p>
    <w:p>
      <w:pPr>
        <w:pStyle w:val="Heading1"/>
        <w:spacing w:after="160" w:before="320"/>
      </w:pPr>
      <w:r>
        <w:rPr>
          <w:rFonts w:ascii="Calibri" w:cs="Calibri" w:eastAsia="Calibri" w:hAnsi="Calibri"/>
          <w:b/>
          <w:bCs/>
        </w:rPr>
        <w:t xml:space="preserve">2. Phase 1 Ideation Carried Forward</w:t>
      </w:r>
    </w:p>
    <w:p>
      <w:pPr>
        <w:spacing w:after="160" w:line="276"/>
      </w:pPr>
      <w:r>
        <w:rPr>
          <w:rFonts w:ascii="Calibri" w:cs="Calibri" w:eastAsia="Calibri" w:hAnsi="Calibri"/>
          <w:b w:val="false"/>
          <w:bCs w:val="false"/>
          <w:i w:val="false"/>
          <w:iCs w:val="false"/>
          <w:sz w:val="22"/>
          <w:szCs w:val="22"/>
        </w:rPr>
        <w:t xml:space="preserve">The following was established during Phase 1 (Weeks 2–3) and is treated here as fixed input, not re-opened for debate:</w:t>
      </w:r>
    </w:p>
    <w:p>
      <w:pPr>
        <w:spacing w:after="16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does parental absence affect left-behind children's emotional wellbeing, guidance, and development — and what is actually needed to address this gap?</w:t>
      </w:r>
    </w:p>
    <w:p>
      <w:pPr>
        <w:spacing w:after="160" w:line="276"/>
      </w:pPr>
      <w:r>
        <w:rPr>
          <w:rFonts w:ascii="Calibri" w:cs="Calibri" w:eastAsia="Calibri" w:hAnsi="Calibri"/>
          <w:b w:val="false"/>
          <w:bCs w:val="false"/>
          <w:i w:val="false"/>
          <w:iCs w:val="false"/>
          <w:sz w:val="22"/>
          <w:szCs w:val="22"/>
        </w:rPr>
        <w:t xml:space="preserve">The team also carried forward an early working hypothesis that financial difficulty status is a key variable segmenting the problem — i.e. that the lived experience of left-behind children differs depending on whether migration is driven by acute financial hardship or by aspirational income-improvement. This hypothesis is tested against the literature in Section 3.3.</w:t>
      </w:r>
    </w:p>
    <w:p>
      <w:pPr>
        <w:pStyle w:val="Heading2"/>
        <w:spacing w:after="120" w:before="260"/>
      </w:pPr>
      <w:r>
        <w:rPr>
          <w:rFonts w:ascii="Calibri" w:cs="Calibri" w:eastAsia="Calibri" w:hAnsi="Calibri"/>
          <w:b/>
          <w:bCs/>
          <w:color w:val="1F4E5F"/>
        </w:rPr>
        <w:t xml:space="preserve">2.1 Five-Lens Framing (Phase 1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Lens</w:t>
            </w:r>
          </w:p>
        </w:tc>
        <w:tc>
          <w:tcPr>
            <w:tcW w:type="dxa" w:w="7850"/>
            <w:shd w:fill="1F4E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Phase 1 Framing</w:t>
            </w:r>
          </w:p>
        </w:tc>
      </w:tr>
      <w:tr>
        <w:tc>
          <w:tcPr>
            <w:tcW w:type="dxa" w:w="1500"/>
            <w:tcMar>
              <w:top w:type="dxa" w:w="100"/>
              <w:left w:type="dxa" w:w="120"/>
              <w:bottom w:type="dxa" w:w="100"/>
              <w:right w:type="dxa" w:w="120"/>
            </w:tcMar>
          </w:tcPr>
          <w:p>
            <w:pPr>
              <w:spacing w:after="0"/>
            </w:pPr>
            <w:r>
              <w:rPr>
                <w:rFonts w:ascii="Calibri" w:cs="Calibri" w:eastAsia="Calibri" w:hAnsi="Calibri"/>
                <w:b/>
                <w:bCs/>
                <w:sz w:val="20"/>
                <w:szCs w:val="20"/>
              </w:rPr>
              <w:t xml:space="preserve">Who</w:t>
            </w:r>
          </w:p>
        </w:tc>
        <w:tc>
          <w:tcPr>
            <w:tcW w:type="dxa" w:w="7850"/>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Left-behind children (primary); migrant parent(s); on-the-ground caregiver (grandparent, relative, or guardian); wider household and community.</w:t>
            </w:r>
          </w:p>
        </w:tc>
      </w:tr>
      <w:tr>
        <w:tc>
          <w:tcPr>
            <w:tcW w:type="dxa" w:w="1500"/>
            <w:tcMar>
              <w:top w:type="dxa" w:w="100"/>
              <w:left w:type="dxa" w:w="120"/>
              <w:bottom w:type="dxa" w:w="100"/>
              <w:right w:type="dxa" w:w="120"/>
            </w:tcMar>
          </w:tcPr>
          <w:p>
            <w:pPr>
              <w:spacing w:after="0"/>
            </w:pPr>
            <w:r>
              <w:rPr>
                <w:rFonts w:ascii="Calibri" w:cs="Calibri" w:eastAsia="Calibri" w:hAnsi="Calibri"/>
                <w:b/>
                <w:bCs/>
                <w:sz w:val="20"/>
                <w:szCs w:val="20"/>
              </w:rPr>
              <w:t xml:space="preserve">How</w:t>
            </w:r>
          </w:p>
        </w:tc>
        <w:tc>
          <w:tcPr>
            <w:tcW w:type="dxa" w:w="7850"/>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Circumstances of separation — labour migration for work, duration, distance, frequency of contact and return.</w:t>
            </w:r>
          </w:p>
        </w:tc>
      </w:tr>
      <w:tr>
        <w:tc>
          <w:tcPr>
            <w:tcW w:type="dxa" w:w="1500"/>
            <w:tcMar>
              <w:top w:type="dxa" w:w="100"/>
              <w:left w:type="dxa" w:w="120"/>
              <w:bottom w:type="dxa" w:w="100"/>
              <w:right w:type="dxa" w:w="120"/>
            </w:tcMar>
          </w:tcPr>
          <w:p>
            <w:pPr>
              <w:spacing w:after="0"/>
            </w:pPr>
            <w:r>
              <w:rPr>
                <w:rFonts w:ascii="Calibri" w:cs="Calibri" w:eastAsia="Calibri" w:hAnsi="Calibri"/>
                <w:b/>
                <w:bCs/>
                <w:sz w:val="20"/>
                <w:szCs w:val="20"/>
              </w:rPr>
              <w:t xml:space="preserve">Why</w:t>
            </w:r>
          </w:p>
        </w:tc>
        <w:tc>
          <w:tcPr>
            <w:tcW w:type="dxa" w:w="7850"/>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Underlying drivers — economic necessity, aspiration for family betterment, limited local employment.</w:t>
            </w:r>
          </w:p>
        </w:tc>
      </w:tr>
      <w:tr>
        <w:tc>
          <w:tcPr>
            <w:tcW w:type="dxa" w:w="1500"/>
            <w:tcMar>
              <w:top w:type="dxa" w:w="100"/>
              <w:left w:type="dxa" w:w="120"/>
              <w:bottom w:type="dxa" w:w="100"/>
              <w:right w:type="dxa" w:w="120"/>
            </w:tcMar>
          </w:tcPr>
          <w:p>
            <w:pPr>
              <w:spacing w:after="0"/>
            </w:pPr>
            <w:r>
              <w:rPr>
                <w:rFonts w:ascii="Calibri" w:cs="Calibri" w:eastAsia="Calibri" w:hAnsi="Calibri"/>
                <w:b/>
                <w:bCs/>
                <w:sz w:val="20"/>
                <w:szCs w:val="20"/>
              </w:rPr>
              <w:t xml:space="preserve">Impact</w:t>
            </w:r>
          </w:p>
        </w:tc>
        <w:tc>
          <w:tcPr>
            <w:tcW w:type="dxa" w:w="7850"/>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Downstream effects on emotional wellbeing, guidance, family harmony, and developmental outcomes.</w:t>
            </w:r>
          </w:p>
        </w:tc>
      </w:tr>
      <w:tr>
        <w:tc>
          <w:tcPr>
            <w:tcW w:type="dxa" w:w="1500"/>
            <w:tcMar>
              <w:top w:type="dxa" w:w="100"/>
              <w:left w:type="dxa" w:w="120"/>
              <w:bottom w:type="dxa" w:w="100"/>
              <w:right w:type="dxa" w:w="120"/>
            </w:tcMar>
          </w:tcPr>
          <w:p>
            <w:pPr>
              <w:spacing w:after="0"/>
            </w:pPr>
            <w:r>
              <w:rPr>
                <w:rFonts w:ascii="Calibri" w:cs="Calibri" w:eastAsia="Calibri" w:hAnsi="Calibri"/>
                <w:b/>
                <w:bCs/>
                <w:sz w:val="20"/>
                <w:szCs w:val="20"/>
              </w:rPr>
              <w:t xml:space="preserve">Risks</w:t>
            </w:r>
          </w:p>
        </w:tc>
        <w:tc>
          <w:tcPr>
            <w:tcW w:type="dxa" w:w="7850"/>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Open risks flagged in Phase 1, notably the risk of assuming a uniform experience across ages, genders and cultural contexts.</w:t>
            </w:r>
          </w:p>
        </w:tc>
      </w:tr>
    </w:tbl>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val="false"/>
          <w:iCs w:val="false"/>
          <w:sz w:val="22"/>
          <w:szCs w:val="22"/>
        </w:rPr>
        <w:t xml:space="preserve">Status: the team is now entering Phase 2 — Knowledge Gathering (Weeks 4–5). No solution or design specification has been introduced; this document remains strictly within problem-understanding and scoping.</w:t>
      </w:r>
    </w:p>
    <w:p>
      <w:pPr>
        <w:pStyle w:val="Heading1"/>
        <w:spacing w:after="160" w:before="320"/>
      </w:pPr>
      <w:r>
        <w:rPr>
          <w:rFonts w:ascii="Calibri" w:cs="Calibri" w:eastAsia="Calibri" w:hAnsi="Calibri"/>
          <w:b/>
          <w:bCs/>
        </w:rPr>
        <w:t xml:space="preserve">3. Literature Review</w:t>
      </w:r>
    </w:p>
    <w:p>
      <w:pPr>
        <w:spacing w:after="160" w:line="276"/>
      </w:pPr>
      <w:r>
        <w:rPr>
          <w:rFonts w:ascii="Calibri" w:cs="Calibri" w:eastAsia="Calibri" w:hAnsi="Calibri"/>
          <w:b w:val="false"/>
          <w:bCs w:val="false"/>
          <w:i w:val="false"/>
          <w:iCs w:val="false"/>
          <w:sz w:val="22"/>
          <w:szCs w:val="22"/>
        </w:rPr>
        <w:t xml:space="preserve">This review draws on peer-reviewed systematic reviews, meta-analyses, and primary studies to test each element of the Phase 1 framing against existing evidence, and to identify where an interaction-design contribution is actually warranted.</w:t>
      </w:r>
    </w:p>
    <w:p>
      <w:pPr>
        <w:pStyle w:val="Heading2"/>
        <w:spacing w:after="120" w:before="260"/>
      </w:pPr>
      <w:r>
        <w:rPr>
          <w:rFonts w:ascii="Calibri" w:cs="Calibri" w:eastAsia="Calibri" w:hAnsi="Calibri"/>
          <w:b/>
          <w:bCs/>
          <w:color w:val="1F4E5F"/>
        </w:rPr>
        <w:t xml:space="preserve">3.1 Prevalence and Definition</w:t>
      </w:r>
    </w:p>
    <w:p>
      <w:pPr>
        <w:spacing w:after="160" w:line="276"/>
      </w:pPr>
      <w:r>
        <w:rPr>
          <w:rFonts w:ascii="Calibri" w:cs="Calibri" w:eastAsia="Calibri" w:hAnsi="Calibri"/>
          <w:b w:val="false"/>
          <w:bCs w:val="false"/>
          <w:i w:val="false"/>
          <w:iCs w:val="false"/>
          <w:sz w:val="22"/>
          <w:szCs w:val="22"/>
        </w:rPr>
        <w:t xml:space="preserve">"Left-behind children" (LBC) is an established term in migration and public-health literature, referring to children who remain in their place of origin while one or both parents migrate for work, typically for six months or longer. The phenomenon is large in scale: global estimates put the number of LBC above 100 million, concentrated in low- and middle-income countries across Asia, Eastern Europe, Africa and Latin America. Most of the existing evidence base is drawn from internal rural-to-urban migration in China, with a smaller but growing body of work on international labour migration (e.g. the Philippines, Sri Lanka, Nepal, Ghana, and Eastern Europe). This is an important scope consideration for the team, addressed in Section 4.</w:t>
      </w:r>
    </w:p>
    <w:p>
      <w:pPr>
        <w:pStyle w:val="Heading2"/>
        <w:spacing w:after="120" w:before="260"/>
      </w:pPr>
      <w:r>
        <w:rPr>
          <w:rFonts w:ascii="Calibri" w:cs="Calibri" w:eastAsia="Calibri" w:hAnsi="Calibri"/>
          <w:b/>
          <w:bCs/>
          <w:color w:val="1F4E5F"/>
        </w:rPr>
        <w:t xml:space="preserve">3.2 Emotional and Psychological Impacts</w:t>
      </w:r>
    </w:p>
    <w:p>
      <w:pPr>
        <w:spacing w:after="160" w:line="276"/>
      </w:pPr>
      <w:r>
        <w:rPr>
          <w:rFonts w:ascii="Calibri" w:cs="Calibri" w:eastAsia="Calibri" w:hAnsi="Calibri"/>
          <w:b w:val="false"/>
          <w:bCs w:val="false"/>
          <w:i w:val="false"/>
          <w:iCs w:val="false"/>
          <w:sz w:val="22"/>
          <w:szCs w:val="22"/>
        </w:rPr>
        <w:t xml:space="preserve">A large-scale systematic review and meta-analysis of 111 studies covering close to 265,000 children found that left-behind children in low- and middle-income countries carry a significantly higher risk of depression, anxiety, conduct disorder, substance use and self-harm than children living with both parents. A separate systematic review focused specifically on international labour migration reached a similar conclusion, though it noted that outcomes vary meaningfully by region and are not uniformly negative — some studies report improved material wellbeing offsetting emotional cost, particularly where remittances materially raise household living standards.</w:t>
      </w:r>
    </w:p>
    <w:p>
      <w:pPr>
        <w:spacing w:after="160" w:line="276"/>
      </w:pPr>
      <w:r>
        <w:rPr>
          <w:rFonts w:ascii="Calibri" w:cs="Calibri" w:eastAsia="Calibri" w:hAnsi="Calibri"/>
          <w:b w:val="false"/>
          <w:bCs w:val="false"/>
          <w:i w:val="false"/>
          <w:iCs w:val="false"/>
          <w:sz w:val="22"/>
          <w:szCs w:val="22"/>
        </w:rPr>
        <w:t xml:space="preserve">Earlier clinical-style studies in China found abnormally high rates of emotional and behavioural problems among LBC compared with peers living with both parents, and a cross-cultural review of maternal migration specifically found that separation from a mother is associated with markedly higher reports of loneliness, anger and anxiety, consistent with attachment-theory explanations of the parent-child bond. These findings directly validate the "Impact" lens from Phase 1 and confirm emotional wellbeing as a well-evidenced, non-speculative problem space.</w:t>
      </w:r>
    </w:p>
    <w:p>
      <w:pPr>
        <w:pStyle w:val="Heading2"/>
        <w:spacing w:after="120" w:before="260"/>
      </w:pPr>
      <w:r>
        <w:rPr>
          <w:rFonts w:ascii="Calibri" w:cs="Calibri" w:eastAsia="Calibri" w:hAnsi="Calibri"/>
          <w:b/>
          <w:bCs/>
          <w:color w:val="1F4E5F"/>
        </w:rPr>
        <w:t xml:space="preserve">3.3 Moderating and Protective Factors</w:t>
      </w:r>
    </w:p>
    <w:p>
      <w:pPr>
        <w:spacing w:after="160" w:line="276"/>
      </w:pPr>
      <w:r>
        <w:rPr>
          <w:rFonts w:ascii="Calibri" w:cs="Calibri" w:eastAsia="Calibri" w:hAnsi="Calibri"/>
          <w:b w:val="false"/>
          <w:bCs w:val="false"/>
          <w:i w:val="false"/>
          <w:iCs w:val="false"/>
          <w:sz w:val="22"/>
          <w:szCs w:val="22"/>
        </w:rPr>
        <w:t xml:space="preserve">The literature does not treat LBC as a homogeneous group, which directly supports the Phase 1 "Risks" flag about assuming uniformity of experience. Several factors consistently moderate outcomes:</w:t>
      </w:r>
    </w:p>
    <w:p>
      <w:pPr>
        <w:pStyle w:val="ListParagraph"/>
        <w:numPr>
          <w:ilvl w:val="0"/>
          <w:numId w:val="2"/>
        </w:numPr>
        <w:spacing w:after="80" w:line="276"/>
      </w:pPr>
      <w:r>
        <w:rPr>
          <w:rFonts w:ascii="Calibri" w:cs="Calibri" w:eastAsia="Calibri" w:hAnsi="Calibri"/>
          <w:sz w:val="22"/>
          <w:szCs w:val="22"/>
        </w:rPr>
        <w:t xml:space="preserve">Communication quality and frequency: a large study of Chinese LBC found that children who experienced frequent, multichannel communication — combining technology-mediated contact with occasional face-to-face contact — showed mental health outcomes statistically indistinguishable from children who were never left behind, while children with infrequent or single-channel contact fared significantly worse.</w:t>
      </w:r>
    </w:p>
    <w:p>
      <w:pPr>
        <w:pStyle w:val="ListParagraph"/>
        <w:numPr>
          <w:ilvl w:val="0"/>
          <w:numId w:val="2"/>
        </w:numPr>
        <w:spacing w:after="80" w:line="276"/>
      </w:pPr>
      <w:r>
        <w:rPr>
          <w:rFonts w:ascii="Calibri" w:cs="Calibri" w:eastAsia="Calibri" w:hAnsi="Calibri"/>
          <w:sz w:val="22"/>
          <w:szCs w:val="22"/>
        </w:rPr>
        <w:t xml:space="preserve">Caregiving arrangement: quality of the substitute caregiving relationship (typically a grandparent) moderates emotional outcomes independently of parental absence itself.</w:t>
      </w:r>
    </w:p>
    <w:p>
      <w:pPr>
        <w:pStyle w:val="ListParagraph"/>
        <w:numPr>
          <w:ilvl w:val="0"/>
          <w:numId w:val="2"/>
        </w:numPr>
        <w:spacing w:after="80" w:line="276"/>
      </w:pPr>
      <w:r>
        <w:rPr>
          <w:rFonts w:ascii="Calibri" w:cs="Calibri" w:eastAsia="Calibri" w:hAnsi="Calibri"/>
          <w:sz w:val="22"/>
          <w:szCs w:val="22"/>
        </w:rPr>
        <w:t xml:space="preserve">Household financial status: findings are mixed rather than uniformly negative — remittances can improve nutrition, material security and school access, partially offsetting emotional cost, which complicates (without disproving) the team's working hypothesis that financial hardship is the key segmenting variable. The evidence instead suggests financial status interacts with — rather than substitutes for — the quality and frequency of parent-child contact.</w:t>
      </w:r>
    </w:p>
    <w:p>
      <w:pPr>
        <w:pStyle w:val="ListParagraph"/>
        <w:numPr>
          <w:ilvl w:val="0"/>
          <w:numId w:val="2"/>
        </w:numPr>
        <w:spacing w:after="80" w:line="276"/>
      </w:pPr>
      <w:r>
        <w:rPr>
          <w:rFonts w:ascii="Calibri" w:cs="Calibri" w:eastAsia="Calibri" w:hAnsi="Calibri"/>
          <w:sz w:val="22"/>
          <w:szCs w:val="22"/>
        </w:rPr>
        <w:t xml:space="preserve">Age and duration: younger children (roughly ages 6–12) and those experiencing longer, more prolonged separation appear to be at greater risk than adolescents or those with shorter separations.</w:t>
      </w:r>
    </w:p>
    <w:p>
      <w:pPr>
        <w:spacing w:after="160" w:line="276"/>
      </w:pPr>
      <w:r>
        <w:rPr>
          <w:rFonts w:ascii="Calibri" w:cs="Calibri" w:eastAsia="Calibri" w:hAnsi="Calibri"/>
          <w:b w:val="false"/>
          <w:bCs w:val="false"/>
          <w:i w:val="false"/>
          <w:iCs w:val="false"/>
          <w:sz w:val="22"/>
          <w:szCs w:val="22"/>
        </w:rPr>
        <w:t xml:space="preserve">This section suggests the team's working hypothesis should be refined rather than discarded: financial difficulty status is a real and evidenced factor, but the literature more strongly and more consistently points to communication quality and caregiving quality as the dominant moderating variables — which is also the area where an interaction-design intervention has the most plausible leverage.</w:t>
      </w:r>
    </w:p>
    <w:p>
      <w:pPr>
        <w:pStyle w:val="Heading2"/>
        <w:spacing w:after="120" w:before="260"/>
      </w:pPr>
      <w:r>
        <w:rPr>
          <w:rFonts w:ascii="Calibri" w:cs="Calibri" w:eastAsia="Calibri" w:hAnsi="Calibri"/>
          <w:b/>
          <w:bCs/>
          <w:color w:val="1F4E5F"/>
        </w:rPr>
        <w:t xml:space="preserve">3.4 Existing Interventions and Technology-Mediated Communication</w:t>
      </w:r>
    </w:p>
    <w:p>
      <w:pPr>
        <w:spacing w:after="160" w:line="276"/>
      </w:pPr>
      <w:r>
        <w:rPr>
          <w:rFonts w:ascii="Calibri" w:cs="Calibri" w:eastAsia="Calibri" w:hAnsi="Calibri"/>
          <w:b w:val="false"/>
          <w:bCs w:val="false"/>
          <w:i w:val="false"/>
          <w:iCs w:val="false"/>
          <w:sz w:val="22"/>
          <w:szCs w:val="22"/>
        </w:rPr>
        <w:t xml:space="preserve">This subsection is the most directly relevant to an interaction design studio project, since it moves the review from public-health outcomes toward design-relevant precedent.</w:t>
      </w:r>
    </w:p>
    <w:p>
      <w:pPr>
        <w:spacing w:after="160" w:line="276"/>
      </w:pPr>
      <w:r>
        <w:rPr>
          <w:rFonts w:ascii="Calibri" w:cs="Calibri" w:eastAsia="Calibri" w:hAnsi="Calibri"/>
          <w:b w:val="false"/>
          <w:bCs w:val="false"/>
          <w:i w:val="false"/>
          <w:iCs w:val="false"/>
          <w:sz w:val="22"/>
          <w:szCs w:val="22"/>
        </w:rPr>
        <w:t xml:space="preserve">On the intervention side, a community-based programme in rural China (physical "Children's Centres" offering supervised activities and peer support) produced measurable one-year improvements in psychosocial wellbeing and school performance for LBC, demonstrating that structured, non-clinical, community-level support is a viable and effective category of response — not only medical or policy-level intervention.</w:t>
      </w:r>
    </w:p>
    <w:p>
      <w:pPr>
        <w:spacing w:after="160" w:line="276"/>
      </w:pPr>
      <w:r>
        <w:rPr>
          <w:rFonts w:ascii="Calibri" w:cs="Calibri" w:eastAsia="Calibri" w:hAnsi="Calibri"/>
          <w:b w:val="false"/>
          <w:bCs w:val="false"/>
          <w:i w:val="false"/>
          <w:iCs w:val="false"/>
          <w:sz w:val="22"/>
          <w:szCs w:val="22"/>
        </w:rPr>
        <w:t xml:space="preserve">On the technology side, a growing HCI and communication-studies literature examines how migrant families use everyday tools — phone calls, video calls, and messaging apps — to sustain the parent-child relationship across distance. Foundational work on "mobile phone parenting" describes how migrant mothers use mobile technology to reconfigure, rather than replace, parenting practices from a distance. Within HCI specifically, prior work on supporting parent-child communication in geographically or relationally separated families (for example, families separated by divorce) has explored media spaces and remote synchronous interaction as design targets, establishing a design precedent for the kind of interaction the SpyKids team could investigate. Combined with the finding in Section 3.3 that multichannel communication is protective, this literature suggests that the interaction design opportunity is less about proving that technology can help — that is already evidenced — and more about how a tool for this specific population should be designed: for asynchronous versus synchronous contact, for the child's agency versus the parent's, and for the caregiver's role in mediating the exchange.</w:t>
      </w:r>
    </w:p>
    <w:p>
      <w:pPr>
        <w:pStyle w:val="Heading2"/>
        <w:spacing w:after="120" w:before="260"/>
      </w:pPr>
      <w:r>
        <w:rPr>
          <w:rFonts w:ascii="Calibri" w:cs="Calibri" w:eastAsia="Calibri" w:hAnsi="Calibri"/>
          <w:b/>
          <w:bCs/>
          <w:color w:val="1F4E5F"/>
        </w:rPr>
        <w:t xml:space="preserve">3.5 Gaps in the Literature</w:t>
      </w:r>
    </w:p>
    <w:p>
      <w:pPr>
        <w:spacing w:after="160" w:line="276"/>
      </w:pPr>
      <w:r>
        <w:rPr>
          <w:rFonts w:ascii="Calibri" w:cs="Calibri" w:eastAsia="Calibri" w:hAnsi="Calibri"/>
          <w:b w:val="false"/>
          <w:bCs w:val="false"/>
          <w:i w:val="false"/>
          <w:iCs w:val="false"/>
          <w:sz w:val="22"/>
          <w:szCs w:val="22"/>
        </w:rPr>
        <w:t xml:space="preserve">Three consistent gaps emerge across the reviewed literature, and each directly shapes the SpyKids research scope in Section 4:</w:t>
      </w:r>
    </w:p>
    <w:p>
      <w:pPr>
        <w:pStyle w:val="ListParagraph"/>
        <w:numPr>
          <w:ilvl w:val="0"/>
          <w:numId w:val="2"/>
        </w:numPr>
        <w:spacing w:after="80" w:line="276"/>
      </w:pPr>
      <w:r>
        <w:rPr>
          <w:rFonts w:ascii="Calibri" w:cs="Calibri" w:eastAsia="Calibri" w:hAnsi="Calibri"/>
          <w:sz w:val="22"/>
          <w:szCs w:val="22"/>
        </w:rPr>
        <w:t xml:space="preserve">Outcome-heavy, solution-light: the literature is dominated by epidemiological and psychological outcome studies (prevalence, risk ratios, correlations) and comparatively thin on evaluated, everyday, non-clinical support tools — particularly ones designed around the child's own agency rather than the parent's or the researcher's.</w:t>
      </w:r>
    </w:p>
    <w:p>
      <w:pPr>
        <w:pStyle w:val="ListParagraph"/>
        <w:numPr>
          <w:ilvl w:val="0"/>
          <w:numId w:val="2"/>
        </w:numPr>
        <w:spacing w:after="80" w:line="276"/>
      </w:pPr>
      <w:r>
        <w:rPr>
          <w:rFonts w:ascii="Calibri" w:cs="Calibri" w:eastAsia="Calibri" w:hAnsi="Calibri"/>
          <w:sz w:val="22"/>
          <w:szCs w:val="22"/>
        </w:rPr>
        <w:t xml:space="preserve">Geographic concentration: the evidence base is heavily weighted toward China and, secondarily, Southeast Asia; the team should be explicit about which cultural context (or contexts) its research scope will draw on rather than treating findings as universally generalisable.</w:t>
      </w:r>
    </w:p>
    <w:p>
      <w:pPr>
        <w:pStyle w:val="ListParagraph"/>
        <w:numPr>
          <w:ilvl w:val="0"/>
          <w:numId w:val="2"/>
        </w:numPr>
        <w:spacing w:after="80" w:line="276"/>
      </w:pPr>
      <w:r>
        <w:rPr>
          <w:rFonts w:ascii="Calibri" w:cs="Calibri" w:eastAsia="Calibri" w:hAnsi="Calibri"/>
          <w:sz w:val="22"/>
          <w:szCs w:val="22"/>
        </w:rPr>
        <w:t xml:space="preserve">Caregiver and child perspective under-represented in design research: most technology-focused studies centre the migrant parent's use of communication tools; comparatively few study the left-behind child's or on-the-ground caregiver's experience of the same technology, which is precisely the gap the team's stated "Who" lens (children, caregivers, wider household) is positioned to address.</w:t>
      </w:r>
    </w:p>
    <w:p>
      <w:pPr>
        <w:pStyle w:val="Heading1"/>
        <w:spacing w:after="160" w:before="320"/>
      </w:pPr>
      <w:r>
        <w:rPr>
          <w:rFonts w:ascii="Calibri" w:cs="Calibri" w:eastAsia="Calibri" w:hAnsi="Calibri"/>
          <w:b/>
          <w:bCs/>
        </w:rPr>
        <w:t xml:space="preserve">4. Defining the Research Scope — Boundaries for Phase 2</w:t>
      </w:r>
    </w:p>
    <w:p>
      <w:pPr>
        <w:spacing w:after="160" w:line="276"/>
      </w:pPr>
      <w:r>
        <w:rPr>
          <w:rFonts w:ascii="Calibri" w:cs="Calibri" w:eastAsia="Calibri" w:hAnsi="Calibri"/>
          <w:b w:val="false"/>
          <w:bCs w:val="false"/>
          <w:i w:val="false"/>
          <w:iCs w:val="false"/>
          <w:sz w:val="22"/>
          <w:szCs w:val="22"/>
        </w:rPr>
        <w:t xml:space="preserve">Before fieldwork begins, the team needs an explicit, literature-backed boundary around what this project will and will not investigate. This is the answer to the ambiguity that motivated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In Scope</w:t>
            </w:r>
          </w:p>
        </w:tc>
        <w:tc>
          <w:tcPr>
            <w:tcW w:type="dxa" w:w="4675"/>
            <w:shd w:fill="1F4E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Out of Scope</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Emotional wellbeing, guidance, and everyday parent–child connection during separation (aligned to the Phase 1 research question).</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Clinical diagnosis, treatment, or therapy for depression, anxiety or other mental-health conditions.</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Children broadly aged 6–17, recognising the literature's finding that risk and needs differ meaningfully by age band.</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Infants and toddlers (under 6), and adult "left-behind" family members (e.g. left-behind spouses or elderly parents), which fall under a related but distinct body of literature.</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The communication and caregiving relationship as the primary design lever, consistent with Section 3.3's finding that this is the strongest evidenced moderating factor.</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Household income generation, remittance management, or migration-policy advocacy — these are real factors but sit outside an interaction-design response.</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Labour migration for work as the cause of separation (matching the Phase 1 "How" framing).</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Separation due to divorce, incarceration, deployment, or forced displacement — related but distinct literatures with different dynamics.</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Secondary literature, adult-intermediary interviews (caregivers, educators, NGO/community workers), and online ethnography, per the existing Research Plan's ethical strategy.</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Direct primary research contact with children as research participants, given the ethical sensitivity of a vulnerable minor population.</w:t>
            </w:r>
          </w:p>
        </w:tc>
      </w:tr>
      <w:tr>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A primary cultural/geographic anchor to be agreed by the team (e.g. one or two regions) for depth, with awareness that most existing evidence is China-centred.</w:t>
            </w:r>
          </w:p>
        </w:tc>
        <w:tc>
          <w:tcPr>
            <w:tcW w:type="dxa" w:w="4675"/>
            <w:tcMar>
              <w:top w:type="dxa" w:w="100"/>
              <w:left w:type="dxa" w:w="120"/>
              <w:bottom w:type="dxa" w:w="100"/>
              <w:right w:type="dxa" w:w="120"/>
            </w:tcMar>
          </w:tcPr>
          <w:p>
            <w:pPr>
              <w:spacing w:after="0"/>
            </w:pPr>
            <w:r>
              <w:rPr>
                <w:rFonts w:ascii="Calibri" w:cs="Calibri" w:eastAsia="Calibri" w:hAnsi="Calibri"/>
                <w:b w:val="false"/>
                <w:bCs w:val="false"/>
                <w:sz w:val="20"/>
                <w:szCs w:val="20"/>
              </w:rPr>
              <w:t xml:space="preserve">Claiming findings are universally generalisable across all cultural contexts of left-behind childhood.</w:t>
            </w:r>
          </w:p>
        </w:tc>
      </w:tr>
    </w:tbl>
    <w:p>
      <w:pPr>
        <w:spacing w:after="160" w:line="276"/>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val="false"/>
          <w:bCs w:val="false"/>
          <w:i w:val="false"/>
          <w:iCs w:val="false"/>
          <w:sz w:val="22"/>
          <w:szCs w:val="22"/>
        </w:rPr>
        <w:t xml:space="preserve">This scope should be treated as a live boundary: it can be revisited at the Phase 2 synthesis checkpoint (end of Weeks 4–5) once fieldwork findings are in, but any change should be a deliberate team decision, not scope drift.</w:t>
      </w:r>
    </w:p>
    <w:p>
      <w:pPr>
        <w:pStyle w:val="Heading1"/>
        <w:spacing w:after="160" w:before="320"/>
      </w:pPr>
      <w:r>
        <w:rPr>
          <w:rFonts w:ascii="Calibri" w:cs="Calibri" w:eastAsia="Calibri" w:hAnsi="Calibri"/>
          <w:b/>
          <w:bCs/>
        </w:rPr>
        <w:t xml:space="preserve">5. Refined Sub-Questions (Literature-Informed)</w:t>
      </w:r>
    </w:p>
    <w:p>
      <w:pPr>
        <w:spacing w:after="160" w:line="276"/>
      </w:pPr>
      <w:r>
        <w:rPr>
          <w:rFonts w:ascii="Calibri" w:cs="Calibri" w:eastAsia="Calibri" w:hAnsi="Calibri"/>
          <w:b w:val="false"/>
          <w:bCs w:val="false"/>
          <w:i w:val="false"/>
          <w:iCs w:val="false"/>
          <w:sz w:val="22"/>
          <w:szCs w:val="22"/>
        </w:rPr>
        <w:t xml:space="preserve">The Phase 1 five-lens sub-questions are refined below to reflect what the literature review confirmed, complicated, or left open. These refined questions are what Phase 2 fieldwork (interviews, ethnography, artefact analysis per the Research Plan) should actually be answering.</w:t>
      </w:r>
    </w:p>
    <w:p>
      <w:pPr>
        <w:pStyle w:val="ListParagraph"/>
        <w:numPr>
          <w:ilvl w:val="0"/>
          <w:numId w:val="2"/>
        </w:numPr>
        <w:spacing w:after="80" w:line="276"/>
      </w:pPr>
      <w:r>
        <w:rPr>
          <w:rFonts w:ascii="Calibri" w:cs="Calibri" w:eastAsia="Calibri" w:hAnsi="Calibri"/>
          <w:sz w:val="22"/>
          <w:szCs w:val="22"/>
        </w:rPr>
        <w:t xml:space="preserve">Who: Beyond the child and migrant parent, how does the on-the-ground caregiver's role and communication style shape the child's day-to-day emotional experience?</w:t>
      </w:r>
    </w:p>
    <w:p>
      <w:pPr>
        <w:pStyle w:val="ListParagraph"/>
        <w:numPr>
          <w:ilvl w:val="0"/>
          <w:numId w:val="2"/>
        </w:numPr>
        <w:spacing w:after="80" w:line="276"/>
      </w:pPr>
      <w:r>
        <w:rPr>
          <w:rFonts w:ascii="Calibri" w:cs="Calibri" w:eastAsia="Calibri" w:hAnsi="Calibri"/>
          <w:sz w:val="22"/>
          <w:szCs w:val="22"/>
        </w:rPr>
        <w:t xml:space="preserve">How: What communication patterns (channel, frequency, synchronicity) currently exist between migrant parents and their children, and which of these patterns do children and caregivers themselves describe as meaningful versus hollow?</w:t>
      </w:r>
    </w:p>
    <w:p>
      <w:pPr>
        <w:pStyle w:val="ListParagraph"/>
        <w:numPr>
          <w:ilvl w:val="0"/>
          <w:numId w:val="2"/>
        </w:numPr>
        <w:spacing w:after="80" w:line="276"/>
      </w:pPr>
      <w:r>
        <w:rPr>
          <w:rFonts w:ascii="Calibri" w:cs="Calibri" w:eastAsia="Calibri" w:hAnsi="Calibri"/>
          <w:sz w:val="22"/>
          <w:szCs w:val="22"/>
        </w:rPr>
        <w:t xml:space="preserve">Why: How does the team's target population's motivation for migration (financial necessity versus aspirational betterment) actually relate to the quality of the parent–child relationship that is maintained — testing rather than assuming the financial-difficulty hypothesis?</w:t>
      </w:r>
    </w:p>
    <w:p>
      <w:pPr>
        <w:pStyle w:val="ListParagraph"/>
        <w:numPr>
          <w:ilvl w:val="0"/>
          <w:numId w:val="2"/>
        </w:numPr>
        <w:spacing w:after="80" w:line="276"/>
      </w:pPr>
      <w:r>
        <w:rPr>
          <w:rFonts w:ascii="Calibri" w:cs="Calibri" w:eastAsia="Calibri" w:hAnsi="Calibri"/>
          <w:sz w:val="22"/>
          <w:szCs w:val="22"/>
        </w:rPr>
        <w:t xml:space="preserve">Impact: Which specific, everyday moments of guidance and connection (not clinical symptoms) are children and caregivers describing as missing or difficult — the moments an interaction design response could plausibly support?</w:t>
      </w:r>
    </w:p>
    <w:p>
      <w:pPr>
        <w:pStyle w:val="ListParagraph"/>
        <w:numPr>
          <w:ilvl w:val="0"/>
          <w:numId w:val="2"/>
        </w:numPr>
        <w:spacing w:after="80" w:line="276"/>
      </w:pPr>
      <w:r>
        <w:rPr>
          <w:rFonts w:ascii="Calibri" w:cs="Calibri" w:eastAsia="Calibri" w:hAnsi="Calibri"/>
          <w:sz w:val="22"/>
          <w:szCs w:val="22"/>
        </w:rPr>
        <w:t xml:space="preserve">Risks: What does "support" mean to the people actually living this experience, and where might a well-intentioned technology intervention create new burdens (surveillance, guilt, disrupted routines) rather than relieve existing ones?</w:t>
      </w:r>
    </w:p>
    <w:p>
      <w:pPr>
        <w:pStyle w:val="Heading1"/>
        <w:spacing w:after="160" w:before="320"/>
      </w:pPr>
      <w:r>
        <w:rPr>
          <w:rFonts w:ascii="Calibri" w:cs="Calibri" w:eastAsia="Calibri" w:hAnsi="Calibri"/>
          <w:b/>
          <w:bCs/>
        </w:rPr>
        <w:t xml:space="preserve">6. Positioning of the SpyKids Project</w:t>
      </w:r>
    </w:p>
    <w:p>
      <w:pPr>
        <w:spacing w:after="160" w:line="276"/>
      </w:pPr>
      <w:r>
        <w:rPr>
          <w:rFonts w:ascii="Calibri" w:cs="Calibri" w:eastAsia="Calibri" w:hAnsi="Calibri"/>
          <w:b w:val="false"/>
          <w:bCs w:val="false"/>
          <w:i w:val="false"/>
          <w:iCs w:val="false"/>
          <w:sz w:val="22"/>
          <w:szCs w:val="22"/>
        </w:rPr>
        <w:t xml:space="preserve">The literature review identifies a specific and defensible gap for this project to occupy: the evidence base robustly establishes that left-behind children are at elevated emotional risk, and separately establishes that communication quality is a strong protective factor — but it does not yet offer well-evaluated, child-centred, everyday interaction design responses built around that finding, particularly outside the dominant Chinese research context.</w:t>
      </w:r>
    </w:p>
    <w:p>
      <w:pPr>
        <w:spacing w:after="160" w:line="276"/>
      </w:pPr>
      <w:r>
        <w:rPr>
          <w:rFonts w:ascii="Calibri" w:cs="Calibri" w:eastAsia="Calibri" w:hAnsi="Calibri"/>
          <w:b w:val="false"/>
          <w:bCs w:val="false"/>
          <w:i w:val="false"/>
          <w:iCs w:val="false"/>
          <w:sz w:val="22"/>
          <w:szCs w:val="22"/>
        </w:rPr>
        <w:t xml:space="preserve">SpyKids is therefore positioned not to prove that parental absence affects wellbeing (already well evidenced) and not to build a clinical or therapeutic intervention (out of scope and outside the team's expertise), but to explore how everyday interaction design can support the quality and meaning of parent–child connection across distance — for the child, not only the parent — while treating the caregiver as a legitimate and necessary third party in that relationship, rather than an obstacle to route around.</w:t>
      </w:r>
    </w:p>
    <w:p>
      <w:pPr>
        <w:spacing w:after="160" w:line="276"/>
      </w:pPr>
      <w:r>
        <w:rPr>
          <w:rFonts w:ascii="Calibri" w:cs="Calibri" w:eastAsia="Calibri" w:hAnsi="Calibri"/>
          <w:b w:val="false"/>
          <w:bCs w:val="false"/>
          <w:i w:val="false"/>
          <w:iCs w:val="false"/>
          <w:sz w:val="22"/>
          <w:szCs w:val="22"/>
        </w:rPr>
        <w:t xml:space="preserve">This framing gives each team member a literature-backed answer to Assessment 1's Project Definition and Significance of Proposed Interaction criteria, without pre-committing the team to a specific design solution before Phase 2 fieldwork is complete.</w:t>
      </w:r>
    </w:p>
    <w:p>
      <w:pPr>
        <w:pStyle w:val="Heading1"/>
        <w:spacing w:after="160" w:before="320"/>
      </w:pPr>
      <w:r>
        <w:rPr>
          <w:rFonts w:ascii="Calibri" w:cs="Calibri" w:eastAsia="Calibri" w:hAnsi="Calibri"/>
          <w:b/>
          <w:bCs/>
        </w:rPr>
        <w:t xml:space="preserve">7. Next Steps into Phase 2 Fieldwork</w:t>
      </w:r>
    </w:p>
    <w:p>
      <w:pPr>
        <w:spacing w:after="160" w:line="276"/>
      </w:pPr>
      <w:r>
        <w:rPr>
          <w:rFonts w:ascii="Calibri" w:cs="Calibri" w:eastAsia="Calibri" w:hAnsi="Calibri"/>
          <w:b w:val="false"/>
          <w:bCs w:val="false"/>
          <w:i w:val="false"/>
          <w:iCs w:val="false"/>
          <w:sz w:val="22"/>
          <w:szCs w:val="22"/>
        </w:rPr>
        <w:t xml:space="preserve">This document sets the boundary and the evidence base; it does not replace the existing SpyKids Research Plan, which remains the authoritative source for the Phase 2 suite of methods (contextual inquiry, rapid ethnography, digital ethnography, mapping, object inventory), the participant/source strategy, and the ethics documentation required given the vulnerable-population sensitivity of this topic.</w:t>
      </w:r>
    </w:p>
    <w:p>
      <w:pPr>
        <w:pStyle w:val="ListParagraph"/>
        <w:numPr>
          <w:ilvl w:val="0"/>
          <w:numId w:val="2"/>
        </w:numPr>
        <w:spacing w:after="80" w:line="276"/>
      </w:pPr>
      <w:r>
        <w:rPr>
          <w:rFonts w:ascii="Calibri" w:cs="Calibri" w:eastAsia="Calibri" w:hAnsi="Calibri"/>
          <w:sz w:val="22"/>
          <w:szCs w:val="22"/>
        </w:rPr>
        <w:t xml:space="preserve">Circulate this draft to the team for review against the existing Research Plan and Project Plan before Week 4 fieldwork begins.</w:t>
      </w:r>
    </w:p>
    <w:p>
      <w:pPr>
        <w:pStyle w:val="ListParagraph"/>
        <w:numPr>
          <w:ilvl w:val="0"/>
          <w:numId w:val="2"/>
        </w:numPr>
        <w:spacing w:after="80" w:line="276"/>
      </w:pPr>
      <w:r>
        <w:rPr>
          <w:rFonts w:ascii="Calibri" w:cs="Calibri" w:eastAsia="Calibri" w:hAnsi="Calibri"/>
          <w:sz w:val="22"/>
          <w:szCs w:val="22"/>
        </w:rPr>
        <w:t xml:space="preserve">Agree the specific geographic/cultural anchor referenced in Section 4 as a team decision.</w:t>
      </w:r>
    </w:p>
    <w:p>
      <w:pPr>
        <w:pStyle w:val="ListParagraph"/>
        <w:numPr>
          <w:ilvl w:val="0"/>
          <w:numId w:val="2"/>
        </w:numPr>
        <w:spacing w:after="80" w:line="276"/>
      </w:pPr>
      <w:r>
        <w:rPr>
          <w:rFonts w:ascii="Calibri" w:cs="Calibri" w:eastAsia="Calibri" w:hAnsi="Calibri"/>
          <w:sz w:val="22"/>
          <w:szCs w:val="22"/>
        </w:rPr>
        <w:t xml:space="preserve">Use the refined sub-questions in Section 5 to sharpen interview guides and ethnography prompts already being developed under the Research Plan.</w:t>
      </w:r>
    </w:p>
    <w:p>
      <w:pPr>
        <w:pStyle w:val="ListParagraph"/>
        <w:numPr>
          <w:ilvl w:val="0"/>
          <w:numId w:val="2"/>
        </w:numPr>
        <w:spacing w:after="80" w:line="276"/>
      </w:pPr>
      <w:r>
        <w:rPr>
          <w:rFonts w:ascii="Calibri" w:cs="Calibri" w:eastAsia="Calibri" w:hAnsi="Calibri"/>
          <w:sz w:val="22"/>
          <w:szCs w:val="22"/>
        </w:rPr>
        <w:t xml:space="preserve">Revisit the scope table at the Weeks 4–5 synthesis checkpoint once fieldwork data starts coming in.</w:t>
      </w:r>
    </w:p>
    <w:p>
      <w:pPr>
        <w:pStyle w:val="ListParagraph"/>
        <w:numPr>
          <w:ilvl w:val="0"/>
          <w:numId w:val="2"/>
        </w:numPr>
        <w:spacing w:after="80" w:line="276"/>
      </w:pPr>
      <w:r>
        <w:rPr>
          <w:rFonts w:ascii="Calibri" w:cs="Calibri" w:eastAsia="Calibri" w:hAnsi="Calibri"/>
          <w:sz w:val="22"/>
          <w:szCs w:val="22"/>
        </w:rPr>
        <w:t xml:space="preserve">Each member drafts their individual Assessment 1 Project Definition and Significance of Proposed Interaction sections from this shared foundation, due 7 September 2026.</w:t>
      </w:r>
    </w:p>
    <w:p>
      <w:r>
        <w:br w:type="page"/>
      </w:r>
    </w:p>
    <w:p>
      <w:pPr>
        <w:pStyle w:val="Heading1"/>
        <w:spacing w:after="160" w:before="320"/>
      </w:pPr>
      <w:r>
        <w:rPr>
          <w:rFonts w:ascii="Calibri" w:cs="Calibri" w:eastAsia="Calibri" w:hAnsi="Calibri"/>
          <w:b/>
          <w:bCs/>
        </w:rPr>
        <w:t xml:space="preserve">References</w:t>
      </w:r>
    </w:p>
    <w:p>
      <w:pPr>
        <w:spacing w:after="160" w:line="276"/>
        <w:ind w:left="720" w:hanging="720"/>
      </w:pPr>
      <w:r>
        <w:rPr>
          <w:rFonts w:ascii="Calibri" w:cs="Calibri" w:eastAsia="Calibri" w:hAnsi="Calibri"/>
          <w:sz w:val="22"/>
          <w:szCs w:val="22"/>
        </w:rPr>
        <w:t xml:space="preserve">Al-Azzeh, D., &amp; Diab, J. L. (2025). Psychological impacts of maternal migration on left-behind children: A cross-cultural review. Frontiers in Psychology, 15, Article 1407733. https://doi.org/10.3389/fpsyg.2024.1407733</w:t>
      </w:r>
    </w:p>
    <w:p>
      <w:pPr>
        <w:spacing w:after="160" w:line="276"/>
        <w:ind w:left="720" w:hanging="720"/>
      </w:pPr>
      <w:r>
        <w:rPr>
          <w:rFonts w:ascii="Calibri" w:cs="Calibri" w:eastAsia="Calibri" w:hAnsi="Calibri"/>
          <w:sz w:val="22"/>
          <w:szCs w:val="22"/>
        </w:rPr>
        <w:t xml:space="preserve">Antia, K., Boucsein, J., Deckert, A., Dambach, P., Račaitė, J., Šurkienė, G., Jaenisch, T., Horstick, O., &amp; Winkler, V. (2020). Effects of international labour migration on the mental health and well-being of left-behind children: A systematic literature review. International Journal of Environmental Research and Public Health, 17(12), Article 4335. https://doi.org/10.3390/ijerph17124335</w:t>
      </w:r>
    </w:p>
    <w:p>
      <w:pPr>
        <w:spacing w:after="160" w:line="276"/>
        <w:ind w:left="720" w:hanging="720"/>
      </w:pPr>
      <w:r>
        <w:rPr>
          <w:rFonts w:ascii="Calibri" w:cs="Calibri" w:eastAsia="Calibri" w:hAnsi="Calibri"/>
          <w:sz w:val="22"/>
          <w:szCs w:val="22"/>
        </w:rPr>
        <w:t xml:space="preserve">Fan, F., Su, L., Gill, M. K., &amp; Birmaher, B. (2010). Emotional and behavioral problems of Chinese left-behind children: A preliminary study. Social Psychiatry and Psychiatric Epidemiology, 45(6), 655–664. https://doi.org/10.1007/s00127-009-0107-4</w:t>
      </w:r>
    </w:p>
    <w:p>
      <w:pPr>
        <w:spacing w:after="160" w:line="276"/>
        <w:ind w:left="720" w:hanging="720"/>
      </w:pPr>
      <w:r>
        <w:rPr>
          <w:rFonts w:ascii="Calibri" w:cs="Calibri" w:eastAsia="Calibri" w:hAnsi="Calibri"/>
          <w:sz w:val="22"/>
          <w:szCs w:val="22"/>
        </w:rPr>
        <w:t xml:space="preserve">Fellmeth, G., Rose-Clarke, K., Zhao, C., Busert, L. K., Zheng, Y., Massazza, A., Sonmez, H., Eder, B., Blewitt, A., Lertgrai, W., Orcutt, M., Ricci, K., Mohamed-Ahmed, O., Burns, R., Knipe, D., Hargreaves, S., Hesketh, T., Opondo, C., &amp; Devakumar, D. (2018). Health impacts of parental migration on left-behind children and adolescents: A systematic review and meta-analysis. The Lancet, 392(10164), 2567–2582. https://doi.org/10.1016/S0140-6736(18)32558-3</w:t>
      </w:r>
    </w:p>
    <w:p>
      <w:pPr>
        <w:spacing w:after="160" w:line="276"/>
        <w:ind w:left="720" w:hanging="720"/>
      </w:pPr>
      <w:r>
        <w:rPr>
          <w:rFonts w:ascii="Calibri" w:cs="Calibri" w:eastAsia="Calibri" w:hAnsi="Calibri"/>
          <w:sz w:val="22"/>
          <w:szCs w:val="22"/>
        </w:rPr>
        <w:t xml:space="preserve">Jiang, M., Li, L., Zhu, W. X., &amp; Hesketh, T. (2020). Community-based intervention to improve the well-being of children left behind by migrant parents in rural China. International Journal of Environmental Research and Public Health, 17(19), Article 7218. https://doi.org/10.3390/ijerph17197218</w:t>
      </w:r>
    </w:p>
    <w:p>
      <w:pPr>
        <w:spacing w:after="160" w:line="276"/>
        <w:ind w:left="720" w:hanging="720"/>
      </w:pPr>
      <w:r>
        <w:rPr>
          <w:rFonts w:ascii="Calibri" w:cs="Calibri" w:eastAsia="Calibri" w:hAnsi="Calibri"/>
          <w:sz w:val="22"/>
          <w:szCs w:val="22"/>
        </w:rPr>
        <w:t xml:space="preserve">Madianou, M., &amp; Miller, D. (2011). Mobile phone parenting: Reconfiguring relationships between Filipina migrant mothers and their left-behind children. New Media &amp; Society, 13(3), 457–470.</w:t>
      </w:r>
    </w:p>
    <w:p>
      <w:pPr>
        <w:spacing w:after="160" w:line="276"/>
        <w:ind w:left="720" w:hanging="720"/>
      </w:pPr>
      <w:r>
        <w:rPr>
          <w:rFonts w:ascii="Calibri" w:cs="Calibri" w:eastAsia="Calibri" w:hAnsi="Calibri"/>
          <w:sz w:val="22"/>
          <w:szCs w:val="22"/>
        </w:rPr>
        <w:t xml:space="preserve">Račaitė, J., Lindert, J., Antia, K., Winkler, V., Sketerskienė, R., Jakubauskienė, M., Wulkau, L., &amp; Šurkienė, G. (2021). Parent emigration, physical health and related risk and preventive factors of children left behind: A systematic review of literature. International Journal of Environmental Research and Public Health, 18(3), Article 1167. https://doi.org/10.3390/ijerph18031167</w:t>
      </w:r>
    </w:p>
    <w:p>
      <w:pPr>
        <w:spacing w:after="160" w:line="276"/>
        <w:ind w:left="720" w:hanging="720"/>
      </w:pPr>
      <w:r>
        <w:rPr>
          <w:rFonts w:ascii="Calibri" w:cs="Calibri" w:eastAsia="Calibri" w:hAnsi="Calibri"/>
          <w:sz w:val="22"/>
          <w:szCs w:val="22"/>
        </w:rPr>
        <w:t xml:space="preserve">Xie, Q.-W., Chen, R., Wang, K., Lu, J., Wang, F., &amp; Zhou, X. (2024). Associations of latent patterns of parent–child communication with communication quality and mental health outcomes among Chinese left-behind children. BMC Public Health, 24, Article 320. https://doi.org/10.1186/s12889-024-17793-7</w:t>
      </w:r>
    </w:p>
    <w:p>
      <w:pPr>
        <w:spacing w:after="160" w:line="276"/>
        <w:ind w:left="720" w:hanging="720"/>
      </w:pPr>
      <w:r>
        <w:rPr>
          <w:rFonts w:ascii="Calibri" w:cs="Calibri" w:eastAsia="Calibri" w:hAnsi="Calibri"/>
          <w:sz w:val="22"/>
          <w:szCs w:val="22"/>
        </w:rPr>
        <w:t xml:space="preserve">Yarosh, S., Chew, Y. C. D., &amp; Abowd, G. D. (2009). Supporting parent-child communication in divorced families. International Journal of Human-Computer Studies, 67(2), 192–203.</w:t>
      </w:r>
    </w:p>
    <w:p>
      <w:pPr>
        <w:spacing w:before="320"/>
      </w:pPr>
      <w:r>
        <w:rPr>
          <w:rFonts w:ascii="Calibri" w:cs="Calibri" w:eastAsia="Calibri" w:hAnsi="Calibri"/>
          <w:i/>
          <w:iCs/>
          <w:sz w:val="18"/>
          <w:szCs w:val="18"/>
        </w:rPr>
        <w:t xml:space="preserve">Note: This is a first draft prepared to support Phase 2 planning and individual Assessment 1 writing. It should be reviewed and agreed by the full SpyKids team, and updated as fieldwork findings emerge.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2026-08-18T15:16:19.738Z</dcterms:created>
  <dcterms:modified xsi:type="dcterms:W3CDTF">2026-08-18T15:16:19.765Z</dcterms:modified>
</cp:coreProperties>
</file>

<file path=docProps/custom.xml><?xml version="1.0" encoding="utf-8"?>
<Properties xmlns="http://schemas.openxmlformats.org/officeDocument/2006/custom-properties" xmlns:vt="http://schemas.openxmlformats.org/officeDocument/2006/docPropsVTypes"/>
</file>