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16 November 2020 at 11:32.</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gets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3" w:name="information-control-and-power"/>
      <w:r>
        <w:t xml:space="preserve">Information, control and power</w:t>
      </w:r>
      <w:bookmarkEnd w:id="53"/>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4" w:name="common-ethical-issues"/>
      <w:r>
        <w:t xml:space="preserve">Common ethical issues</w:t>
      </w:r>
      <w:bookmarkEnd w:id="54"/>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5" w:name="consent"/>
      <w:r>
        <w:t xml:space="preserve">Consent</w:t>
      </w:r>
      <w:bookmarkEnd w:id="55"/>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6" w:name="week-2-crime-and-justice"/>
      <w:r>
        <w:t xml:space="preserve">Week 2: Crime and Justice</w:t>
      </w:r>
      <w:bookmarkEnd w:id="56"/>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7" w:name="ambiguous-ethical-issues"/>
      <w:r>
        <w:t xml:space="preserve">Ambiguous Ethical Issues</w:t>
      </w:r>
      <w:bookmarkEnd w:id="57"/>
    </w:p>
    <w:p>
      <w:pPr>
        <w:pStyle w:val="Heading3"/>
      </w:pPr>
      <w:bookmarkStart w:id="58" w:name="predictive-policing"/>
      <w:r>
        <w:t xml:space="preserve">Predictive policing</w:t>
      </w:r>
      <w:bookmarkEnd w:id="58"/>
    </w:p>
    <w:p>
      <w:pPr>
        <w:pStyle w:val="FirstParagraph"/>
      </w:pPr>
      <w:r>
        <w:t xml:space="preserve">Another talking head, this time revealing the extent of the use of technology in policing in the UK, as reported by the leftist lobby group NCCL</w:t>
      </w:r>
      <w:r>
        <w:rPr>
          <w:rStyle w:val="FootnoteReference"/>
        </w:rPr>
        <w:footnoteReference w:id="59"/>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0" w:name="algorithms-and-mathematical-models"/>
      <w:r>
        <w:t xml:space="preserve">Algorithms and mathematical models</w:t>
      </w:r>
      <w:bookmarkEnd w:id="60"/>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1">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2" w:name="automating-poverty-task"/>
      <w:r>
        <w:t xml:space="preserve">Automating poverty task</w:t>
      </w:r>
      <w:bookmarkEnd w:id="62"/>
    </w:p>
    <w:p>
      <w:pPr>
        <w:pStyle w:val="FirstParagraph"/>
      </w:pPr>
      <w:r>
        <w:t xml:space="preserve">Time is very short this week, so I skimmed the articles but did not participate in the crowdsourcing discussions</w:t>
      </w:r>
      <w:r>
        <w:rPr>
          <w:rStyle w:val="FootnoteReference"/>
        </w:rPr>
        <w:footnoteReference w:id="63"/>
      </w:r>
      <w:r>
        <w:t xml:space="preserve">.</w:t>
      </w:r>
    </w:p>
    <w:p>
      <w:pPr>
        <w:pStyle w:val="Heading2"/>
      </w:pPr>
      <w:bookmarkStart w:id="64" w:name="crime-justice-and-technology"/>
      <w:r>
        <w:t xml:space="preserve">Crime, Justice and Technology</w:t>
      </w:r>
      <w:bookmarkEnd w:id="64"/>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5"/>
      </w:r>
      <w:r>
        <w:t xml:space="preserve">.</w:t>
      </w:r>
    </w:p>
    <w:p>
      <w:pPr>
        <w:pStyle w:val="BodyText"/>
      </w:pPr>
      <w:r>
        <w:t xml:space="preserve">Justification for the use of such tools is offered within the terms of a social contract, in which citizens surrender certain freedoms (e.g., not to kill each other – obviously a freedom the NRA goads the rest of us to prize from its cold, dead, hands) 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6" w:name="predictive-mapping"/>
      <w:r>
        <w:t xml:space="preserve">Predictive mapping</w:t>
      </w:r>
      <w:bookmarkEnd w:id="66"/>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7">
        <w:r>
          <w:rPr>
            <w:rStyle w:val="Hyperlink"/>
          </w:rPr>
          <w:t xml:space="preserve">DeepL</w:t>
        </w:r>
      </w:hyperlink>
    </w:p>
    <w:p>
      <w:pPr>
        <w:pStyle w:val="Heading3"/>
      </w:pPr>
      <w:bookmarkStart w:id="68" w:name="individual-risk-assessment-programmes"/>
      <w:r>
        <w:t xml:space="preserve">Individual risk assessment programmes</w:t>
      </w:r>
      <w:bookmarkEnd w:id="68"/>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69"/>
      </w:r>
      <w:r>
        <w:t xml:space="preserve">.</w:t>
      </w:r>
    </w:p>
    <w:p>
      <w:pPr>
        <w:pStyle w:val="BodyText"/>
      </w:pPr>
      <w:r>
        <w:t xml:space="preserve">The LAPD stopped using its LASER tool in 2019 but continues to engage in data-driven policing.</w:t>
      </w:r>
    </w:p>
    <w:p>
      <w:pPr>
        <w:pStyle w:val="Heading3"/>
      </w:pPr>
      <w:bookmarkStart w:id="70" w:name="sentencing-and-parole"/>
      <w:r>
        <w:t xml:space="preserve">Sentencing and parole</w:t>
      </w:r>
      <w:bookmarkEnd w:id="70"/>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1" w:name="bias"/>
      <w:r>
        <w:t xml:space="preserve">Bias</w:t>
      </w:r>
      <w:bookmarkEnd w:id="71"/>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r>
        <w:t xml:space="preserve">.</w:t>
      </w:r>
    </w:p>
    <w:p>
      <w:pPr>
        <w:pStyle w:val="Heading3"/>
      </w:pPr>
      <w:bookmarkStart w:id="72" w:name="algorithmic-bias"/>
      <w:r>
        <w:t xml:space="preserve">Algorithmic bias</w:t>
      </w:r>
      <w:bookmarkEnd w:id="72"/>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3"/>
      </w:r>
      <w:r>
        <w:t xml:space="preserve"> </w:t>
      </w:r>
      <w:r>
        <w:t xml:space="preserve">articles like these.</w:t>
      </w:r>
    </w:p>
    <w:p>
      <w:pPr>
        <w:pStyle w:val="Heading3"/>
      </w:pPr>
      <w:bookmarkStart w:id="74" w:name="big-data-and-implicit-bias"/>
      <w:r>
        <w:t xml:space="preserve">Big Data and implicit bias</w:t>
      </w:r>
      <w:bookmarkEnd w:id="74"/>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 ibid.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5" w:name="de-biasing-algorithms-and-fairness"/>
      <w:r>
        <w:t xml:space="preserve">De-biasing Algorithms and fairness</w:t>
      </w:r>
      <w:bookmarkEnd w:id="75"/>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 applied have to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(ibid,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6" w:name="data-justice"/>
      <w:r>
        <w:t xml:space="preserve">Data Justice</w:t>
      </w:r>
      <w:bookmarkEnd w:id="76"/>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7">
        <w:r>
          <w:rPr>
            <w:rStyle w:val="Hyperlink"/>
          </w:rPr>
          <w:t xml:space="preserve">Data Justice Lab</w:t>
        </w:r>
      </w:hyperlink>
      <w:r>
        <w:t xml:space="preserve"> </w:t>
      </w:r>
      <w:r>
        <w:t xml:space="preserve">sits within Cardiff University’s media school. Interstingly, the</w:t>
      </w:r>
      <w:r>
        <w:t xml:space="preserve"> </w:t>
      </w:r>
      <w:hyperlink r:id="rId78">
        <w:r>
          <w:rPr>
            <w:rStyle w:val="Hyperlink"/>
          </w:rPr>
          <w:t xml:space="preserve">FAT/ML</w:t>
        </w:r>
      </w:hyperlink>
      <w:r>
        <w:rPr>
          <w:rStyle w:val="FootnoteReference"/>
        </w:rPr>
        <w:footnoteReference w:id="79"/>
      </w:r>
      <w:r>
        <w:t xml:space="preserve"> </w:t>
      </w:r>
      <w:r>
        <w:t xml:space="preserve">website hasn’t been updated for the past two years, which might suggest that nothing much is happening in the group.</w:t>
      </w:r>
    </w:p>
    <w:p>
      <w:pPr>
        <w:pStyle w:val="Heading1"/>
      </w:pPr>
      <w:bookmarkStart w:id="80" w:name="week-3-home-and-city"/>
      <w:r>
        <w:t xml:space="preserve">Week 3: Home and City</w:t>
      </w:r>
      <w:bookmarkEnd w:id="80"/>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1"/>
      </w:pPr>
      <w:bookmarkStart w:id="81" w:name="references"/>
      <w:r>
        <w:t xml:space="preserve">References</w:t>
      </w:r>
      <w:bookmarkEnd w:id="81"/>
    </w:p>
    <w:bookmarkStart w:id="106" w:name="refs"/>
    <w:bookmarkStart w:id="82" w:name="ref-asimov1991foundation"/>
    <w:p>
      <w:pPr>
        <w:pStyle w:val="Bibliography"/>
      </w:pPr>
      <w:r>
        <w:t xml:space="preserve">Asimov, I. (1991).</w:t>
      </w:r>
      <w:r>
        <w:t xml:space="preserve"> </w:t>
      </w:r>
      <w:r>
        <w:rPr>
          <w:i/>
        </w:rPr>
        <w:t xml:space="preserve">Foundation</w:t>
      </w:r>
      <w:r>
        <w:t xml:space="preserve">. Bantam Books.</w:t>
      </w:r>
    </w:p>
    <w:bookmarkEnd w:id="82"/>
    <w:bookmarkStart w:id="84"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83">
        <w:r>
          <w:rPr>
            <w:rStyle w:val="Hyperlink"/>
          </w:rPr>
          <w:t xml:space="preserve">https://doi.org/10.3389/fpsyg.2018.00849</w:t>
        </w:r>
      </w:hyperlink>
    </w:p>
    <w:bookmarkEnd w:id="84"/>
    <w:bookmarkStart w:id="85"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85"/>
    <w:bookmarkStart w:id="87" w:name="ref-OED-bias"/>
    <w:p>
      <w:pPr>
        <w:pStyle w:val="Bibliography"/>
      </w:pPr>
      <w:r>
        <w:rPr>
          <w:i/>
        </w:rPr>
        <w:t xml:space="preserve">bias, adj., n., and adv. : Oxford English Dictionary</w:t>
      </w:r>
      <w:r>
        <w:t xml:space="preserve">. (n.d.). Retrieved November 16, 2020, from</w:t>
      </w:r>
      <w:r>
        <w:t xml:space="preserve"> </w:t>
      </w:r>
      <w:hyperlink r:id="rId86">
        <w:r>
          <w:rPr>
            <w:rStyle w:val="Hyperlink"/>
          </w:rPr>
          <w:t xml:space="preserve">https://www.oed.com/view/Entry/18564?result=1&amp;rskey=pOoRi9&amp;</w:t>
        </w:r>
      </w:hyperlink>
    </w:p>
    <w:bookmarkEnd w:id="87"/>
    <w:bookmarkStart w:id="89" w:name="ref-TitleVii1964"/>
    <w:p>
      <w:pPr>
        <w:pStyle w:val="Bibliography"/>
      </w:pPr>
      <w:r>
        <w:rPr>
          <w:i/>
        </w:rPr>
        <w:t xml:space="preserve">Civil Rights Act of 1964 - CRA - Title VII - Equal Employment Opportunities - 42 US Code Chapter 21</w:t>
      </w:r>
      <w:r>
        <w:t xml:space="preserve">. (1964).</w:t>
      </w:r>
      <w:r>
        <w:t xml:space="preserve"> </w:t>
      </w:r>
      <w:hyperlink r:id="rId88">
        <w:r>
          <w:rPr>
            <w:rStyle w:val="Hyperlink"/>
          </w:rPr>
          <w:t xml:space="preserve">https://finduslaw.com/civil-rights-act-1964-cra-title-vii-equal-employment-opportunities-42-us-code-chapter-21</w:t>
        </w:r>
      </w:hyperlink>
    </w:p>
    <w:bookmarkEnd w:id="89"/>
    <w:bookmarkStart w:id="91"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90">
        <w:r>
          <w:rPr>
            <w:rStyle w:val="Hyperlink"/>
          </w:rPr>
          <w:t xml:space="preserve">https://www.theclinic.cl/2019/07/25/batallas-3-0-inteligencia-artificial-y-algoritmos-versus-delincuencia-en-chile/</w:t>
        </w:r>
      </w:hyperlink>
    </w:p>
    <w:bookmarkEnd w:id="91"/>
    <w:bookmarkStart w:id="92"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92"/>
    <w:bookmarkStart w:id="93"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93"/>
    <w:bookmarkStart w:id="94"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94"/>
    <w:bookmarkStart w:id="96"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95">
        <w:r>
          <w:rPr>
            <w:rStyle w:val="Hyperlink"/>
          </w:rPr>
          <w:t xml:space="preserve">https://doi.org/10.1145/2983270</w:t>
        </w:r>
      </w:hyperlink>
    </w:p>
    <w:bookmarkEnd w:id="96"/>
    <w:bookmarkStart w:id="98" w:name="ref-Shakespeare"/>
    <w:p>
      <w:pPr>
        <w:pStyle w:val="Bibliography"/>
      </w:pPr>
      <w:r>
        <w:t xml:space="preserve">Shakespeare, W. (1591).</w:t>
      </w:r>
      <w:r>
        <w:t xml:space="preserve"> </w:t>
      </w:r>
      <w:r>
        <w:rPr>
          <w:i/>
        </w:rPr>
        <w:t xml:space="preserve">Henry VI, part 2: Entire Play</w:t>
      </w:r>
      <w:r>
        <w:t xml:space="preserve">.</w:t>
      </w:r>
      <w:r>
        <w:t xml:space="preserve"> </w:t>
      </w:r>
      <w:hyperlink r:id="rId97">
        <w:r>
          <w:rPr>
            <w:rStyle w:val="Hyperlink"/>
          </w:rPr>
          <w:t xml:space="preserve">http://shakespeare.mit.edu/2henryvi/full.html</w:t>
        </w:r>
      </w:hyperlink>
    </w:p>
    <w:bookmarkEnd w:id="98"/>
    <w:bookmarkStart w:id="10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99">
        <w:r>
          <w:rPr>
            <w:rStyle w:val="Hyperlink"/>
          </w:rPr>
          <w:t xml:space="preserve">https://doi.org/10.1177/2053951717736335</w:t>
        </w:r>
      </w:hyperlink>
    </w:p>
    <w:bookmarkEnd w:id="100"/>
    <w:bookmarkStart w:id="101"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01"/>
    <w:bookmarkStart w:id="10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02">
        <w:r>
          <w:rPr>
            <w:rStyle w:val="Hyperlink"/>
          </w:rPr>
          <w:t xml:space="preserve">https://doi.org/10.1093/mind/LIX.236.433</w:t>
        </w:r>
      </w:hyperlink>
    </w:p>
    <w:bookmarkEnd w:id="103"/>
    <w:bookmarkStart w:id="10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04">
        <w:r>
          <w:rPr>
            <w:rStyle w:val="Hyperlink"/>
          </w:rPr>
          <w:t xml:space="preserve">https://doi.org/10.1515/9789048550180-016</w:t>
        </w:r>
      </w:hyperlink>
    </w:p>
    <w:bookmarkEnd w:id="105"/>
    <w:bookmarkEnd w:id="10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9">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3">
    <w:p>
      <w:pPr>
        <w:pStyle w:val="FootnoteText"/>
      </w:pPr>
      <w:r>
        <w:rPr>
          <w:rStyle w:val="FootnoteReference"/>
        </w:rPr>
        <w:footnoteRef/>
      </w:r>
      <w:r>
        <w:t xml:space="preserve"> </w:t>
      </w:r>
      <w:r>
        <w:t xml:space="preserve">I find always these a chore, and of little value in online courses like this. It’s become a formula for the MOOC: I enjoyed these once, and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5">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9">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3">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79">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7" Target="https://datajusticelab.org/" TargetMode="External" /><Relationship Type="http://schemas.openxmlformats.org/officeDocument/2006/relationships/hyperlink" Id="rId102" Target="https://doi.org/10.1093/mind/LIX.236.433" TargetMode="External" /><Relationship Type="http://schemas.openxmlformats.org/officeDocument/2006/relationships/hyperlink" Id="rId95" Target="https://doi.org/10.1145/2983270" TargetMode="External" /><Relationship Type="http://schemas.openxmlformats.org/officeDocument/2006/relationships/hyperlink" Id="rId99" Target="https://doi.org/10.1177/2053951717736335" TargetMode="External" /><Relationship Type="http://schemas.openxmlformats.org/officeDocument/2006/relationships/hyperlink" Id="rId104" Target="https://doi.org/10.1515/9789048550180-016" TargetMode="External" /><Relationship Type="http://schemas.openxmlformats.org/officeDocument/2006/relationships/hyperlink" Id="rId8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8" Target="https://finduslaw.com/civil-rights-act-1964-cra-title-vii-equal-employment-opportunities-42-us-code-chapter-21"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7" Target="https://www.deepl.com/" TargetMode="External" /><Relationship Type="http://schemas.openxmlformats.org/officeDocument/2006/relationships/hyperlink" Id="rId78"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86" Target="https://www.oed.com/view/Entry/18564?result=1&amp;rskey=pOoRi9&amp;" TargetMode="External" /><Relationship Type="http://schemas.openxmlformats.org/officeDocument/2006/relationships/hyperlink" Id="rId9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9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7" Target="https://datajusticelab.org/" TargetMode="External" /><Relationship Type="http://schemas.openxmlformats.org/officeDocument/2006/relationships/hyperlink" Id="rId102" Target="https://doi.org/10.1093/mind/LIX.236.433" TargetMode="External" /><Relationship Type="http://schemas.openxmlformats.org/officeDocument/2006/relationships/hyperlink" Id="rId95" Target="https://doi.org/10.1145/2983270" TargetMode="External" /><Relationship Type="http://schemas.openxmlformats.org/officeDocument/2006/relationships/hyperlink" Id="rId99" Target="https://doi.org/10.1177/2053951717736335" TargetMode="External" /><Relationship Type="http://schemas.openxmlformats.org/officeDocument/2006/relationships/hyperlink" Id="rId104" Target="https://doi.org/10.1515/9789048550180-016" TargetMode="External" /><Relationship Type="http://schemas.openxmlformats.org/officeDocument/2006/relationships/hyperlink" Id="rId8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8" Target="https://finduslaw.com/civil-rights-act-1964-cra-title-vii-equal-employment-opportunities-42-us-code-chapter-21"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7" Target="https://www.deepl.com/" TargetMode="External" /><Relationship Type="http://schemas.openxmlformats.org/officeDocument/2006/relationships/hyperlink" Id="rId78"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86" Target="https://www.oed.com/view/Entry/18564?result=1&amp;rskey=pOoRi9&amp;" TargetMode="External" /><Relationship Type="http://schemas.openxmlformats.org/officeDocument/2006/relationships/hyperlink" Id="rId9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2020-11-16T11:32:12Z</dcterms:created>
  <dcterms:modified xsi:type="dcterms:W3CDTF">2020-11-16T11:32:12Z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