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23</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23 November 2020 at 15:48.</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49" w:name="legal-and-ethical-considerations"/>
      <w:r>
        <w:t xml:space="preserve">Legal and ethical considerations</w:t>
      </w:r>
      <w:bookmarkEnd w:id="49"/>
    </w:p>
    <w:p>
      <w:pPr>
        <w:pStyle w:val="Heading3"/>
      </w:pPr>
      <w:bookmarkStart w:id="50" w:name="legal"/>
      <w:r>
        <w:t xml:space="preserve">Legal</w:t>
      </w:r>
      <w:bookmarkEnd w:id="50"/>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1" w:name="ethical-nothing-ethical-going-on-here."/>
      <w:r>
        <w:t xml:space="preserve">Ethical? Nothing ethical going on here.</w:t>
      </w:r>
      <w:bookmarkEnd w:id="51"/>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2">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3"/>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4" w:name="information-control-and-power"/>
      <w:r>
        <w:t xml:space="preserve">Information, control and power</w:t>
      </w:r>
      <w:bookmarkEnd w:id="54"/>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5" w:name="common-ethical-issues"/>
      <w:r>
        <w:t xml:space="preserve">Common ethical issues</w:t>
      </w:r>
      <w:bookmarkEnd w:id="55"/>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6" w:name="consent"/>
      <w:r>
        <w:t xml:space="preserve">Consent</w:t>
      </w:r>
      <w:bookmarkEnd w:id="56"/>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7" w:name="week-2-crime-and-justice"/>
      <w:r>
        <w:t xml:space="preserve">Week 2: Crime and Justice</w:t>
      </w:r>
      <w:bookmarkEnd w:id="57"/>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8" w:name="ambiguous-ethical-issues"/>
      <w:r>
        <w:t xml:space="preserve">Ambiguous Ethical Issues</w:t>
      </w:r>
      <w:bookmarkEnd w:id="58"/>
    </w:p>
    <w:p>
      <w:pPr>
        <w:pStyle w:val="Heading3"/>
      </w:pPr>
      <w:bookmarkStart w:id="59" w:name="predictive-policing"/>
      <w:r>
        <w:t xml:space="preserve">Predictive policing</w:t>
      </w:r>
      <w:bookmarkEnd w:id="59"/>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0"/>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1" w:name="china-scs"/>
      <w:r>
        <w:t xml:space="preserve">Algorithms and mathematical models</w:t>
      </w:r>
      <w:bookmarkEnd w:id="61"/>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2">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3" w:name="automating-poverty-task"/>
      <w:r>
        <w:t xml:space="preserve">Automating poverty task</w:t>
      </w:r>
      <w:bookmarkEnd w:id="63"/>
    </w:p>
    <w:p>
      <w:pPr>
        <w:pStyle w:val="FirstParagraph"/>
      </w:pPr>
      <w:r>
        <w:t xml:space="preserve">Time is very short this week, so I skimmed the articles but did not participate in the crowdsourcing discussions</w:t>
      </w:r>
      <w:r>
        <w:rPr>
          <w:rStyle w:val="FootnoteReference"/>
        </w:rPr>
        <w:footnoteReference w:id="64"/>
      </w:r>
      <w:r>
        <w:t xml:space="preserve">.</w:t>
      </w:r>
    </w:p>
    <w:p>
      <w:pPr>
        <w:pStyle w:val="Heading2"/>
      </w:pPr>
      <w:bookmarkStart w:id="65" w:name="crime-justice-and-technology"/>
      <w:r>
        <w:t xml:space="preserve">Crime, Justice and Technology</w:t>
      </w:r>
      <w:bookmarkEnd w:id="65"/>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6"/>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7"/>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8" w:name="predictive-mapping"/>
      <w:r>
        <w:t xml:space="preserve">Predictive mapping</w:t>
      </w:r>
      <w:bookmarkEnd w:id="68"/>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69">
        <w:r>
          <w:rPr>
            <w:rStyle w:val="Hyperlink"/>
          </w:rPr>
          <w:t xml:space="preserve">DeepL</w:t>
        </w:r>
      </w:hyperlink>
    </w:p>
    <w:p>
      <w:pPr>
        <w:pStyle w:val="Heading3"/>
      </w:pPr>
      <w:bookmarkStart w:id="70" w:name="individual-risk-assessment-programmes"/>
      <w:r>
        <w:t xml:space="preserve">Individual risk assessment programmes</w:t>
      </w:r>
      <w:bookmarkEnd w:id="70"/>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1"/>
      </w:r>
      <w:r>
        <w:t xml:space="preserve">.</w:t>
      </w:r>
    </w:p>
    <w:p>
      <w:pPr>
        <w:pStyle w:val="BodyText"/>
      </w:pPr>
      <w:r>
        <w:t xml:space="preserve">The LAPD stopped using its LASER tool in 2019 but continues to engage in data-driven policing.</w:t>
      </w:r>
    </w:p>
    <w:p>
      <w:pPr>
        <w:pStyle w:val="Heading3"/>
      </w:pPr>
      <w:bookmarkStart w:id="72" w:name="sentencing-and-parole"/>
      <w:r>
        <w:t xml:space="preserve">Sentencing and parole</w:t>
      </w:r>
      <w:bookmarkEnd w:id="72"/>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3" w:name="bias"/>
      <w:r>
        <w:t xml:space="preserve">Bias</w:t>
      </w:r>
      <w:bookmarkEnd w:id="73"/>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4" w:name="algorithmic-bias"/>
      <w:r>
        <w:t xml:space="preserve">Algorithmic bias</w:t>
      </w:r>
      <w:bookmarkEnd w:id="74"/>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5"/>
      </w:r>
      <w:r>
        <w:t xml:space="preserve"> </w:t>
      </w:r>
      <w:r>
        <w:t xml:space="preserve">articles like these.</w:t>
      </w:r>
    </w:p>
    <w:p>
      <w:pPr>
        <w:pStyle w:val="Heading3"/>
      </w:pPr>
      <w:bookmarkStart w:id="76" w:name="big-data-and-implicit-bias"/>
      <w:r>
        <w:t xml:space="preserve">Big Data and implicit bias</w:t>
      </w:r>
      <w:bookmarkEnd w:id="76"/>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7" w:name="de-biasing-algorithms-and-fairness"/>
      <w:r>
        <w:t xml:space="preserve">De-biasing Algorithms and fairness</w:t>
      </w:r>
      <w:bookmarkEnd w:id="77"/>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8" w:name="data-justice"/>
      <w:r>
        <w:t xml:space="preserve">Data Justice</w:t>
      </w:r>
      <w:bookmarkEnd w:id="78"/>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79">
        <w:r>
          <w:rPr>
            <w:rStyle w:val="Hyperlink"/>
          </w:rPr>
          <w:t xml:space="preserve">Data Justice Lab</w:t>
        </w:r>
      </w:hyperlink>
      <w:r>
        <w:t xml:space="preserve"> </w:t>
      </w:r>
      <w:r>
        <w:t xml:space="preserve">sits within Cardiff University’s media school. Interestingly, the</w:t>
      </w:r>
      <w:r>
        <w:t xml:space="preserve"> </w:t>
      </w:r>
      <w:hyperlink r:id="rId80">
        <w:r>
          <w:rPr>
            <w:rStyle w:val="Hyperlink"/>
          </w:rPr>
          <w:t xml:space="preserve">FAT/ML</w:t>
        </w:r>
      </w:hyperlink>
      <w:r>
        <w:rPr>
          <w:rStyle w:val="FootnoteReference"/>
        </w:rPr>
        <w:footnoteReference w:id="81"/>
      </w:r>
      <w:r>
        <w:t xml:space="preserve"> </w:t>
      </w:r>
      <w:r>
        <w:t xml:space="preserve">website hasn’t been updated for the past two years, which might suggest that nothing much is happening in the group.</w:t>
      </w:r>
    </w:p>
    <w:p>
      <w:pPr>
        <w:pStyle w:val="Heading1"/>
      </w:pPr>
      <w:bookmarkStart w:id="82" w:name="week-3-home-and-city"/>
      <w:r>
        <w:t xml:space="preserve">Week 3: Home and City</w:t>
      </w:r>
      <w:bookmarkEnd w:id="82"/>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3" w:name="the-iot"/>
      <w:r>
        <w:t xml:space="preserve">The IoT</w:t>
      </w:r>
      <w:bookmarkEnd w:id="83"/>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4"/>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5"/>
      </w:r>
      <w:r>
        <w:t xml:space="preserve">.</w:t>
      </w:r>
    </w:p>
    <w:p>
      <w:pPr>
        <w:pStyle w:val="Heading3"/>
      </w:pPr>
      <w:bookmarkStart w:id="86" w:name="Xcb772c276f5fe29e138fcb45bf4b4dc5882730b"/>
      <w:r>
        <w:t xml:space="preserve">Activity: what do you think are the biggest concerns raised by the Internet of Things?</w:t>
      </w:r>
      <w:bookmarkEnd w:id="86"/>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7" w:name="hammer-chewers"/>
      <w:r>
        <w:t xml:space="preserve">Hammer Chewers</w:t>
      </w:r>
      <w:bookmarkEnd w:id="87"/>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8" w:name="so-what-is-it"/>
      <w:r>
        <w:t xml:space="preserve">So, what is it?</w:t>
      </w:r>
      <w:bookmarkEnd w:id="88"/>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89">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0" w:name="the-smart-home"/>
      <w:r>
        <w:t xml:space="preserve">The Smart Home</w:t>
      </w:r>
      <w:bookmarkEnd w:id="90"/>
    </w:p>
    <w:p>
      <w:pPr>
        <w:pStyle w:val="Heading1"/>
      </w:pPr>
      <w:bookmarkStart w:id="91" w:name="references"/>
      <w:r>
        <w:t xml:space="preserve">References</w:t>
      </w:r>
      <w:bookmarkEnd w:id="91"/>
    </w:p>
    <w:bookmarkStart w:id="122" w:name="refs"/>
    <w:bookmarkStart w:id="92" w:name="ref-asimov1991foundation"/>
    <w:p>
      <w:pPr>
        <w:pStyle w:val="Bibliography"/>
      </w:pPr>
      <w:r>
        <w:t xml:space="preserve">Asimov, I. (1991).</w:t>
      </w:r>
      <w:r>
        <w:t xml:space="preserve"> </w:t>
      </w:r>
      <w:r>
        <w:rPr>
          <w:i/>
        </w:rPr>
        <w:t xml:space="preserve">Foundation</w:t>
      </w:r>
      <w:r>
        <w:t xml:space="preserve">. Bantam Books.</w:t>
      </w:r>
    </w:p>
    <w:bookmarkEnd w:id="92"/>
    <w:bookmarkStart w:id="94"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93">
        <w:r>
          <w:rPr>
            <w:rStyle w:val="Hyperlink"/>
          </w:rPr>
          <w:t xml:space="preserve">https://doi.org/10.3389/fpsyg.2018.00849</w:t>
        </w:r>
      </w:hyperlink>
    </w:p>
    <w:bookmarkEnd w:id="94"/>
    <w:bookmarkStart w:id="95"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95"/>
    <w:bookmarkStart w:id="97" w:name="ref-OED-bias"/>
    <w:p>
      <w:pPr>
        <w:pStyle w:val="Bibliography"/>
      </w:pPr>
      <w:r>
        <w:rPr>
          <w:i/>
        </w:rPr>
        <w:t xml:space="preserve">bias, adj., n., and adv. : Oxford English Dictionary</w:t>
      </w:r>
      <w:r>
        <w:t xml:space="preserve">. (n.d.). Retrieved November 16, 2020, from</w:t>
      </w:r>
      <w:r>
        <w:t xml:space="preserve"> </w:t>
      </w:r>
      <w:hyperlink r:id="rId96">
        <w:r>
          <w:rPr>
            <w:rStyle w:val="Hyperlink"/>
          </w:rPr>
          <w:t xml:space="preserve">https://www.oed.com/view/Entry/18564?result=1&amp;rskey=pOoRi9&amp;</w:t>
        </w:r>
      </w:hyperlink>
    </w:p>
    <w:bookmarkEnd w:id="97"/>
    <w:bookmarkStart w:id="99" w:name="ref-TitleVii1964"/>
    <w:p>
      <w:pPr>
        <w:pStyle w:val="Bibliography"/>
      </w:pPr>
      <w:r>
        <w:rPr>
          <w:i/>
        </w:rPr>
        <w:t xml:space="preserve">Civil Rights Act of 1964 - CRA - Title VII - Equal Employment Opportunities - 42 US Code Chapter 21</w:t>
      </w:r>
      <w:r>
        <w:t xml:space="preserve">. (1964).</w:t>
      </w:r>
      <w:r>
        <w:t xml:space="preserve"> </w:t>
      </w:r>
      <w:hyperlink r:id="rId98">
        <w:r>
          <w:rPr>
            <w:rStyle w:val="Hyperlink"/>
          </w:rPr>
          <w:t xml:space="preserve">https://finduslaw.com/civil-rights-act-1964-cra-title-vii-equal-employment-opportunities-42-us-code-chapter-21</w:t>
        </w:r>
      </w:hyperlink>
    </w:p>
    <w:bookmarkEnd w:id="99"/>
    <w:bookmarkStart w:id="101"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00">
        <w:r>
          <w:rPr>
            <w:rStyle w:val="Hyperlink"/>
          </w:rPr>
          <w:t xml:space="preserve">https://www.theclinic.cl/2019/07/25/batallas-3-0-inteligencia-artificial-y-algoritmos-versus-delincuencia-en-chile/</w:t>
        </w:r>
      </w:hyperlink>
    </w:p>
    <w:bookmarkEnd w:id="101"/>
    <w:bookmarkStart w:id="102"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02"/>
    <w:bookmarkStart w:id="103"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03"/>
    <w:bookmarkStart w:id="105"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04">
        <w:r>
          <w:rPr>
            <w:rStyle w:val="Hyperlink"/>
          </w:rPr>
          <w:t xml:space="preserve">https://www.imdb.com/title/tt5835714/?ref_=ttep_ep3</w:t>
        </w:r>
      </w:hyperlink>
    </w:p>
    <w:bookmarkEnd w:id="105"/>
    <w:bookmarkStart w:id="106"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06"/>
    <w:bookmarkStart w:id="108"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07">
        <w:r>
          <w:rPr>
            <w:rStyle w:val="Hyperlink"/>
          </w:rPr>
          <w:t xml:space="preserve">https://iot-analytics.com/top-10-iot-applications-in-2020/</w:t>
        </w:r>
      </w:hyperlink>
    </w:p>
    <w:bookmarkEnd w:id="108"/>
    <w:bookmarkStart w:id="110"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09">
        <w:r>
          <w:rPr>
            <w:rStyle w:val="Hyperlink"/>
          </w:rPr>
          <w:t xml:space="preserve">https://doi.org/10.1145/2983270</w:t>
        </w:r>
      </w:hyperlink>
    </w:p>
    <w:bookmarkEnd w:id="110"/>
    <w:bookmarkStart w:id="112"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11">
        <w:r>
          <w:rPr>
            <w:rStyle w:val="Hyperlink"/>
          </w:rPr>
          <w:t xml:space="preserve">https://doi.org/10.1037/0022-3514.77.6.1121</w:t>
        </w:r>
      </w:hyperlink>
    </w:p>
    <w:bookmarkEnd w:id="112"/>
    <w:bookmarkStart w:id="114" w:name="ref-Shakespeare"/>
    <w:p>
      <w:pPr>
        <w:pStyle w:val="Bibliography"/>
      </w:pPr>
      <w:r>
        <w:t xml:space="preserve">Shakespeare, W. (1591).</w:t>
      </w:r>
      <w:r>
        <w:t xml:space="preserve"> </w:t>
      </w:r>
      <w:r>
        <w:rPr>
          <w:i/>
        </w:rPr>
        <w:t xml:space="preserve">Henry VI, part 2: Entire Play</w:t>
      </w:r>
      <w:r>
        <w:t xml:space="preserve">.</w:t>
      </w:r>
      <w:r>
        <w:t xml:space="preserve"> </w:t>
      </w:r>
      <w:hyperlink r:id="rId113">
        <w:r>
          <w:rPr>
            <w:rStyle w:val="Hyperlink"/>
          </w:rPr>
          <w:t xml:space="preserve">http://shakespeare.mit.edu/2henryvi/full.html</w:t>
        </w:r>
      </w:hyperlink>
    </w:p>
    <w:bookmarkEnd w:id="114"/>
    <w:bookmarkStart w:id="116"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15">
        <w:r>
          <w:rPr>
            <w:rStyle w:val="Hyperlink"/>
          </w:rPr>
          <w:t xml:space="preserve">https://doi.org/10.1177/2053951717736335</w:t>
        </w:r>
      </w:hyperlink>
    </w:p>
    <w:bookmarkEnd w:id="116"/>
    <w:bookmarkStart w:id="117"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17"/>
    <w:bookmarkStart w:id="119"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18">
        <w:r>
          <w:rPr>
            <w:rStyle w:val="Hyperlink"/>
          </w:rPr>
          <w:t xml:space="preserve">https://doi.org/10.1093/mind/LIX.236.433</w:t>
        </w:r>
      </w:hyperlink>
    </w:p>
    <w:bookmarkEnd w:id="119"/>
    <w:bookmarkStart w:id="121"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20">
        <w:r>
          <w:rPr>
            <w:rStyle w:val="Hyperlink"/>
          </w:rPr>
          <w:t xml:space="preserve">https://doi.org/10.1515/9789048550180-016</w:t>
        </w:r>
      </w:hyperlink>
    </w:p>
    <w:bookmarkEnd w:id="121"/>
    <w:bookmarkEnd w:id="122"/>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3">
    <w:p>
      <w:pPr>
        <w:pStyle w:val="FootnoteText"/>
      </w:pPr>
      <w:r>
        <w:rPr>
          <w:rStyle w:val="FootnoteReference"/>
        </w:rPr>
        <w:footnoteRef/>
      </w:r>
      <w:r>
        <w:t xml:space="preserve"> </w:t>
      </w:r>
      <w:r>
        <w:t xml:space="preserve">Perhaps we should push them in front of runaway trolleys.</w:t>
      </w:r>
    </w:p>
  </w:footnote>
  <w:footnote w:id="60">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4">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6">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7">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1">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5">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1">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5">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113"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9" Target="https://datajusticelab.org/" TargetMode="External" /><Relationship Type="http://schemas.openxmlformats.org/officeDocument/2006/relationships/hyperlink" Id="rId111" Target="https://doi.org/10.1037/0022-3514.77.6.1121" TargetMode="External" /><Relationship Type="http://schemas.openxmlformats.org/officeDocument/2006/relationships/hyperlink" Id="rId118" Target="https://doi.org/10.1093/mind/LIX.236.433" TargetMode="External" /><Relationship Type="http://schemas.openxmlformats.org/officeDocument/2006/relationships/hyperlink" Id="rId109" Target="https://doi.org/10.1145/2983270" TargetMode="External" /><Relationship Type="http://schemas.openxmlformats.org/officeDocument/2006/relationships/hyperlink" Id="rId115" Target="https://doi.org/10.1177/2053951717736335" TargetMode="External" /><Relationship Type="http://schemas.openxmlformats.org/officeDocument/2006/relationships/hyperlink" Id="rId120" Target="https://doi.org/10.1515/9789048550180-016" TargetMode="External" /><Relationship Type="http://schemas.openxmlformats.org/officeDocument/2006/relationships/hyperlink" Id="rId93"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89" Target="https://en.wikipedia.org/wiki/Trojan_Room_coffee_pot" TargetMode="External" /><Relationship Type="http://schemas.openxmlformats.org/officeDocument/2006/relationships/hyperlink" Id="rId98" Target="https://finduslaw.com/civil-rights-act-1964-cra-title-vii-equal-employment-opportunities-42-us-code-chapter-21" TargetMode="External" /><Relationship Type="http://schemas.openxmlformats.org/officeDocument/2006/relationships/hyperlink" Id="rId107" Target="https://iot-analytics.com/top-10-iot-applications-in-2020/"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9" Target="https://www.deepl.com/" TargetMode="External" /><Relationship Type="http://schemas.openxmlformats.org/officeDocument/2006/relationships/hyperlink" Id="rId80"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104" Target="https://www.imdb.com/title/tt5835714/?ref_=ttep_ep3"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96" Target="https://www.oed.com/view/Entry/18564?result=1&amp;rskey=pOoRi9&amp;" TargetMode="External" /><Relationship Type="http://schemas.openxmlformats.org/officeDocument/2006/relationships/hyperlink" Id="rId100"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2" Target="https://www.wired.co.uk/article/chinese-government-social-credit-score-privacy-invasion" TargetMode="External" /></Relationships>
</file>

<file path=word/_rels/footnotes.xml.rels><?xml version="1.0" encoding="UTF-8"?>
<Relationships xmlns="http://schemas.openxmlformats.org/package/2006/relationships"><Relationship Type="http://schemas.openxmlformats.org/officeDocument/2006/relationships/hyperlink" Id="rId113"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79" Target="https://datajusticelab.org/" TargetMode="External" /><Relationship Type="http://schemas.openxmlformats.org/officeDocument/2006/relationships/hyperlink" Id="rId111" Target="https://doi.org/10.1037/0022-3514.77.6.1121" TargetMode="External" /><Relationship Type="http://schemas.openxmlformats.org/officeDocument/2006/relationships/hyperlink" Id="rId118" Target="https://doi.org/10.1093/mind/LIX.236.433" TargetMode="External" /><Relationship Type="http://schemas.openxmlformats.org/officeDocument/2006/relationships/hyperlink" Id="rId109" Target="https://doi.org/10.1145/2983270" TargetMode="External" /><Relationship Type="http://schemas.openxmlformats.org/officeDocument/2006/relationships/hyperlink" Id="rId115" Target="https://doi.org/10.1177/2053951717736335" TargetMode="External" /><Relationship Type="http://schemas.openxmlformats.org/officeDocument/2006/relationships/hyperlink" Id="rId120" Target="https://doi.org/10.1515/9789048550180-016" TargetMode="External" /><Relationship Type="http://schemas.openxmlformats.org/officeDocument/2006/relationships/hyperlink" Id="rId93"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89" Target="https://en.wikipedia.org/wiki/Trojan_Room_coffee_pot" TargetMode="External" /><Relationship Type="http://schemas.openxmlformats.org/officeDocument/2006/relationships/hyperlink" Id="rId98" Target="https://finduslaw.com/civil-rights-act-1964-cra-title-vii-equal-employment-opportunities-42-us-code-chapter-21" TargetMode="External" /><Relationship Type="http://schemas.openxmlformats.org/officeDocument/2006/relationships/hyperlink" Id="rId107" Target="https://iot-analytics.com/top-10-iot-applications-in-2020/"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9" Target="https://www.deepl.com/" TargetMode="External" /><Relationship Type="http://schemas.openxmlformats.org/officeDocument/2006/relationships/hyperlink" Id="rId80" Target="https://www.fatml.org/"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104" Target="https://www.imdb.com/title/tt5835714/?ref_=ttep_ep3"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96" Target="https://www.oed.com/view/Entry/18564?result=1&amp;rskey=pOoRi9&amp;" TargetMode="External" /><Relationship Type="http://schemas.openxmlformats.org/officeDocument/2006/relationships/hyperlink" Id="rId100"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2" Target="https://www.wired.co.uk/article/chinese-government-social-credit-score-privacy-invasion"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2020-11-23T15:48:20Z</dcterms:created>
  <dcterms:modified xsi:type="dcterms:W3CDTF">2020-11-23T15:48:20Z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23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