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30</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rPr>
          <w:b/>
        </w:rPr>
        <w:t xml:space="preserve">TL;DR:</w:t>
      </w:r>
      <w:r>
        <w:t xml:space="preserve"> </w:t>
      </w:r>
      <w:r>
        <w:t xml:space="preserve">I didn’t complete this course because I came upon an impossible obstacle: I lost trust in the course and the presenters in week 4. Skip to the</w:t>
      </w:r>
      <w:r>
        <w:t xml:space="preserve"> </w:t>
      </w:r>
      <w:hyperlink w:anchor="a-reflection">
        <w:r>
          <w:rPr>
            <w:rStyle w:val="Hyperlink"/>
          </w:rPr>
          <w:t xml:space="preserve">reflection</w:t>
        </w:r>
      </w:hyperlink>
      <w:r>
        <w:t xml:space="preserve">.</w:t>
      </w:r>
    </w:p>
    <w:p>
      <w:pPr>
        <w:pStyle w:val="BodyText"/>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30 November 2020 at 17:34.</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of the time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3"/>
      </w:pPr>
      <w:bookmarkStart w:id="108" w:name="designing-for-values"/>
      <w:r>
        <w:t xml:space="preserve">Designing for values</w:t>
      </w:r>
      <w:bookmarkEnd w:id="108"/>
    </w:p>
    <w:p>
      <w:pPr>
        <w:pStyle w:val="FirstParagraph"/>
      </w:pPr>
      <w:r>
        <w:t xml:space="preserve">Lessig describes constitution as</w:t>
      </w:r>
      <w:r>
        <w:t xml:space="preserve"> </w:t>
      </w:r>
      <w:r>
        <w:t xml:space="preserve">“</w:t>
      </w:r>
      <w:r>
        <w:t xml:space="preserve">not just a legal text but a way of life – that structures and constrains social and legal power, to the end of protecting fundamental values</w:t>
      </w:r>
      <w:r>
        <w:t xml:space="preserve">”</w:t>
      </w:r>
      <w:r>
        <w:t xml:space="preserve"> </w:t>
      </w:r>
      <w:r>
        <w:t xml:space="preserve">(</w:t>
      </w:r>
      <w:r>
        <w:t xml:space="preserve">Lessig (</w:t>
      </w:r>
      <w:hyperlink w:anchor="ref-Lessig2006">
        <w:r>
          <w:rPr>
            <w:rStyle w:val="Hyperlink"/>
          </w:rPr>
          <w:t xml:space="preserve">2006</w:t>
        </w:r>
      </w:hyperlink>
      <w:r>
        <w:t xml:space="preserve">)</w:t>
      </w:r>
      <w:r>
        <w:t xml:space="preserve">, p.19). The characterisation of</w:t>
      </w:r>
      <w:r>
        <w:t xml:space="preserve"> </w:t>
      </w:r>
      <w:r>
        <w:t xml:space="preserve">“</w:t>
      </w:r>
      <w:r>
        <w:t xml:space="preserve">code is law</w:t>
      </w:r>
      <w:r>
        <w:t xml:space="preserve">”</w:t>
      </w:r>
      <w:r>
        <w:t xml:space="preserve"> </w:t>
      </w:r>
      <w:r>
        <w:t xml:space="preserve">as originally presented</w:t>
      </w:r>
      <w:r>
        <w:t xml:space="preserve"> </w:t>
      </w:r>
      <w:r>
        <w:t xml:space="preserve">(Lessing,</w:t>
      </w:r>
      <w:r>
        <w:t xml:space="preserve"> </w:t>
      </w:r>
      <w:hyperlink w:anchor="ref-Lessing2000">
        <w:r>
          <w:rPr>
            <w:rStyle w:val="Hyperlink"/>
          </w:rPr>
          <w:t xml:space="preserve">2000</w:t>
        </w:r>
      </w:hyperlink>
      <w:r>
        <w:t xml:space="preserve">)</w:t>
      </w:r>
      <w:r>
        <w:t xml:space="preserve"> </w:t>
      </w:r>
      <w:r>
        <w:t xml:space="preserve">and in the more recent version</w:t>
      </w:r>
      <w:r>
        <w:t xml:space="preserve"> </w:t>
      </w:r>
      <w:r>
        <w:t xml:space="preserve">(Lessig,</w:t>
      </w:r>
      <w:r>
        <w:t xml:space="preserve"> </w:t>
      </w:r>
      <w:hyperlink w:anchor="ref-Lessig2006">
        <w:r>
          <w:rPr>
            <w:rStyle w:val="Hyperlink"/>
          </w:rPr>
          <w:t xml:space="preserve">2006</w:t>
        </w:r>
      </w:hyperlink>
      <w:r>
        <w:t xml:space="preserve">)</w:t>
      </w:r>
      <w:r>
        <w:t xml:space="preserve">, interestingly dedicated to Wikipedia, underlines the point above: the parts of a system manifest and make its character: the course notes suggest that because of this, by whom and how systems are built are not just technical matters but rather</w:t>
      </w:r>
      <w:r>
        <w:t xml:space="preserve"> </w:t>
      </w:r>
      <w:r>
        <w:t xml:space="preserve">“</w:t>
      </w:r>
      <w:r>
        <w:t xml:space="preserve">societal, ethical and political</w:t>
      </w:r>
      <w:r>
        <w:t xml:space="preserve">”</w:t>
      </w:r>
      <w:r>
        <w:t xml:space="preserve">.</w:t>
      </w:r>
    </w:p>
    <w:p>
      <w:pPr>
        <w:pStyle w:val="BodyText"/>
      </w:pPr>
      <w:r>
        <w:t xml:space="preserve">Values must be considered by the designers of a system: the example of a laptop camera with a built-in privacy shutter is presented to illustrate this. GDPR tries to mandate this because users are incapable of understanding the systems they are using and make choices to protect themselves from using systems that may be harmful to them.</w:t>
      </w:r>
    </w:p>
    <w:p>
      <w:pPr>
        <w:pStyle w:val="BodyText"/>
      </w:pPr>
      <w:r>
        <w:t xml:space="preserve">A difficulty arises when such systems replace services which might be considered basic needs: for example, it is a legal right to know how your pay packet has been calculated and yet employers hide this information behind access barriers like online pay systems. Pension providers, too, require their pensioners to be computer literate, online and savvy in order to access their own pensions. Today’s letter from</w:t>
      </w:r>
      <w:r>
        <w:t xml:space="preserve"> </w:t>
      </w:r>
      <w:hyperlink r:id="rId109">
        <w:r>
          <w:rPr>
            <w:rStyle w:val="Hyperlink"/>
          </w:rPr>
          <w:t xml:space="preserve">USS</w:t>
        </w:r>
      </w:hyperlink>
      <w:r>
        <w:t xml:space="preserve"> </w:t>
      </w:r>
      <w:r>
        <w:t xml:space="preserve">advises that</w:t>
      </w:r>
      <w:r>
        <w:t xml:space="preserve"> </w:t>
      </w:r>
      <w:r>
        <w:t xml:space="preserve">“</w:t>
      </w:r>
      <w:r>
        <w:t xml:space="preserve">in the future, all your documents will be online 24/7 – no more lost paper</w:t>
      </w:r>
      <w:r>
        <w:t xml:space="preserve">”</w:t>
      </w:r>
      <w:r>
        <w:t xml:space="preserve">. These abuses of power don’t even try to be honest about the reasons for such a move: and the designers of that system will have a set of values to embed within their system that have nothing to do with the needs of their customers. Even writing that sentence is difficult because the customer (I was going to write client) is no longer the person for whom the service is providing.</w:t>
      </w:r>
    </w:p>
    <w:p>
      <w:pPr>
        <w:pStyle w:val="BodyText"/>
      </w:pPr>
      <w:r>
        <w:t xml:space="preserve">Faced with such powerlessness in the face of innovation, the individual is unable to defend themselves against the abuses of it. Government regulation is not much more than ethics washing.</w:t>
      </w:r>
    </w:p>
    <w:p>
      <w:pPr>
        <w:pStyle w:val="Heading4"/>
      </w:pPr>
      <w:bookmarkStart w:id="110" w:name="making-improvements"/>
      <w:r>
        <w:t xml:space="preserve">Making improvements</w:t>
      </w:r>
      <w:bookmarkEnd w:id="110"/>
    </w:p>
    <w:p>
      <w:pPr>
        <w:pStyle w:val="FirstParagraph"/>
      </w:pPr>
      <w:r>
        <w:t xml:space="preserve">My post, under the heading</w:t>
      </w:r>
      <w:r>
        <w:t xml:space="preserve"> </w:t>
      </w:r>
      <w:r>
        <w:t xml:space="preserve">“</w:t>
      </w:r>
      <w:r>
        <w:t xml:space="preserve">Education</w:t>
      </w:r>
      <w:r>
        <w:t xml:space="preserve">”</w:t>
      </w:r>
      <w:r>
        <w:t xml:space="preserve">, suggests this:</w:t>
      </w:r>
    </w:p>
    <w:p>
      <w:pPr>
        <w:pStyle w:val="BlockText"/>
      </w:pPr>
      <w:r>
        <w:t xml:space="preserve">“</w:t>
      </w:r>
      <w:r>
        <w:t xml:space="preserve">People are more likely to make more circumspect use of smart tech if they know what is does, what is might do, and how to prevent it. A simple example is setting your browser to block third-party cookies, employing an ad blocker, and similar tools.</w:t>
      </w:r>
      <w:r>
        <w:t xml:space="preserve">”</w:t>
      </w:r>
    </w:p>
    <w:p>
      <w:pPr>
        <w:pStyle w:val="Heading1"/>
      </w:pPr>
      <w:bookmarkStart w:id="111" w:name="week-4-money-and-markets"/>
      <w:r>
        <w:t xml:space="preserve">Week 4: Money and Markets</w:t>
      </w:r>
      <w:bookmarkEnd w:id="111"/>
    </w:p>
    <w:p>
      <w:pPr>
        <w:pStyle w:val="FirstParagraph"/>
      </w:pPr>
      <w:r>
        <w:t xml:space="preserve">The introduction to this week starts out with a new context:</w:t>
      </w:r>
      <w:r>
        <w:t xml:space="preserve"> </w:t>
      </w:r>
      <w:r>
        <w:rPr>
          <w:i/>
        </w:rPr>
        <w:t xml:space="preserve">the algorithmic economy</w:t>
      </w:r>
      <w:r>
        <w:t xml:space="preserve">. Three questions offer a framework for our enquiry, presented as</w:t>
      </w:r>
      <w:r>
        <w:t xml:space="preserve"> </w:t>
      </w:r>
      <w:r>
        <w:t xml:space="preserve">“</w:t>
      </w:r>
      <w:r>
        <w:t xml:space="preserve">fundamental ethical questions</w:t>
      </w:r>
      <w:r>
        <w:t xml:space="preserve">”</w:t>
      </w:r>
      <w:r>
        <w:t xml:space="preserve">. The first, in my view, is not an ethical question at all but a political one, that of how wealth ought to be distributed. Either I still am not understanding the meaning of the word,</w:t>
      </w:r>
      <w:r>
        <w:t xml:space="preserve"> </w:t>
      </w:r>
      <w:r>
        <w:rPr>
          <w:i/>
        </w:rPr>
        <w:t xml:space="preserve">ethics</w:t>
      </w:r>
      <w:r>
        <w:t xml:space="preserve">, or there is again revealed here the liberal dogma of the course-writers</w:t>
      </w:r>
      <w:r>
        <w:rPr>
          <w:rStyle w:val="FootnoteReference"/>
        </w:rPr>
        <w:footnoteReference w:id="112"/>
      </w:r>
      <w:r>
        <w:t xml:space="preserve">.</w:t>
      </w:r>
    </w:p>
    <w:p>
      <w:pPr>
        <w:pStyle w:val="BlockText"/>
      </w:pPr>
      <w:r>
        <w:t xml:space="preserve">“</w:t>
      </w:r>
      <w:r>
        <w:t xml:space="preserve">The inherent vice of capitalism is the unequal sharing of blessings. The inherent virtue of Socialism is the equal sharing of miseries.</w:t>
      </w:r>
      <w:r>
        <w:t xml:space="preserve">”</w:t>
      </w:r>
      <w:r>
        <w:t xml:space="preserve"> </w:t>
      </w:r>
      <w:r>
        <w:t xml:space="preserve">–</w:t>
      </w:r>
      <w:r>
        <w:t xml:space="preserve"> </w:t>
      </w:r>
      <w:r>
        <w:t xml:space="preserve">Churchill (</w:t>
      </w:r>
      <w:hyperlink w:anchor="ref-Churchill1945">
        <w:r>
          <w:rPr>
            <w:rStyle w:val="Hyperlink"/>
          </w:rPr>
          <w:t xml:space="preserve">1945</w:t>
        </w:r>
      </w:hyperlink>
      <w:r>
        <w:t xml:space="preserve">)</w:t>
      </w:r>
    </w:p>
    <w:p>
      <w:pPr>
        <w:pStyle w:val="FirstParagraph"/>
      </w:pPr>
      <w:r>
        <w:t xml:space="preserve">The other two ask questions which seem bizarre to me. One,</w:t>
      </w:r>
      <w:r>
        <w:t xml:space="preserve"> </w:t>
      </w:r>
      <w:r>
        <w:rPr>
          <w:i/>
        </w:rPr>
        <w:t xml:space="preserve">What makes algorithms that allocate benefits and harms, fair?</w:t>
      </w:r>
      <w:r>
        <w:t xml:space="preserve"> </w:t>
      </w:r>
      <w:r>
        <w:t xml:space="preserve">introduces the concept of fairness in a place I wouldn’t have expected it. Extending Churchill, life isn’t fair, so why should we break our necks with angst over our technical systems? Perhaps this is a matter of degree: we none of us particularly would disadvantage a citizen in, say, the allocation of health benefits for the colour of their skin. The final question seems also to be naïve,</w:t>
      </w:r>
      <w:r>
        <w:t xml:space="preserve"> </w:t>
      </w:r>
      <w:r>
        <w:rPr>
          <w:i/>
        </w:rPr>
        <w:t xml:space="preserve">What are the principles that tech giants apply when they influence how our attention and income should be distributed?</w:t>
      </w:r>
      <w:r>
        <w:t xml:space="preserve">, the answer to which is simple and obvious enough:</w:t>
      </w:r>
      <w:r>
        <w:t xml:space="preserve"> </w:t>
      </w:r>
      <w:r>
        <w:rPr>
          <w:i/>
        </w:rPr>
        <w:t xml:space="preserve">maximize the shareholders’ ROI</w:t>
      </w:r>
      <w:r>
        <w:t xml:space="preserve">.</w:t>
      </w:r>
    </w:p>
    <w:p>
      <w:pPr>
        <w:pStyle w:val="BodyText"/>
      </w:pPr>
      <w:hyperlink r:id="rId113">
        <w:r>
          <w:rPr>
            <w:rStyle w:val="Hyperlink"/>
          </w:rPr>
          <w:t xml:space="preserve">Professor Michael Rovatsos</w:t>
        </w:r>
      </w:hyperlink>
      <w:r>
        <w:t xml:space="preserve"> </w:t>
      </w:r>
      <w:r>
        <w:t xml:space="preserve">in his introduction to the week describes as utopian, a vision of the future which sounded to me more like a chapter from</w:t>
      </w:r>
      <w:r>
        <w:t xml:space="preserve"> </w:t>
      </w:r>
      <w:r>
        <w:t xml:space="preserve">Huxley (</w:t>
      </w:r>
      <w:hyperlink w:anchor="ref-Huxley1955">
        <w:r>
          <w:rPr>
            <w:rStyle w:val="Hyperlink"/>
          </w:rPr>
          <w:t xml:space="preserve">1955</w:t>
        </w:r>
      </w:hyperlink>
      <w:r>
        <w:t xml:space="preserve">)</w:t>
      </w:r>
      <w:r>
        <w:t xml:space="preserve"> </w:t>
      </w:r>
      <w:r>
        <w:t xml:space="preserve">in its horror. I have to wonder who funds his research. He offers a dichotomy between</w:t>
      </w:r>
      <w:r>
        <w:t xml:space="preserve"> </w:t>
      </w:r>
      <w:r>
        <w:t xml:space="preserve">“</w:t>
      </w:r>
      <w:r>
        <w:t xml:space="preserve">digital communism</w:t>
      </w:r>
      <w:r>
        <w:t xml:space="preserve">”</w:t>
      </w:r>
      <w:r>
        <w:t xml:space="preserve"> </w:t>
      </w:r>
      <w:r>
        <w:t xml:space="preserve">and</w:t>
      </w:r>
      <w:r>
        <w:t xml:space="preserve"> </w:t>
      </w:r>
      <w:r>
        <w:t xml:space="preserve">“</w:t>
      </w:r>
      <w:r>
        <w:t xml:space="preserve">surveillance capitalism</w:t>
      </w:r>
      <w:r>
        <w:t xml:space="preserve">”</w:t>
      </w:r>
      <w:r>
        <w:t xml:space="preserve">. He goes on, citing this as principle:</w:t>
      </w:r>
    </w:p>
    <w:p>
      <w:pPr>
        <w:pStyle w:val="BlockText"/>
      </w:pPr>
      <w:r>
        <w:t xml:space="preserve">“</w:t>
      </w:r>
      <w:r>
        <w:t xml:space="preserve">From each according to his ability, to each according to his needs!</w:t>
      </w:r>
      <w:r>
        <w:t xml:space="preserve">”</w:t>
      </w:r>
      <w:r>
        <w:t xml:space="preserve"> </w:t>
      </w:r>
      <w:r>
        <w:t xml:space="preserve">–</w:t>
      </w:r>
      <w:r>
        <w:t xml:space="preserve"> </w:t>
      </w:r>
      <w:r>
        <w:t xml:space="preserve">Marx (</w:t>
      </w:r>
      <w:hyperlink w:anchor="ref-Marx1875">
        <w:r>
          <w:rPr>
            <w:rStyle w:val="Hyperlink"/>
          </w:rPr>
          <w:t xml:space="preserve">1875</w:t>
        </w:r>
      </w:hyperlink>
      <w:r>
        <w:t xml:space="preserve">)</w:t>
      </w:r>
    </w:p>
    <w:p>
      <w:pPr>
        <w:pStyle w:val="Heading2"/>
      </w:pPr>
      <w:bookmarkStart w:id="114" w:name="and-so-it-goes-vonnegut1969"/>
      <w:r>
        <w:t xml:space="preserve">And so it goes</w:t>
      </w:r>
      <w:r>
        <w:t xml:space="preserve"> </w:t>
      </w:r>
      <w:r>
        <w:t xml:space="preserve">(Vonnegut,</w:t>
      </w:r>
      <w:r>
        <w:t xml:space="preserve"> </w:t>
      </w:r>
      <w:hyperlink w:anchor="ref-Vonnegut1969">
        <w:r>
          <w:rPr>
            <w:rStyle w:val="Hyperlink"/>
          </w:rPr>
          <w:t xml:space="preserve">1969</w:t>
        </w:r>
      </w:hyperlink>
      <w:r>
        <w:t xml:space="preserve">)</w:t>
      </w:r>
      <w:bookmarkEnd w:id="114"/>
    </w:p>
    <w:p>
      <w:pPr>
        <w:pStyle w:val="FirstParagraph"/>
      </w:pPr>
      <w:r>
        <w:t xml:space="preserve">At this point, I feel deeply uncomfortable with this course and the intentions of the authors. It is for me now nothing more than propaganda dressed as academic disinterest. I’m going to stop the course here.</w:t>
      </w:r>
    </w:p>
    <w:p>
      <w:pPr>
        <w:pStyle w:val="Heading1"/>
      </w:pPr>
      <w:bookmarkStart w:id="115" w:name="a-reflection"/>
      <w:r>
        <w:t xml:space="preserve">A reflection</w:t>
      </w:r>
      <w:bookmarkEnd w:id="115"/>
    </w:p>
    <w:p>
      <w:pPr>
        <w:pStyle w:val="FirstParagraph"/>
      </w:pPr>
      <w:r>
        <w:t xml:space="preserve">I can’t tell you how disappointed I am in this course</w:t>
      </w:r>
      <w:r>
        <w:rPr>
          <w:rStyle w:val="FootnoteReference"/>
        </w:rPr>
        <w:footnoteReference w:id="116"/>
      </w:r>
      <w:r>
        <w:t xml:space="preserve">. It is cack-handed and lazy, pedagogically speaking, but worse,</w:t>
      </w:r>
      <w:r>
        <w:t xml:space="preserve"> </w:t>
      </w:r>
      <w:r>
        <w:rPr>
          <w:i/>
        </w:rPr>
        <w:t xml:space="preserve">much worse</w:t>
      </w:r>
      <w:r>
        <w:t xml:space="preserve"> </w:t>
      </w:r>
      <w:r>
        <w:t xml:space="preserve">than that, it is a pretence, either ignorant and naïve, or with political intent. It feigns academic authority: it is presented by learned people keeping straight faces in the dispassionate, disconnected, and disinterested way that proper scientists do. However,</w:t>
      </w:r>
      <w:r>
        <w:t xml:space="preserve"> </w:t>
      </w:r>
      <w:hyperlink w:anchor="human-ai-interaction">
        <w:r>
          <w:rPr>
            <w:rStyle w:val="Hyperlink"/>
          </w:rPr>
          <w:t xml:space="preserve">early in the course</w:t>
        </w:r>
      </w:hyperlink>
      <w:r>
        <w:t xml:space="preserve"> </w:t>
      </w:r>
      <w:r>
        <w:t xml:space="preserve">the unexpected amnesia appears,</w:t>
      </w:r>
      <w:r>
        <w:t xml:space="preserve"> </w:t>
      </w:r>
      <w:hyperlink w:anchor="common-ethical-issues">
        <w:r>
          <w:rPr>
            <w:rStyle w:val="Hyperlink"/>
          </w:rPr>
          <w:t xml:space="preserve">followed quickly</w:t>
        </w:r>
      </w:hyperlink>
      <w:r>
        <w:t xml:space="preserve"> </w:t>
      </w:r>
      <w:r>
        <w:t xml:space="preserve">by the implicit claim to moral authority by the course writers. This is either just very bad science or supreme arrogance. Further examples</w:t>
      </w:r>
      <w:r>
        <w:rPr>
          <w:rStyle w:val="FootnoteReference"/>
        </w:rPr>
        <w:footnoteReference w:id="117"/>
      </w:r>
      <w:r>
        <w:t xml:space="preserve"> </w:t>
      </w:r>
      <w:r>
        <w:t xml:space="preserve">chip away at what is left of the credibility of this course until</w:t>
      </w:r>
      <w:r>
        <w:t xml:space="preserve"> </w:t>
      </w:r>
      <w:hyperlink w:anchor="week-4-money-and-markets">
        <w:r>
          <w:rPr>
            <w:rStyle w:val="Hyperlink"/>
          </w:rPr>
          <w:t xml:space="preserve">the great reveal of the Marxist meme</w:t>
        </w:r>
      </w:hyperlink>
      <w:r>
        <w:t xml:space="preserve">, offered as a principle, no less. For me, at this point, trust is betrayed, not just in the course, but also the team that present it, and perhaps even the University and bodies they represent. This is disappointing.</w:t>
      </w:r>
    </w:p>
    <w:p>
      <w:pPr>
        <w:pStyle w:val="Heading3"/>
      </w:pPr>
      <w:bookmarkStart w:id="118" w:name="will-i-be-back-for-another-mooc"/>
      <w:r>
        <w:t xml:space="preserve">Will I be back for another MOOC?</w:t>
      </w:r>
      <w:bookmarkEnd w:id="118"/>
    </w:p>
    <w:p>
      <w:pPr>
        <w:pStyle w:val="FirstParagraph"/>
      </w:pPr>
      <w:r>
        <w:t xml:space="preserve">Not likely, and certainly not another University of Edinburgh one. If I need professional teaching, then I will get a professional teacher in, or do it myself, like the plumbing.</w:t>
      </w:r>
    </w:p>
    <w:p>
      <w:pPr>
        <w:pStyle w:val="Heading3"/>
      </w:pPr>
      <w:bookmarkStart w:id="119" w:name="a-wider-problem"/>
      <w:r>
        <w:t xml:space="preserve">A wider problem</w:t>
      </w:r>
      <w:bookmarkEnd w:id="119"/>
    </w:p>
    <w:p>
      <w:pPr>
        <w:pStyle w:val="FirstParagraph"/>
      </w:pPr>
      <w:r>
        <w:t xml:space="preserve">I occasionally refer to</w:t>
      </w:r>
      <w:r>
        <w:t xml:space="preserve"> </w:t>
      </w:r>
      <w:r>
        <w:t xml:space="preserve">“</w:t>
      </w:r>
      <w:r>
        <w:t xml:space="preserve">the socialist republic of Moray House</w:t>
      </w:r>
      <w:r>
        <w:t xml:space="preserve">”</w:t>
      </w:r>
      <w:r>
        <w:t xml:space="preserve"> </w:t>
      </w:r>
      <w:r>
        <w:t xml:space="preserve">when observing the left-wing stance of colleagues in the part of the University I know best. It seems that such socialist leanings may not be confined to the social sciences, although this course is more social science than it is real science, and therein, maybe, lies the problem. Despite warnings</w:t>
      </w:r>
      <w:r>
        <w:t xml:space="preserve"> </w:t>
      </w:r>
      <w:r>
        <w:t xml:space="preserve">(Horgan,</w:t>
      </w:r>
      <w:r>
        <w:t xml:space="preserve"> </w:t>
      </w:r>
      <w:hyperlink w:anchor="ref-Horgan2013">
        <w:r>
          <w:rPr>
            <w:rStyle w:val="Hyperlink"/>
          </w:rPr>
          <w:t xml:space="preserve">2013</w:t>
        </w:r>
      </w:hyperlink>
      <w:r>
        <w:t xml:space="preserve">)</w:t>
      </w:r>
      <w:r>
        <w:t xml:space="preserve">, social researchers still wade into deep waters where they are not equipped to go: morality and ethics are possibly the last place they should be allowed to wield their sickles in case they cut themselves.</w:t>
      </w:r>
    </w:p>
    <w:p>
      <w:pPr>
        <w:pStyle w:val="Heading1"/>
      </w:pPr>
      <w:bookmarkStart w:id="120" w:name="references"/>
      <w:r>
        <w:t xml:space="preserve">References</w:t>
      </w:r>
      <w:bookmarkEnd w:id="120"/>
    </w:p>
    <w:bookmarkStart w:id="162" w:name="refs"/>
    <w:bookmarkStart w:id="121" w:name="ref-asimov1991foundation"/>
    <w:p>
      <w:pPr>
        <w:pStyle w:val="Bibliography"/>
      </w:pPr>
      <w:r>
        <w:t xml:space="preserve">Asimov, I. (1991).</w:t>
      </w:r>
      <w:r>
        <w:t xml:space="preserve"> </w:t>
      </w:r>
      <w:r>
        <w:rPr>
          <w:i/>
        </w:rPr>
        <w:t xml:space="preserve">Foundation</w:t>
      </w:r>
      <w:r>
        <w:t xml:space="preserve">. Bantam Books.</w:t>
      </w:r>
    </w:p>
    <w:bookmarkEnd w:id="121"/>
    <w:bookmarkStart w:id="123"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22">
        <w:r>
          <w:rPr>
            <w:rStyle w:val="Hyperlink"/>
          </w:rPr>
          <w:t xml:space="preserve">https://doi.org/10.3389/fpsyg.2018.00849</w:t>
        </w:r>
      </w:hyperlink>
    </w:p>
    <w:bookmarkEnd w:id="123"/>
    <w:bookmarkStart w:id="124"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24"/>
    <w:bookmarkStart w:id="126" w:name="ref-OED-bias"/>
    <w:p>
      <w:pPr>
        <w:pStyle w:val="Bibliography"/>
      </w:pPr>
      <w:r>
        <w:rPr>
          <w:i/>
        </w:rPr>
        <w:t xml:space="preserve">bias, adj., n., and adv. : Oxford English Dictionary</w:t>
      </w:r>
      <w:r>
        <w:t xml:space="preserve">. (n.d.). Retrieved November 16, 2020, from</w:t>
      </w:r>
      <w:r>
        <w:t xml:space="preserve"> </w:t>
      </w:r>
      <w:hyperlink r:id="rId125">
        <w:r>
          <w:rPr>
            <w:rStyle w:val="Hyperlink"/>
          </w:rPr>
          <w:t xml:space="preserve">https://www.oed.com/view/Entry/18564?result=1&amp;rskey=pOoRi9&amp;</w:t>
        </w:r>
      </w:hyperlink>
    </w:p>
    <w:bookmarkEnd w:id="126"/>
    <w:bookmarkStart w:id="128" w:name="ref-Churchill1945"/>
    <w:p>
      <w:pPr>
        <w:pStyle w:val="Bibliography"/>
      </w:pPr>
      <w:r>
        <w:t xml:space="preserve">Churchill, W. (1945).</w:t>
      </w:r>
      <w:r>
        <w:t xml:space="preserve"> </w:t>
      </w:r>
      <w:r>
        <w:rPr>
          <w:i/>
        </w:rPr>
        <w:t xml:space="preserve">DEMOBILISATION</w:t>
      </w:r>
      <w:r>
        <w:t xml:space="preserve">.</w:t>
      </w:r>
      <w:r>
        <w:t xml:space="preserve"> </w:t>
      </w:r>
      <w:hyperlink r:id="rId127">
        <w:r>
          <w:rPr>
            <w:rStyle w:val="Hyperlink"/>
          </w:rPr>
          <w:t xml:space="preserve">https://api.parliament.uk/historic-hansard/commons/1945/oct/22/demobilisation#column_1704</w:t>
        </w:r>
      </w:hyperlink>
    </w:p>
    <w:bookmarkEnd w:id="128"/>
    <w:bookmarkStart w:id="130" w:name="ref-TitleVii1964"/>
    <w:p>
      <w:pPr>
        <w:pStyle w:val="Bibliography"/>
      </w:pPr>
      <w:r>
        <w:rPr>
          <w:i/>
        </w:rPr>
        <w:t xml:space="preserve">Civil Rights Act of 1964 - CRA - Title VII - Equal Employment Opportunities - 42 US Code Chapter 21</w:t>
      </w:r>
      <w:r>
        <w:t xml:space="preserve">. (1964).</w:t>
      </w:r>
      <w:r>
        <w:t xml:space="preserve"> </w:t>
      </w:r>
      <w:hyperlink r:id="rId129">
        <w:r>
          <w:rPr>
            <w:rStyle w:val="Hyperlink"/>
          </w:rPr>
          <w:t xml:space="preserve">https://finduslaw.com/civil-rights-act-1964-cra-title-vii-equal-employment-opportunities-42-us-code-chapter-21</w:t>
        </w:r>
      </w:hyperlink>
    </w:p>
    <w:bookmarkEnd w:id="130"/>
    <w:bookmarkStart w:id="132"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31">
        <w:r>
          <w:rPr>
            <w:rStyle w:val="Hyperlink"/>
          </w:rPr>
          <w:t xml:space="preserve">https://www.theclinic.cl/2019/07/25/batallas-3-0-inteligencia-artificial-y-algoritmos-versus-delincuencia-en-chile/</w:t>
        </w:r>
      </w:hyperlink>
    </w:p>
    <w:bookmarkEnd w:id="132"/>
    <w:bookmarkStart w:id="133"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33"/>
    <w:bookmarkStart w:id="134"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34"/>
    <w:bookmarkStart w:id="136"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35">
        <w:r>
          <w:rPr>
            <w:rStyle w:val="Hyperlink"/>
          </w:rPr>
          <w:t xml:space="preserve">https://www.imdb.com/title/tt5835714/?ref_=ttep_ep3</w:t>
        </w:r>
      </w:hyperlink>
    </w:p>
    <w:bookmarkEnd w:id="136"/>
    <w:bookmarkStart w:id="138" w:name="ref-Horgan2013"/>
    <w:p>
      <w:pPr>
        <w:pStyle w:val="Bibliography"/>
      </w:pPr>
      <w:r>
        <w:t xml:space="preserve">Horgan, J. (2013).</w:t>
      </w:r>
      <w:r>
        <w:t xml:space="preserve"> </w:t>
      </w:r>
      <w:r>
        <w:rPr>
          <w:i/>
        </w:rPr>
        <w:t xml:space="preserve">Is "Social Science" an Oxymoron? Will That Ever Change?</w:t>
      </w:r>
      <w:r>
        <w:t xml:space="preserve"> </w:t>
      </w:r>
      <w:hyperlink r:id="rId137">
        <w:r>
          <w:rPr>
            <w:rStyle w:val="Hyperlink"/>
          </w:rPr>
          <w:t xml:space="preserve">https://blogs.scientificamerican.com/cross-check/is-social-science-an-oxymoron-will-that-ever-change/</w:t>
        </w:r>
      </w:hyperlink>
    </w:p>
    <w:bookmarkEnd w:id="138"/>
    <w:bookmarkStart w:id="139"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39"/>
    <w:bookmarkStart w:id="141"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40">
        <w:r>
          <w:rPr>
            <w:rStyle w:val="Hyperlink"/>
          </w:rPr>
          <w:t xml:space="preserve">https://iot-analytics.com/top-10-iot-applications-in-2020/</w:t>
        </w:r>
      </w:hyperlink>
    </w:p>
    <w:bookmarkEnd w:id="141"/>
    <w:bookmarkStart w:id="143"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42">
        <w:r>
          <w:rPr>
            <w:rStyle w:val="Hyperlink"/>
          </w:rPr>
          <w:t xml:space="preserve">https://doi.org/10.1145/2983270</w:t>
        </w:r>
      </w:hyperlink>
    </w:p>
    <w:bookmarkEnd w:id="143"/>
    <w:bookmarkStart w:id="145"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44">
        <w:r>
          <w:rPr>
            <w:rStyle w:val="Hyperlink"/>
          </w:rPr>
          <w:t xml:space="preserve">https://doi.org/10.1037/0022-3514.77.6.1121</w:t>
        </w:r>
      </w:hyperlink>
    </w:p>
    <w:bookmarkEnd w:id="145"/>
    <w:bookmarkStart w:id="146" w:name="ref-Lessig2006"/>
    <w:p>
      <w:pPr>
        <w:pStyle w:val="Bibliography"/>
      </w:pPr>
      <w:r>
        <w:t xml:space="preserve">Lessig, L. (2006).</w:t>
      </w:r>
      <w:r>
        <w:t xml:space="preserve"> </w:t>
      </w:r>
      <w:r>
        <w:rPr>
          <w:i/>
        </w:rPr>
        <w:t xml:space="preserve">Code Version 2.0</w:t>
      </w:r>
      <w:r>
        <w:t xml:space="preserve"> </w:t>
      </w:r>
      <w:r>
        <w:t xml:space="preserve">(p. 410). Basic Books.</w:t>
      </w:r>
    </w:p>
    <w:bookmarkEnd w:id="146"/>
    <w:bookmarkStart w:id="148" w:name="ref-Lessing2000"/>
    <w:p>
      <w:pPr>
        <w:pStyle w:val="Bibliography"/>
      </w:pPr>
      <w:r>
        <w:t xml:space="preserve">Lessing, L. (2000).</w:t>
      </w:r>
      <w:r>
        <w:t xml:space="preserve"> </w:t>
      </w:r>
      <w:r>
        <w:rPr>
          <w:i/>
        </w:rPr>
        <w:t xml:space="preserve">Code is Law – On Liberty in Cyberspace</w:t>
      </w:r>
      <w:r>
        <w:t xml:space="preserve">.</w:t>
      </w:r>
      <w:r>
        <w:t xml:space="preserve"> </w:t>
      </w:r>
      <w:hyperlink r:id="rId147">
        <w:r>
          <w:rPr>
            <w:rStyle w:val="Hyperlink"/>
          </w:rPr>
          <w:t xml:space="preserve">https://www.harvardmagazine.com/2000/01/code-is-law-html</w:t>
        </w:r>
      </w:hyperlink>
    </w:p>
    <w:bookmarkEnd w:id="148"/>
    <w:bookmarkStart w:id="150" w:name="ref-Marx1875"/>
    <w:p>
      <w:pPr>
        <w:pStyle w:val="Bibliography"/>
      </w:pPr>
      <w:r>
        <w:t xml:space="preserve">Marx, K. (1875).</w:t>
      </w:r>
      <w:r>
        <w:t xml:space="preserve"> </w:t>
      </w:r>
      <w:r>
        <w:rPr>
          <w:i/>
        </w:rPr>
        <w:t xml:space="preserve">Critique of the Gotha Programme</w:t>
      </w:r>
      <w:r>
        <w:t xml:space="preserve">.</w:t>
      </w:r>
      <w:r>
        <w:t xml:space="preserve"> </w:t>
      </w:r>
      <w:hyperlink r:id="rId149">
        <w:r>
          <w:rPr>
            <w:rStyle w:val="Hyperlink"/>
          </w:rPr>
          <w:t xml:space="preserve">https://www.marxists.org/archive/marx/works/1875/gotha/ch01.htm</w:t>
        </w:r>
      </w:hyperlink>
    </w:p>
    <w:bookmarkEnd w:id="150"/>
    <w:bookmarkStart w:id="152" w:name="ref-Shakespeare"/>
    <w:p>
      <w:pPr>
        <w:pStyle w:val="Bibliography"/>
      </w:pPr>
      <w:r>
        <w:t xml:space="preserve">Shakespeare, W. (1591).</w:t>
      </w:r>
      <w:r>
        <w:t xml:space="preserve"> </w:t>
      </w:r>
      <w:r>
        <w:rPr>
          <w:i/>
        </w:rPr>
        <w:t xml:space="preserve">Henry VI, part 2: Entire Play</w:t>
      </w:r>
      <w:r>
        <w:t xml:space="preserve">.</w:t>
      </w:r>
      <w:r>
        <w:t xml:space="preserve"> </w:t>
      </w:r>
      <w:hyperlink r:id="rId151">
        <w:r>
          <w:rPr>
            <w:rStyle w:val="Hyperlink"/>
          </w:rPr>
          <w:t xml:space="preserve">http://shakespeare.mit.edu/2henryvi/full.html</w:t>
        </w:r>
      </w:hyperlink>
    </w:p>
    <w:bookmarkEnd w:id="152"/>
    <w:bookmarkStart w:id="154"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53">
        <w:r>
          <w:rPr>
            <w:rStyle w:val="Hyperlink"/>
          </w:rPr>
          <w:t xml:space="preserve">https://doi.org/10.1177/2053951717736335</w:t>
        </w:r>
      </w:hyperlink>
    </w:p>
    <w:bookmarkEnd w:id="154"/>
    <w:bookmarkStart w:id="155"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55"/>
    <w:bookmarkStart w:id="157"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56">
        <w:r>
          <w:rPr>
            <w:rStyle w:val="Hyperlink"/>
          </w:rPr>
          <w:t xml:space="preserve">https://doi.org/10.1093/mind/LIX.236.433</w:t>
        </w:r>
      </w:hyperlink>
    </w:p>
    <w:bookmarkEnd w:id="157"/>
    <w:bookmarkStart w:id="159" w:name="ref-Vonnegut1969"/>
    <w:p>
      <w:pPr>
        <w:pStyle w:val="Bibliography"/>
      </w:pPr>
      <w:r>
        <w:t xml:space="preserve">Vonnegut, K. (1969).</w:t>
      </w:r>
      <w:r>
        <w:t xml:space="preserve"> </w:t>
      </w:r>
      <w:r>
        <w:rPr>
          <w:i/>
        </w:rPr>
        <w:t xml:space="preserve">Slaughterhouse-five, or, The children’s crusade : a duty-dance with death</w:t>
      </w:r>
      <w:r>
        <w:t xml:space="preserve">. Dell.</w:t>
      </w:r>
      <w:r>
        <w:t xml:space="preserve"> </w:t>
      </w:r>
      <w:hyperlink r:id="rId158">
        <w:r>
          <w:rPr>
            <w:rStyle w:val="Hyperlink"/>
          </w:rPr>
          <w:t xml:space="preserve">https://archive.org/details/slaughterhousefivonn00vonn</w:t>
        </w:r>
      </w:hyperlink>
    </w:p>
    <w:bookmarkEnd w:id="159"/>
    <w:bookmarkStart w:id="161"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60">
        <w:r>
          <w:rPr>
            <w:rStyle w:val="Hyperlink"/>
          </w:rPr>
          <w:t xml:space="preserve">https://doi.org/10.1515/9789048550180-016</w:t>
        </w:r>
      </w:hyperlink>
    </w:p>
    <w:bookmarkEnd w:id="161"/>
    <w:bookmarkEnd w:id="162"/>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 w:id="112">
    <w:p>
      <w:pPr>
        <w:pStyle w:val="FootnoteText"/>
      </w:pPr>
      <w:r>
        <w:rPr>
          <w:rStyle w:val="FootnoteReference"/>
        </w:rPr>
        <w:footnoteRef/>
      </w:r>
      <w:r>
        <w:t xml:space="preserve"> </w:t>
      </w:r>
      <w:r>
        <w:t xml:space="preserve">Wealth distribution is arguably an ethical matter only in the political view of socialists.</w:t>
      </w:r>
    </w:p>
  </w:footnote>
  <w:footnote w:id="116">
    <w:p>
      <w:pPr>
        <w:pStyle w:val="FootnoteText"/>
      </w:pPr>
      <w:r>
        <w:rPr>
          <w:rStyle w:val="FootnoteReference"/>
        </w:rPr>
        <w:footnoteRef/>
      </w:r>
      <w:r>
        <w:t xml:space="preserve"> </w:t>
      </w:r>
      <w:r>
        <w:t xml:space="preserve">I even paid the certificate fee, to support open learning, as we all who can afford it, have an ethical duty to do, in my humble opinion. I blustered in rage through the rest of the course, angry at several things. Of course, I didn’t make the 4/6 pass mark. I hadn’t really studied the week 5 materials.</w:t>
      </w:r>
    </w:p>
  </w:footnote>
  <w:footnote w:id="117">
    <w:p>
      <w:pPr>
        <w:pStyle w:val="FootnoteText"/>
      </w:pPr>
      <w:r>
        <w:rPr>
          <w:rStyle w:val="FootnoteReference"/>
        </w:rPr>
        <w:footnoteRef/>
      </w:r>
      <w:r>
        <w:t xml:space="preserve"> </w:t>
      </w:r>
      <w:hyperlink w:anchor="predicitve-policing">
        <w:r>
          <w:rPr>
            <w:rStyle w:val="Hyperlink"/>
          </w:rPr>
          <w:t xml:space="preserve">Here</w:t>
        </w:r>
      </w:hyperlink>
      <w:r>
        <w:t xml:space="preserve">,</w:t>
      </w:r>
      <w:r>
        <w:t xml:space="preserve"> </w:t>
      </w:r>
      <w:hyperlink w:anchor="automating-poverty-task">
        <w:r>
          <w:rPr>
            <w:rStyle w:val="Hyperlink"/>
          </w:rPr>
          <w:t xml:space="preserve">here</w:t>
        </w:r>
      </w:hyperlink>
      <w:r>
        <w:t xml:space="preserve">,</w:t>
      </w:r>
      <w:r>
        <w:t xml:space="preserve"> </w:t>
      </w:r>
      <w:hyperlink w:anchor="bias">
        <w:r>
          <w:rPr>
            <w:rStyle w:val="Hyperlink"/>
          </w:rPr>
          <w:t xml:space="preserve">here</w:t>
        </w:r>
      </w:hyperlink>
      <w:r>
        <w:t xml:space="preserve">, for 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2020-11-30T17:34:36Z</dcterms:created>
  <dcterms:modified xsi:type="dcterms:W3CDTF">2020-11-30T17:34:36Z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30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