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13</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These are my notes from participation in the Edinburgh Data Ethics MOOC, running in November and December 2020. Any errors here are my own responsibility.</w:t>
      </w:r>
    </w:p>
    <w:p>
      <w:pPr>
        <w:pStyle w:val="BodyText"/>
      </w:pPr>
      <w:r>
        <w:t xml:space="preserve">Nick Hood</w:t>
      </w:r>
      <w:r>
        <w:br/>
      </w:r>
      <w:hyperlink r:id="rId21">
        <w:r>
          <w:rPr>
            <w:rStyle w:val="Hyperlink"/>
          </w:rPr>
          <w:t xml:space="preserve">@NixImagery</w:t>
        </w:r>
      </w:hyperlink>
    </w:p>
    <w:p>
      <w:pPr>
        <w:pStyle w:val="BodyText"/>
      </w:pPr>
      <w:r>
        <w:t xml:space="preserve">This document was last updated on 13 November 2020 at 16:56.</w:t>
      </w:r>
    </w:p>
    <w:p>
      <w:pPr>
        <w:pStyle w:val="Heading2"/>
      </w:pPr>
      <w:bookmarkStart w:id="22" w:name="course-overview"/>
      <w:r>
        <w:t xml:space="preserve">Course overview</w:t>
      </w:r>
      <w:bookmarkEnd w:id="22"/>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3" w:name="week-1-ethics-and-law"/>
      <w:r>
        <w:t xml:space="preserve">Week 1: Ethics and Law</w:t>
      </w:r>
      <w:bookmarkEnd w:id="23"/>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4" w:name="ethical-issues"/>
      <w:r>
        <w:t xml:space="preserve">Ethical</w:t>
      </w:r>
      <w:r>
        <w:t xml:space="preserve"> </w:t>
      </w:r>
      <w:r>
        <w:t xml:space="preserve">‘</w:t>
      </w:r>
      <w:r>
        <w:t xml:space="preserve">Issues</w:t>
      </w:r>
      <w:r>
        <w:t xml:space="preserve">’</w:t>
      </w:r>
      <w:bookmarkEnd w:id="24"/>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5" w:name="the-challenge-of-data-driven-innovation"/>
      <w:r>
        <w:t xml:space="preserve">The challenge of data-driven innovation</w:t>
      </w:r>
      <w:bookmarkEnd w:id="25"/>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6" w:name="data-at-the-heart-of-it"/>
      <w:r>
        <w:t xml:space="preserve">Data at the heart of it</w:t>
      </w:r>
      <w:bookmarkEnd w:id="26"/>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7" w:name="visibility-of-rationale"/>
      <w:r>
        <w:t xml:space="preserve">Visibility of rationale</w:t>
      </w:r>
      <w:bookmarkEnd w:id="27"/>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8" w:name="ambient-intelligent-systems"/>
      <w:r>
        <w:t xml:space="preserve">Ambient intelligent systems</w:t>
      </w:r>
      <w:bookmarkEnd w:id="28"/>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29" w:name="human-ai-interaction"/>
      <w:r>
        <w:t xml:space="preserve">Human –&gt; AI interaction</w:t>
      </w:r>
      <w:bookmarkEnd w:id="29"/>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0" w:name="utility"/>
      <w:r>
        <w:t xml:space="preserve">Utility</w:t>
      </w:r>
      <w:bookmarkEnd w:id="30"/>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1" w:name="policy-lag"/>
      <w:r>
        <w:t xml:space="preserve">Policy lag</w:t>
      </w:r>
      <w:bookmarkEnd w:id="31"/>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2" w:name="values"/>
      <w:r>
        <w:t xml:space="preserve">Values</w:t>
      </w:r>
      <w:bookmarkEnd w:id="32"/>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3">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4" w:name="case-studies"/>
      <w:r>
        <w:t xml:space="preserve">Case studies</w:t>
      </w:r>
      <w:bookmarkEnd w:id="34"/>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5">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6">
        <w:r>
          <w:rPr>
            <w:rStyle w:val="Hyperlink"/>
          </w:rPr>
          <w:t xml:space="preserve">Clearview AI’s face recognition app</w:t>
        </w:r>
      </w:hyperlink>
      <w:r>
        <w:t xml:space="preserve">, which</w:t>
      </w:r>
      <w:r>
        <w:t xml:space="preserve"> </w:t>
      </w:r>
      <w:hyperlink r:id="rId37">
        <w:r>
          <w:rPr>
            <w:rStyle w:val="Hyperlink"/>
          </w:rPr>
          <w:t xml:space="preserve">the company</w:t>
        </w:r>
      </w:hyperlink>
      <w:r>
        <w:t xml:space="preserve"> </w:t>
      </w:r>
      <w:r>
        <w:t xml:space="preserve">has worked hard to present as ethical use of technology.</w:t>
      </w:r>
    </w:p>
    <w:p>
      <w:pPr>
        <w:pStyle w:val="Heading2"/>
      </w:pPr>
      <w:bookmarkStart w:id="38" w:name="what-are-ethics"/>
      <w:r>
        <w:t xml:space="preserve">What are ethics?</w:t>
      </w:r>
      <w:bookmarkEnd w:id="38"/>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39" w:name="the-trolley-problem"/>
      <w:r>
        <w:t xml:space="preserve">The trolley problem</w:t>
      </w:r>
      <w:bookmarkEnd w:id="39"/>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0" w:name="making-moral-decisions"/>
      <w:r>
        <w:t xml:space="preserve">Making moral decisions</w:t>
      </w:r>
      <w:bookmarkEnd w:id="40"/>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1">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2" w:name="X5a95a07c8b9fc260d2f2185871c03df440c5742"/>
      <w:r>
        <w:t xml:space="preserve">Decision-making in Scottish Teacher Education</w:t>
      </w:r>
      <w:bookmarkEnd w:id="42"/>
    </w:p>
    <w:p>
      <w:pPr>
        <w:pStyle w:val="FirstParagraph"/>
      </w:pPr>
      <w:r>
        <w:t xml:space="preserve">In my own application, teacher education</w:t>
      </w:r>
      <w:r>
        <w:rPr>
          <w:rStyle w:val="FootnoteReference"/>
        </w:rPr>
        <w:footnoteReference w:id="43"/>
      </w:r>
      <w:r>
        <w:t xml:space="preserve">, the</w:t>
      </w:r>
      <w:r>
        <w:t xml:space="preserve"> </w:t>
      </w:r>
      <w:hyperlink r:id="rId44">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 Captain Lorca, StarTrek Discovery</w:t>
      </w:r>
    </w:p>
    <w:p>
      <w:pPr>
        <w:pStyle w:val="Heading4"/>
      </w:pPr>
      <w:bookmarkStart w:id="45" w:name="Xadbe2f9da5984c2ae53d36d1117b177efb3287d"/>
      <w:r>
        <w:t xml:space="preserve">Moral decision-making applied to data ethics</w:t>
      </w:r>
      <w:bookmarkEnd w:id="45"/>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6"/>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7"/>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8" w:name="a-thought-experiment"/>
      <w:r>
        <w:t xml:space="preserve">A thought experiment</w:t>
      </w:r>
      <w:bookmarkEnd w:id="48"/>
    </w:p>
    <w:p>
      <w:pPr>
        <w:pStyle w:val="FirstParagraph"/>
      </w:pPr>
      <w:r>
        <w:t xml:space="preserve">We are tasked with making our own thought experiment to allows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resepcted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in front of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49" w:name="legal-and-ethical-considerations"/>
      <w:r>
        <w:t xml:space="preserve">Legal and ethical considerations</w:t>
      </w:r>
      <w:bookmarkEnd w:id="49"/>
    </w:p>
    <w:p>
      <w:pPr>
        <w:pStyle w:val="Heading3"/>
      </w:pPr>
      <w:bookmarkStart w:id="50" w:name="legal"/>
      <w:r>
        <w:t xml:space="preserve">Legal</w:t>
      </w:r>
      <w:bookmarkEnd w:id="50"/>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1" w:name="ethical-nothing-ethical-going-on-here."/>
      <w:r>
        <w:t xml:space="preserve">Ethical? Nothing ethical going on here.</w:t>
      </w:r>
      <w:bookmarkEnd w:id="51"/>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gets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2">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3" w:name="information-control-and-power"/>
      <w:r>
        <w:t xml:space="preserve">Information, control and power</w:t>
      </w:r>
      <w:bookmarkEnd w:id="53"/>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4" w:name="common-ethical-issues"/>
      <w:r>
        <w:t xml:space="preserve">Common ethical issues</w:t>
      </w:r>
      <w:bookmarkEnd w:id="54"/>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5" w:name="consent"/>
      <w:r>
        <w:t xml:space="preserve">Consent</w:t>
      </w:r>
      <w:bookmarkEnd w:id="55"/>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6" w:name="week-2-crime-and-justice"/>
      <w:r>
        <w:t xml:space="preserve">Week 2: Crime and Justice</w:t>
      </w:r>
      <w:bookmarkEnd w:id="56"/>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7" w:name="ambiguous-ethical-issues"/>
      <w:r>
        <w:t xml:space="preserve">Ambiguous Ethical Issues</w:t>
      </w:r>
      <w:bookmarkEnd w:id="57"/>
    </w:p>
    <w:p>
      <w:pPr>
        <w:pStyle w:val="Heading3"/>
      </w:pPr>
      <w:bookmarkStart w:id="58" w:name="predictive-policing"/>
      <w:r>
        <w:t xml:space="preserve">Predictive policing</w:t>
      </w:r>
      <w:bookmarkEnd w:id="58"/>
    </w:p>
    <w:p>
      <w:pPr>
        <w:pStyle w:val="FirstParagraph"/>
      </w:pPr>
      <w:r>
        <w:t xml:space="preserve">Another talking head, this time revealing the extent of the use of technology in policing in the UK, as reported by the leftist lobby group NCCL</w:t>
      </w:r>
      <w:r>
        <w:rPr>
          <w:rStyle w:val="FootnoteReference"/>
        </w:rPr>
        <w:footnoteReference w:id="59"/>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0" w:name="algorithms-and-mathematical-models"/>
      <w:r>
        <w:t xml:space="preserve">Algorithms and mathematical models</w:t>
      </w:r>
      <w:bookmarkEnd w:id="60"/>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1">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2" w:name="automating-poverty-task"/>
      <w:r>
        <w:t xml:space="preserve">Automating poverty task</w:t>
      </w:r>
      <w:bookmarkEnd w:id="62"/>
    </w:p>
    <w:p>
      <w:pPr>
        <w:pStyle w:val="FirstParagraph"/>
      </w:pPr>
      <w:r>
        <w:t xml:space="preserve">Time is very short this week, so I skimmed the articles but did not participate in the crowdsourcing discussions</w:t>
      </w:r>
      <w:r>
        <w:rPr>
          <w:rStyle w:val="FootnoteReference"/>
        </w:rPr>
        <w:footnoteReference w:id="63"/>
      </w:r>
      <w:r>
        <w:t xml:space="preserve">.</w:t>
      </w:r>
    </w:p>
    <w:p>
      <w:pPr>
        <w:pStyle w:val="Heading2"/>
      </w:pPr>
      <w:bookmarkStart w:id="64" w:name="crime-justice-and-technology"/>
      <w:r>
        <w:t xml:space="preserve">Crime, Justice and Technology</w:t>
      </w:r>
      <w:bookmarkEnd w:id="64"/>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5"/>
      </w:r>
      <w:r>
        <w:t xml:space="preserve">.</w:t>
      </w:r>
    </w:p>
    <w:p>
      <w:pPr>
        <w:pStyle w:val="BodyText"/>
      </w:pPr>
      <w:r>
        <w:t xml:space="preserve">Justification for the use of such tools is offered within the terms of a social contract, in which citizens surrender certain freedoms (e.g., not to kill each other – obviously a freedom the NRA goads the rest of us to prize from its cold, dead, hands) 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6" w:name="predictive-mapping"/>
      <w:r>
        <w:t xml:space="preserve">Predictive mapping</w:t>
      </w:r>
      <w:bookmarkEnd w:id="66"/>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67">
        <w:r>
          <w:rPr>
            <w:rStyle w:val="Hyperlink"/>
          </w:rPr>
          <w:t xml:space="preserve">DeepL</w:t>
        </w:r>
      </w:hyperlink>
    </w:p>
    <w:p>
      <w:pPr>
        <w:pStyle w:val="Heading3"/>
      </w:pPr>
      <w:bookmarkStart w:id="68" w:name="individual-risk-assessment-programmes"/>
      <w:r>
        <w:t xml:space="preserve">Individual risk assessment programmes</w:t>
      </w:r>
      <w:bookmarkEnd w:id="68"/>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Heading1"/>
      </w:pPr>
      <w:bookmarkStart w:id="69" w:name="references"/>
      <w:r>
        <w:t xml:space="preserve">References</w:t>
      </w:r>
      <w:bookmarkEnd w:id="69"/>
    </w:p>
    <w:bookmarkStart w:id="84" w:name="refs"/>
    <w:bookmarkStart w:id="70" w:name="ref-asimov1991foundation"/>
    <w:p>
      <w:pPr>
        <w:pStyle w:val="Bibliography"/>
      </w:pPr>
      <w:r>
        <w:t xml:space="preserve">Asimov, I. (1991).</w:t>
      </w:r>
      <w:r>
        <w:t xml:space="preserve"> </w:t>
      </w:r>
      <w:r>
        <w:rPr>
          <w:i/>
        </w:rPr>
        <w:t xml:space="preserve">Foundation</w:t>
      </w:r>
      <w:r>
        <w:t xml:space="preserve">. Bantam Books.</w:t>
      </w:r>
    </w:p>
    <w:bookmarkEnd w:id="70"/>
    <w:bookmarkStart w:id="72"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71">
        <w:r>
          <w:rPr>
            <w:rStyle w:val="Hyperlink"/>
          </w:rPr>
          <w:t xml:space="preserve">https://doi.org/10.3389/fpsyg.2018.00849</w:t>
        </w:r>
      </w:hyperlink>
    </w:p>
    <w:bookmarkEnd w:id="72"/>
    <w:bookmarkStart w:id="74"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73">
        <w:r>
          <w:rPr>
            <w:rStyle w:val="Hyperlink"/>
          </w:rPr>
          <w:t xml:space="preserve">https://www.theclinic.cl/2019/07/25/batallas-3-0-inteligencia-artificial-y-algoritmos-versus-delincuencia-en-chile/</w:t>
        </w:r>
      </w:hyperlink>
    </w:p>
    <w:bookmarkEnd w:id="74"/>
    <w:bookmarkStart w:id="75"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75"/>
    <w:bookmarkStart w:id="76"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76"/>
    <w:bookmarkStart w:id="77"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77"/>
    <w:bookmarkStart w:id="79" w:name="ref-Shakespeare"/>
    <w:p>
      <w:pPr>
        <w:pStyle w:val="Bibliography"/>
      </w:pPr>
      <w:r>
        <w:t xml:space="preserve">Shakespeare, W. (1591).</w:t>
      </w:r>
      <w:r>
        <w:t xml:space="preserve"> </w:t>
      </w:r>
      <w:r>
        <w:rPr>
          <w:i/>
        </w:rPr>
        <w:t xml:space="preserve">Henry VI, part 2: Entire Play</w:t>
      </w:r>
      <w:r>
        <w:t xml:space="preserve">.</w:t>
      </w:r>
      <w:r>
        <w:t xml:space="preserve"> </w:t>
      </w:r>
      <w:hyperlink r:id="rId78">
        <w:r>
          <w:rPr>
            <w:rStyle w:val="Hyperlink"/>
          </w:rPr>
          <w:t xml:space="preserve">http://shakespeare.mit.edu/2henryvi/full.html</w:t>
        </w:r>
      </w:hyperlink>
    </w:p>
    <w:bookmarkEnd w:id="79"/>
    <w:bookmarkStart w:id="81"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80">
        <w:r>
          <w:rPr>
            <w:rStyle w:val="Hyperlink"/>
          </w:rPr>
          <w:t xml:space="preserve">https://doi.org/10.1093/mind/LIX.236.433</w:t>
        </w:r>
      </w:hyperlink>
    </w:p>
    <w:bookmarkEnd w:id="81"/>
    <w:bookmarkStart w:id="83"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82">
        <w:r>
          <w:rPr>
            <w:rStyle w:val="Hyperlink"/>
          </w:rPr>
          <w:t xml:space="preserve">https://doi.org/10.1515/9789048550180-016</w:t>
        </w:r>
      </w:hyperlink>
    </w:p>
    <w:bookmarkEnd w:id="83"/>
    <w:bookmarkEnd w:id="84"/>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6">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7">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9">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3">
    <w:p>
      <w:pPr>
        <w:pStyle w:val="FootnoteText"/>
      </w:pPr>
      <w:r>
        <w:rPr>
          <w:rStyle w:val="FootnoteReference"/>
        </w:rPr>
        <w:footnoteRef/>
      </w:r>
      <w:r>
        <w:t xml:space="preserve"> </w:t>
      </w:r>
      <w:r>
        <w:t xml:space="preserve">I find always these a chore, and of little value in online courses like this. It’s become a formula for the MOOC: I enjoyed these once, and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5">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80" Target="https://doi.org/10.1093/mind/LIX.236.433" TargetMode="External" /><Relationship Type="http://schemas.openxmlformats.org/officeDocument/2006/relationships/hyperlink" Id="rId82" Target="https://doi.org/10.1515/9789048550180-016" TargetMode="External" /><Relationship Type="http://schemas.openxmlformats.org/officeDocument/2006/relationships/hyperlink" Id="rId71"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7" Target="https://www.deepl.com/"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73"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1" Target="https://www.wired.co.uk/article/chinese-government-social-credit-score-privacy-invasion" TargetMode="External" /></Relationships>
</file>

<file path=word/_rels/footnotes.xml.rels><?xml version="1.0" encoding="UTF-8"?>
<Relationships xmlns="http://schemas.openxmlformats.org/package/2006/relationships"><Relationship Type="http://schemas.openxmlformats.org/officeDocument/2006/relationships/hyperlink" Id="rId78" Target="http://shakespeare.mit.edu/2henryvi/full.html" TargetMode="External" /><Relationship Type="http://schemas.openxmlformats.org/officeDocument/2006/relationships/hyperlink" Id="rId37" Target="https://clearview.ai/" TargetMode="External" /><Relationship Type="http://schemas.openxmlformats.org/officeDocument/2006/relationships/hyperlink" Id="rId80" Target="https://doi.org/10.1093/mind/LIX.236.433" TargetMode="External" /><Relationship Type="http://schemas.openxmlformats.org/officeDocument/2006/relationships/hyperlink" Id="rId82" Target="https://doi.org/10.1515/9789048550180-016" TargetMode="External" /><Relationship Type="http://schemas.openxmlformats.org/officeDocument/2006/relationships/hyperlink" Id="rId71" Target="https://doi.org/10.3389/fpsyg.2018.00849" TargetMode="External" /><Relationship Type="http://schemas.openxmlformats.org/officeDocument/2006/relationships/hyperlink" Id="rId35" Target="https://en.wikipedia.org/wiki/Don%27t_be_evil" TargetMode="External" /><Relationship Type="http://schemas.openxmlformats.org/officeDocument/2006/relationships/hyperlink" Id="rId52" Target="https://support.edx.org/hc/en-us/articles/360004449033-Frequently-Asked-Questions-FAQs-about-GDPR" TargetMode="External" /><Relationship Type="http://schemas.openxmlformats.org/officeDocument/2006/relationships/hyperlink" Id="rId21" Target="https://twitter.com/NixImagery" TargetMode="External" /><Relationship Type="http://schemas.openxmlformats.org/officeDocument/2006/relationships/hyperlink" Id="rId67" Target="https://www.deepl.com/" TargetMode="External" /><Relationship Type="http://schemas.openxmlformats.org/officeDocument/2006/relationships/hyperlink" Id="rId44" Target="https://www.gtcs.org.uk/professional-standards/standards-for-registration.aspx" TargetMode="External" /><Relationship Type="http://schemas.openxmlformats.org/officeDocument/2006/relationships/hyperlink" Id="rId41" Target="https://www.moralmachine.net/" TargetMode="External" /><Relationship Type="http://schemas.openxmlformats.org/officeDocument/2006/relationships/hyperlink" Id="rId36" Target="https://www.nytimes.com/2020/01/18/technology/clearview-privacy-facial-recognition.html" TargetMode="External" /><Relationship Type="http://schemas.openxmlformats.org/officeDocument/2006/relationships/hyperlink" Id="rId73" Target="https://www.theclinic.cl/2019/07/25/batallas-3-0-inteligencia-artificial-y-algoritmos-versus-delincuencia-en-chile/" TargetMode="External" /><Relationship Type="http://schemas.openxmlformats.org/officeDocument/2006/relationships/hyperlink" Id="rId33" Target="https://www.theguardian.com/lifeandstyle/1999/nov/06/weekend.kevintoolis" TargetMode="External" /><Relationship Type="http://schemas.openxmlformats.org/officeDocument/2006/relationships/hyperlink" Id="rId61" Target="https://www.wired.co.uk/article/chinese-government-social-credit-score-privacy-invasion"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2020-11-13T16:56:29Z</dcterms:created>
  <dcterms:modified xsi:type="dcterms:W3CDTF">2020-11-13T16:56:29Z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13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