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AG-Sitzung „Neuartiges Coronavirus (2019nCoV)-Lage“</w:t>
      </w:r>
    </w:p>
    <w:p/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</w:t>
              </w:r>
              <w:proofErr w:type="spellStart"/>
              <w:r>
                <w:rPr>
                  <w:sz w:val="22"/>
                </w:rPr>
                <w:t>nCoV</w:t>
              </w:r>
              <w:proofErr w:type="spellEnd"/>
              <w:r>
                <w:rPr>
                  <w:sz w:val="22"/>
                </w:rPr>
                <w:t>), Wuhan, China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2096439265"/>
              <w:placeholder>
                <w:docPart w:val="9FAD9635099E468F873E69029FBCE6AB"/>
              </w:placeholder>
            </w:sdtPr>
            <w:sdtContent>
              <w:r>
                <w:rPr>
                  <w:i/>
                  <w:sz w:val="22"/>
                </w:rPr>
                <w:t>24.01.2020, 13-15 Uhr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sdt>
            <w:sdtPr>
              <w:rPr>
                <w:b/>
                <w:i/>
                <w:sz w:val="22"/>
              </w:rPr>
              <w:id w:val="1811592494"/>
              <w:placeholder>
                <w:docPart w:val="A4BD05692A9C4EF3BF9F20A0DA9C42F0"/>
              </w:placeholder>
            </w:sdtPr>
            <w:sdtContent>
              <w:r>
                <w:rPr>
                  <w:b/>
                  <w:i/>
                  <w:sz w:val="22"/>
                </w:rPr>
                <w:t xml:space="preserve">RKI, </w:t>
              </w:r>
              <w:r>
                <w:rPr>
                  <w:i/>
                  <w:sz w:val="22"/>
                  <w:szCs w:val="22"/>
                </w:rPr>
                <w:t>Raum N01.EG.034</w:t>
              </w:r>
            </w:sdtContent>
          </w:sdt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</w:t>
      </w:r>
    </w:p>
    <w:p>
      <w:pPr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Lothar Wieler 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Abteilung 3-Leitung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ZIG-Leitung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-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Mardjan Arvand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Marc Thanheiser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Thorsten Wolff (Telefon)</w:t>
      </w:r>
    </w:p>
    <w:p>
      <w:pPr>
        <w:pStyle w:val="Listenabsatz"/>
        <w:numPr>
          <w:ilvl w:val="0"/>
          <w:numId w:val="18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Maria an der Heiden (Protokoll)</w:t>
      </w:r>
    </w:p>
    <w:p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Christian Herzog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Isabel Trebesch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Susanne Glasmacher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Jamela Seedat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Ronja Wenchel</w:t>
      </w:r>
    </w:p>
    <w:p>
      <w:pPr>
        <w:pStyle w:val="Listenabsatz"/>
        <w:numPr>
          <w:ilvl w:val="0"/>
          <w:numId w:val="22"/>
        </w:numPr>
        <w:spacing w:after="0"/>
        <w:contextualSpacing w:val="0"/>
        <w:rPr>
          <w:sz w:val="22"/>
        </w:rPr>
      </w:pPr>
      <w:r>
        <w:rPr>
          <w:sz w:val="22"/>
        </w:rPr>
        <w:t>ZBS1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Janine Michel</w:t>
      </w:r>
    </w:p>
    <w:p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INIG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Andreas Jansen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Basel Karo</w:t>
      </w:r>
    </w:p>
    <w:p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Rechtsreferat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Helmut Fouquet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Joachim-Anton Mehlitz</w:t>
      </w:r>
    </w:p>
    <w:p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lastRenderedPageBreak/>
        <w:t>P4</w:t>
      </w:r>
    </w:p>
    <w:p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Dirk Brockmann</w:t>
      </w:r>
    </w:p>
    <w:tbl>
      <w:tblPr>
        <w:tblStyle w:val="Tabellenraster"/>
        <w:tblW w:w="8516" w:type="dxa"/>
        <w:tblLayout w:type="fixed"/>
        <w:tblLook w:val="00A0" w:firstRow="1" w:lastRow="0" w:firstColumn="1" w:lastColumn="0" w:noHBand="0" w:noVBand="0"/>
      </w:tblPr>
      <w:tblGrid>
        <w:gridCol w:w="817"/>
        <w:gridCol w:w="7699"/>
      </w:tblGrid>
      <w:tr>
        <w:tc>
          <w:tcPr>
            <w:tcW w:w="817" w:type="dxa"/>
          </w:tcPr>
          <w:p>
            <w:pPr>
              <w:rPr>
                <w:b/>
              </w:rPr>
            </w:pPr>
            <w:r>
              <w:rPr>
                <w:b/>
              </w:rPr>
              <w:t>TOP</w:t>
            </w:r>
          </w:p>
        </w:tc>
        <w:tc>
          <w:tcPr>
            <w:tcW w:w="7699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</w:tr>
      <w:tr>
        <w:tc>
          <w:tcPr>
            <w:tcW w:w="817" w:type="dxa"/>
          </w:tcPr>
          <w:p>
            <w:r>
              <w:t>1</w:t>
            </w:r>
          </w:p>
        </w:tc>
        <w:tc>
          <w:tcPr>
            <w:tcW w:w="7699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Aktuelle Lage</w:t>
            </w:r>
          </w:p>
          <w:p>
            <w:pPr>
              <w:pStyle w:val="Listenabsatz"/>
              <w:numPr>
                <w:ilvl w:val="0"/>
                <w:numId w:val="30"/>
              </w:numPr>
              <w:autoSpaceDE w:val="0"/>
              <w:autoSpaceDN w:val="0"/>
              <w:adjustRightInd w:val="0"/>
            </w:pPr>
            <w:r>
              <w:t>Lage entwickelt sich schnell weiter: mehr als 270 neue Fälle von gestern auf heute; &gt;900 Fälle; 26 Personen verstorben; 2 neue Fälle in Taiwan, 3 in Singapur; bisher sind 14 Fälle außerhalb Chinas bestätigt: 4 in Thailand, 2 in Japan, 2 in Südkorea, 1 in den USA, 3 in Singapur und 2 in Vietnam</w:t>
            </w:r>
            <w:r>
              <w:rPr>
                <w:rFonts w:ascii="Calibri" w:hAnsi="Calibri" w:cs="Calibri"/>
                <w:color w:val="0070C1"/>
                <w:sz w:val="20"/>
                <w:szCs w:val="20"/>
              </w:rPr>
              <w:t>.</w:t>
            </w:r>
          </w:p>
          <w:p>
            <w:pPr>
              <w:pStyle w:val="Listenabsatz"/>
              <w:numPr>
                <w:ilvl w:val="0"/>
                <w:numId w:val="30"/>
              </w:numPr>
              <w:autoSpaceDE w:val="0"/>
              <w:autoSpaceDN w:val="0"/>
              <w:adjustRightInd w:val="0"/>
            </w:pPr>
            <w:r>
              <w:t xml:space="preserve">WHO Website: Mensch-zu-Mensch-Übertragung 4. Generation in Wuhan, 2. Generation außerhalb Wuhan; Familiencluster in verschiedenen Orten; Mehrzahl der Fälle (&gt;500 Fälle immer noch in Wuhan); weniger als 15% Kontakt mit Fischmarkt in Wuhan (Hunan); von bestätigten Fällen 25% schwerwiegend; </w:t>
            </w:r>
          </w:p>
          <w:p>
            <w:pPr>
              <w:pStyle w:val="Listenabsatz"/>
              <w:numPr>
                <w:ilvl w:val="0"/>
                <w:numId w:val="30"/>
              </w:numPr>
              <w:autoSpaceDE w:val="0"/>
              <w:autoSpaceDN w:val="0"/>
              <w:adjustRightInd w:val="0"/>
            </w:pPr>
            <w:r>
              <w:t xml:space="preserve">Sitzung WHO Emergency Committee am 23.01.2020: kein PHEIC ausgerufen; vermutlicher Hintergrund: Chinas Sorge vor  ökonomischen Einfluss und die Einschätzung Chinas, dass sie die  Lage im Griff hätten; 10 Städte derzeit in Quarantäne gesetzt in Provinz Hubei; erste R0 Schätzung, 1,4-2,5 (Vergleich: SARS: etwa 2-4 ; MERS: etwa 0,7; Influenza etwa 1,5) wahrscheinlich eher konservative Schätzung; Mensch-zu-Mensch-Übertragung scheint  selbsterhaltend zu sein; jedoch bisher keine Sekundärfälle im Ausland oder bei Kontaktpersonen von Flügen; Begriff „Community Transmission“ sollte jedoch noch nicht verwendet werden; Schätzungen R0 mit Vorsicht zu interpretieren, da derzeit noch zu wenig robuste Daten verfügbar sind; </w:t>
            </w:r>
            <w:r>
              <w:rPr>
                <w:b/>
              </w:rPr>
              <w:t>Einigung auf  Formulierung: „es gibt Mensch-zu-Mensch-Übertragung“</w:t>
            </w:r>
            <w:r>
              <w:t xml:space="preserve">; </w:t>
            </w:r>
          </w:p>
          <w:p>
            <w:pPr>
              <w:pStyle w:val="Listenabsatz"/>
              <w:numPr>
                <w:ilvl w:val="0"/>
                <w:numId w:val="30"/>
              </w:numPr>
            </w:pPr>
            <w:r>
              <w:t>Inkubationszeit: 2-14 Tage; Mittel wird derzeit nicht auf RKI-Internetseite angegeben, da zu wenig Informationen bekannt sind;</w:t>
            </w:r>
          </w:p>
          <w:p>
            <w:pPr>
              <w:pStyle w:val="Listenabsatz"/>
              <w:numPr>
                <w:ilvl w:val="0"/>
                <w:numId w:val="30"/>
              </w:numPr>
            </w:pPr>
            <w:r>
              <w:t>Generationszeit: derzeit nicht bekannt;</w:t>
            </w:r>
          </w:p>
          <w:p>
            <w:pPr>
              <w:pStyle w:val="Listenabsatz"/>
              <w:numPr>
                <w:ilvl w:val="0"/>
                <w:numId w:val="30"/>
              </w:numPr>
            </w:pPr>
            <w:r>
              <w:t>Kontaktpersonennachverfolgung: wird derzeit in Wuhan noch weiter versucht: 9.700 Personen insgesamt verfolgt;</w:t>
            </w:r>
          </w:p>
          <w:p>
            <w:pPr>
              <w:pStyle w:val="Listenabsatz"/>
              <w:numPr>
                <w:ilvl w:val="0"/>
                <w:numId w:val="30"/>
              </w:numPr>
            </w:pPr>
            <w:r>
              <w:t>Krankenhäuser in Wuhan überlastet (jedoch dort kein typisches Primary Care System vorhanden, Personen gehen entweder in Krankenhaus oder zu TCM)</w:t>
            </w:r>
          </w:p>
          <w:p>
            <w:pPr>
              <w:pStyle w:val="Listenabsatz"/>
              <w:numPr>
                <w:ilvl w:val="0"/>
                <w:numId w:val="30"/>
              </w:numPr>
            </w:pPr>
            <w:r>
              <w:t>Risikoeinschätzung: WHO/Tedros: „</w:t>
            </w:r>
            <w:proofErr w:type="spellStart"/>
            <w:r>
              <w:t>very</w:t>
            </w:r>
            <w:proofErr w:type="spellEnd"/>
            <w:r>
              <w:t xml:space="preserve"> high“ in China; ECDC spricht in Wuhan von “hoch”, in China von „moderat“, Wahrscheinlichkeit eines Imports in EU auch „moderat“, Weiterverbreitung „gering“;</w:t>
            </w:r>
          </w:p>
          <w:p>
            <w:pPr>
              <w:pStyle w:val="Listenabsatz"/>
              <w:numPr>
                <w:ilvl w:val="0"/>
                <w:numId w:val="30"/>
              </w:numPr>
            </w:pPr>
            <w:r>
              <w:t xml:space="preserve">Verbindung Flüge nach Deutschland (BMVI Daten von 2019, Januar-November): durch Umsteigeflüge ca. 10.000 Passagiere in/nach Wuhan; insg. China etwa 1,2 Mio. Passagiere; </w:t>
            </w:r>
          </w:p>
          <w:p>
            <w:pPr>
              <w:pStyle w:val="Listenabsatz"/>
              <w:numPr>
                <w:ilvl w:val="0"/>
                <w:numId w:val="30"/>
              </w:numPr>
            </w:pPr>
            <w:r>
              <w:t>Derzeit 31 von 34 Verwaltungseinheiten der Volksrepublik China betroffen (Bundesregierung vertritt „Ein-China-Politik“)</w:t>
            </w:r>
          </w:p>
          <w:p>
            <w:pPr>
              <w:pStyle w:val="Listenabsatz"/>
              <w:numPr>
                <w:ilvl w:val="0"/>
                <w:numId w:val="30"/>
              </w:numPr>
            </w:pPr>
            <w:r>
              <w:t xml:space="preserve">Definition Risikogebiet: Evtl. Erweiterung auf Verwaltungsgebiete </w:t>
            </w:r>
            <w:r>
              <w:lastRenderedPageBreak/>
              <w:t xml:space="preserve">der VR China bzw. andere betroffene Länder wo größere Häufungen bekannt sind; Erstellung: INIG in Kooperation mit P4 (Basis Excel-Liste); Beschluss: eher konservativ bleiben (derzeit vorrangig Wuhan; Hubei; Nachtrag, Formulierung RKI Website am 25.01.2020“ vorrangig Provinz Hubei, inklusive der Stadt Wuhan“); Kliniker werden ohnehin Ausschlussdiagnostiken durchführen;  </w:t>
            </w:r>
          </w:p>
          <w:p>
            <w:pPr>
              <w:pStyle w:val="Listenabsatz"/>
              <w:numPr>
                <w:ilvl w:val="0"/>
                <w:numId w:val="30"/>
              </w:numPr>
            </w:pPr>
            <w:r>
              <w:t xml:space="preserve">Weiterhin Botschaft „mit einzelnen Fällen muss gerechnet werden“); </w:t>
            </w:r>
          </w:p>
          <w:p>
            <w:pPr>
              <w:pStyle w:val="Listenabsatz"/>
              <w:numPr>
                <w:ilvl w:val="0"/>
                <w:numId w:val="30"/>
              </w:numPr>
            </w:pPr>
            <w:r>
              <w:t xml:space="preserve">Risiko für Bevölkerung weiterhin „gering“: Import einzelner Fälle wahrscheinlich; </w:t>
            </w:r>
          </w:p>
          <w:p>
            <w:pPr>
              <w:pStyle w:val="Listenabsatz"/>
              <w:numPr>
                <w:ilvl w:val="0"/>
                <w:numId w:val="30"/>
              </w:numPr>
            </w:pPr>
            <w:r>
              <w:t>Risikoeinschätzung von AA unterscheidet sich vom RKI; dies muss BMG lösen;</w:t>
            </w:r>
          </w:p>
        </w:tc>
      </w:tr>
      <w:tr>
        <w:tc>
          <w:tcPr>
            <w:tcW w:w="817" w:type="dxa"/>
          </w:tcPr>
          <w:p>
            <w:r>
              <w:lastRenderedPageBreak/>
              <w:t>2</w:t>
            </w:r>
          </w:p>
        </w:tc>
        <w:tc>
          <w:tcPr>
            <w:tcW w:w="7699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Aktuelle Dokumente, Kommunikation - Update</w:t>
            </w:r>
          </w:p>
          <w:p>
            <w:pPr>
              <w:pStyle w:val="Listenabsatz"/>
              <w:numPr>
                <w:ilvl w:val="0"/>
                <w:numId w:val="16"/>
              </w:numPr>
            </w:pPr>
            <w:r>
              <w:t>RKI-Internetseite</w:t>
            </w:r>
          </w:p>
          <w:p>
            <w:pPr>
              <w:pStyle w:val="Listenabsatz"/>
              <w:numPr>
                <w:ilvl w:val="0"/>
                <w:numId w:val="16"/>
              </w:numPr>
            </w:pPr>
            <w:r>
              <w:t>FAQ für RKI-Webseite: sind seit 13:53 am 24.01.2020 online (Schaade hat freigegeben mit Änderungen)</w:t>
            </w:r>
          </w:p>
          <w:p>
            <w:pPr>
              <w:pStyle w:val="Listenabsatz"/>
              <w:numPr>
                <w:ilvl w:val="0"/>
                <w:numId w:val="16"/>
              </w:numPr>
            </w:pPr>
            <w:r>
              <w:t xml:space="preserve">BZgA: verlinkt auf unsere Seite, gebeten Maßnahmen zu </w:t>
            </w:r>
            <w:proofErr w:type="spellStart"/>
            <w:r>
              <w:t>Hustenetiquette</w:t>
            </w:r>
            <w:proofErr w:type="spellEnd"/>
            <w:r>
              <w:t xml:space="preserve"> etc., die ohnehin wegen Grippe laufen, zu intensivieren; OH: RKI sollte BMG bitten, stärker auf BZgA einzuwirken um Informationen besser verfügbar zu machen; z.B. vorhandene Influenza-Dokumente; die Maßnahmen sind letztlich dieselben; Glasmacher: BZgA hat heute 2 x getwittert; Frau Degen wird Kontakt zu BZgA herstellen; </w:t>
            </w:r>
          </w:p>
          <w:p>
            <w:pPr>
              <w:pStyle w:val="Listenabsatz"/>
              <w:numPr>
                <w:ilvl w:val="0"/>
                <w:numId w:val="30"/>
              </w:numPr>
            </w:pPr>
            <w:r>
              <w:t xml:space="preserve">Seite der John Hopkins Universität: </w:t>
            </w:r>
            <w:proofErr w:type="spellStart"/>
            <w:r>
              <w:t>Präs</w:t>
            </w:r>
            <w:proofErr w:type="spellEnd"/>
            <w:r>
              <w:t xml:space="preserve"> fragt an, ob auf Website verlinkt werden kann; Glasmacher: vielleicht eher auf FAQ damit Internetseite nicht überfüllt wird; Herzog: Ärzteschaft würde das sehr schätzen; Karte John Hopkins Universität: </w:t>
            </w:r>
            <w:hyperlink r:id="rId7" w:anchor="/bda7594740fd40299423467b48e9ecf6" w:history="1">
              <w:r>
                <w:rPr>
                  <w:rStyle w:val="Hyperlink"/>
                </w:rPr>
                <w:t>https://gisanddata.maps.arcgis.com/apps/opsdashboard/index.html#/bda7594740fd40299423467b48e9ecf6</w:t>
              </w:r>
            </w:hyperlink>
            <w:r>
              <w:t xml:space="preserve"> IBBS prüft mit US CDC wie verlässlich die Karte ist;</w:t>
            </w:r>
          </w:p>
          <w:p>
            <w:pPr>
              <w:pStyle w:val="Listenabsatz"/>
              <w:numPr>
                <w:ilvl w:val="0"/>
                <w:numId w:val="16"/>
              </w:numPr>
            </w:pPr>
            <w:r>
              <w:t>HSC Communicator Network TK: BMG hat teilgenommen, nicht RKI. Kurzes Protokoll existiert.</w:t>
            </w:r>
          </w:p>
          <w:p>
            <w:pPr>
              <w:pStyle w:val="Listenabsatz"/>
              <w:numPr>
                <w:ilvl w:val="0"/>
                <w:numId w:val="16"/>
              </w:numPr>
            </w:pPr>
            <w:r>
              <w:t xml:space="preserve">EWRS: Maßnahmen in Deutschland am 23.01. kommuniziert </w:t>
            </w:r>
          </w:p>
          <w:p>
            <w:pPr>
              <w:pStyle w:val="Listenabsatz"/>
              <w:numPr>
                <w:ilvl w:val="0"/>
                <w:numId w:val="16"/>
              </w:numPr>
            </w:pPr>
            <w:r>
              <w:t xml:space="preserve">GHSI Anfrage zu Maßnahmen in Arbeit, </w:t>
            </w:r>
            <w:proofErr w:type="spellStart"/>
            <w:r>
              <w:t>deadline</w:t>
            </w:r>
            <w:proofErr w:type="spellEnd"/>
            <w:r>
              <w:t xml:space="preserve"> 24.01.</w:t>
            </w:r>
          </w:p>
          <w:p>
            <w:pPr>
              <w:pStyle w:val="Listenabsatz"/>
              <w:numPr>
                <w:ilvl w:val="0"/>
                <w:numId w:val="16"/>
              </w:numPr>
            </w:pPr>
            <w:r>
              <w:t>Arbeitstägliche TK mit dem BMG (09:30): Osamah Hamouda vertritt RKI, ggf. mit Unterstützung Andreas Jansen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t xml:space="preserve">Einbindung Expertenbeirat Influenza: Beteiligung grundsätzlich sinnvoll; alle relevanten Institutionen und Fachgesellschaften vertreten, wäre sinnvoll, dieses Gremium zu nutzen; korrespondierendes Gremium am BMG fehlt, separate Telefonkonferenz durch FG36 nächste oder übernächste organisiert; klinische Experten vorhanden; </w:t>
            </w:r>
          </w:p>
        </w:tc>
      </w:tr>
      <w:tr>
        <w:tc>
          <w:tcPr>
            <w:tcW w:w="817" w:type="dxa"/>
          </w:tcPr>
          <w:p>
            <w:r>
              <w:t>3</w:t>
            </w:r>
          </w:p>
        </w:tc>
        <w:tc>
          <w:tcPr>
            <w:tcW w:w="7699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Labordiagnostik</w:t>
            </w:r>
          </w:p>
          <w:p>
            <w:pPr>
              <w:pStyle w:val="Listenabsatz"/>
              <w:numPr>
                <w:ilvl w:val="0"/>
                <w:numId w:val="16"/>
              </w:numPr>
            </w:pPr>
            <w:r>
              <w:t xml:space="preserve">Kurzprotokoll TK mit KL am 23.01.2020: siehe hier: </w:t>
            </w:r>
            <w:hyperlink r:id="rId8" w:history="1">
              <w:r>
                <w:rPr>
                  <w:rStyle w:val="Hyperlink"/>
                </w:rPr>
                <w:t>..\..\7.KL-Drosten</w:t>
              </w:r>
            </w:hyperlink>
            <w:r>
              <w:t xml:space="preserve">; Auszüge: Testung Patienten: nur minimal Anpassungen; </w:t>
            </w:r>
            <w:r>
              <w:lastRenderedPageBreak/>
              <w:t xml:space="preserve">Reiseanamnese: derzeit wichtiger als klinische Symptomatik; untere Atemwege sollten betroffen sein; Diagnostik in der Fläche: gerne über die </w:t>
            </w:r>
            <w:proofErr w:type="spellStart"/>
            <w:r>
              <w:t>GfV</w:t>
            </w:r>
            <w:proofErr w:type="spellEnd"/>
            <w:r>
              <w:t xml:space="preserve">; Rückmeldung: LGL in Bayern etablieren Diagnostik; Sample Sharing: mögliche Hindernisse: „normales akademisches Verhalten“ </w:t>
            </w:r>
            <w:r>
              <w:sym w:font="Wingdings" w:char="F0E0"/>
            </w:r>
            <w:r>
              <w:t xml:space="preserve"> keiner teilt gerne; Japan möglicher Partner der gerne teilt; evtl. auch Hongkong; Originalmaterial eher nicht zu erwarten, eher inaktiviertes Isolat; Kontaktpersonennachverfolgung: grundsätzlich Tag 0, 2, 3, 4 und bei unauffälligem Befund ggfs. Tag 7 für sinnvoll, aber wahrscheinlich nicht leistbar, eher serologische Nachuntersuchung (wenn Serologie verfügbar ist); Virologie, Phylogenie; Tropismus Lunge; Hinweis, dass Novartis </w:t>
            </w:r>
            <w:proofErr w:type="spellStart"/>
            <w:r>
              <w:t>Remdesivir</w:t>
            </w:r>
            <w:proofErr w:type="spellEnd"/>
            <w:r>
              <w:t xml:space="preserve"> (antiviral </w:t>
            </w:r>
            <w:proofErr w:type="spellStart"/>
            <w:r>
              <w:t>drug</w:t>
            </w:r>
            <w:proofErr w:type="spellEnd"/>
            <w:r>
              <w:t>) gekauft und lizensiert hat</w:t>
            </w:r>
          </w:p>
          <w:p>
            <w:pPr>
              <w:pStyle w:val="Listenabsatz"/>
              <w:numPr>
                <w:ilvl w:val="0"/>
                <w:numId w:val="16"/>
              </w:numPr>
            </w:pPr>
            <w:r>
              <w:t>Gesellschaft für Virologie: Herr Wolff und Frau Michel gehen auf diese zu</w:t>
            </w:r>
          </w:p>
          <w:p>
            <w:pPr>
              <w:pStyle w:val="Listenabsatz"/>
              <w:numPr>
                <w:ilvl w:val="0"/>
                <w:numId w:val="16"/>
              </w:numPr>
            </w:pPr>
            <w:r>
              <w:t>KL Adressänderung: wird an WHO kommuniziert;</w:t>
            </w:r>
          </w:p>
          <w:p>
            <w:pPr>
              <w:pStyle w:val="Listenabsatz"/>
              <w:numPr>
                <w:ilvl w:val="0"/>
                <w:numId w:val="16"/>
              </w:numPr>
            </w:pPr>
            <w:proofErr w:type="spellStart"/>
            <w:r>
              <w:t>Assays</w:t>
            </w:r>
            <w:proofErr w:type="spellEnd"/>
            <w:r>
              <w:t xml:space="preserve"> von Hr. </w:t>
            </w:r>
            <w:proofErr w:type="spellStart"/>
            <w:r>
              <w:t>Drosten</w:t>
            </w:r>
            <w:proofErr w:type="spellEnd"/>
            <w:r>
              <w:t xml:space="preserve"> laufen auch am RKI;</w:t>
            </w:r>
          </w:p>
          <w:p>
            <w:pPr>
              <w:pStyle w:val="Listenabsatz"/>
              <w:numPr>
                <w:ilvl w:val="0"/>
                <w:numId w:val="16"/>
              </w:numPr>
            </w:pPr>
            <w:proofErr w:type="spellStart"/>
            <w:r>
              <w:t>Drosten</w:t>
            </w:r>
            <w:proofErr w:type="spellEnd"/>
            <w:r>
              <w:t xml:space="preserve"> hat gefragt, ob die ersten 5 Fälle aus peripheren Laboren ans </w:t>
            </w:r>
            <w:proofErr w:type="spellStart"/>
            <w:r>
              <w:t>Konsiliarlabor</w:t>
            </w:r>
            <w:proofErr w:type="spellEnd"/>
            <w:r>
              <w:t xml:space="preserve"> gesendet werden; kann empfohlen aber nicht angeordnet werden; Zuordnung von Laborergebnissen zu Fällen ggf. schwierig; leidvolle Erfahrung 2009, wenn alles durch NRZ bestätigt werden muss, auch schwierig (Nadelöhr) und dauert zu lange; bei hoher Dynamik, schwer umkehrbar; Fälle auch außerhalb einer Testung am Konsiliarlabor als positiv bewerten;</w:t>
            </w:r>
          </w:p>
          <w:p>
            <w:pPr>
              <w:pStyle w:val="Listenabsatz"/>
              <w:numPr>
                <w:ilvl w:val="0"/>
                <w:numId w:val="16"/>
              </w:numPr>
            </w:pPr>
            <w:r>
              <w:t>WHO TK, Teilnahme durch Nitsche: Human-</w:t>
            </w:r>
            <w:proofErr w:type="spellStart"/>
            <w:r>
              <w:t>to</w:t>
            </w:r>
            <w:proofErr w:type="spellEnd"/>
            <w:r>
              <w:t xml:space="preserve">-human </w:t>
            </w:r>
            <w:proofErr w:type="spellStart"/>
            <w:r>
              <w:t>transmission</w:t>
            </w:r>
            <w:proofErr w:type="spellEnd"/>
            <w:r>
              <w:t xml:space="preserve"> durch asymptomatische Träger mit hohen CT-Werten; Labore wurden gebeten zu teilen; CT-Wert von 20-30; WHO stellt </w:t>
            </w:r>
            <w:proofErr w:type="spellStart"/>
            <w:r>
              <w:t>Assays</w:t>
            </w:r>
            <w:proofErr w:type="spellEnd"/>
            <w:r>
              <w:t xml:space="preserve"> bereit; Uni Bern synthetisiert das Genom;</w:t>
            </w:r>
          </w:p>
        </w:tc>
      </w:tr>
      <w:tr>
        <w:tc>
          <w:tcPr>
            <w:tcW w:w="817" w:type="dxa"/>
          </w:tcPr>
          <w:p>
            <w:r>
              <w:lastRenderedPageBreak/>
              <w:t>4</w:t>
            </w:r>
          </w:p>
        </w:tc>
        <w:tc>
          <w:tcPr>
            <w:tcW w:w="7699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Surveillance-Anforderungen</w:t>
            </w:r>
          </w:p>
          <w:p>
            <w:pPr>
              <w:pStyle w:val="Listenabsatz"/>
              <w:numPr>
                <w:ilvl w:val="0"/>
                <w:numId w:val="14"/>
              </w:numPr>
            </w:pPr>
            <w:r>
              <w:t xml:space="preserve">Abstimmung von Dokumenten: IBBS: Flussschema abgestimmt und veröffentlicht; in anderen Lagen wurden bei Erstellung auch Fachgesellschaften eingebunden; FG32 ergänzt, dass dies auch Thema bei der AGI-TK und der TK mit dem BMG war (Einbindung anderer vor Veröffentlichung) Beschluss: in Anbetracht der Kürze der Zeit Hinweise der RKI-Dokumente an Fachgesellschaften und andere Akteure nach Veröffentlichung; </w:t>
            </w:r>
          </w:p>
          <w:p>
            <w:pPr>
              <w:pStyle w:val="Listenabsatz"/>
              <w:numPr>
                <w:ilvl w:val="0"/>
                <w:numId w:val="14"/>
              </w:numPr>
            </w:pPr>
            <w:r>
              <w:t xml:space="preserve">Übermittlung von Daten zur Kontaktpersonennachverfolgungen: Frau Mehlitz, Frau Reupke, Herr Mehlitz, Frau Diercke und Herr Haas stimmen sich ab, etc. erste Ergebnisse am kommenden Montag oder Dienstag (27. oder 28.01.2020) zu erwarten; Hessen z.B. ablehnend gegenüber Übermittlung von </w:t>
            </w:r>
            <w:proofErr w:type="spellStart"/>
            <w:r>
              <w:t>Einzelpersondaten</w:t>
            </w:r>
            <w:proofErr w:type="spellEnd"/>
            <w:r>
              <w:t>;</w:t>
            </w:r>
          </w:p>
          <w:p>
            <w:pPr>
              <w:pStyle w:val="Listenabsatz"/>
              <w:numPr>
                <w:ilvl w:val="0"/>
                <w:numId w:val="14"/>
              </w:numPr>
            </w:pPr>
            <w:r>
              <w:t xml:space="preserve">Datenübermittlung Labordaten; ab Masernschutzgesetz gültig; soll jetzt trotzdem bereits durchgeführt werden; </w:t>
            </w:r>
          </w:p>
          <w:p>
            <w:pPr>
              <w:pStyle w:val="Listenabsatz"/>
              <w:numPr>
                <w:ilvl w:val="0"/>
                <w:numId w:val="14"/>
              </w:numPr>
            </w:pPr>
            <w:r>
              <w:t xml:space="preserve">Wissenschaftliche Studien (Household Study): Dokumente wie z.B. Einwilligungserklärungen soll vorbereitet werden; Protokolle von 2009 (Ethikvotum, Datenschutzerklärung) ebenfalls </w:t>
            </w:r>
            <w:r>
              <w:lastRenderedPageBreak/>
              <w:t>vorhanden; FG36 kümmert sich;</w:t>
            </w:r>
          </w:p>
          <w:p>
            <w:pPr>
              <w:pStyle w:val="Listenabsatz"/>
              <w:numPr>
                <w:ilvl w:val="0"/>
                <w:numId w:val="14"/>
              </w:numPr>
            </w:pPr>
            <w:r>
              <w:t xml:space="preserve">Kontaktpersonennachverfolgung: Anzahl, Einstufung, Überwachung; Unterlagen zur Verfügung gestellt; Hessen lehnt das ab; Dokumente werden in nächster AGI-TK am Donnerstag diskutiert; </w:t>
            </w:r>
          </w:p>
          <w:p>
            <w:pPr>
              <w:pStyle w:val="Listenabsatz"/>
              <w:numPr>
                <w:ilvl w:val="1"/>
                <w:numId w:val="14"/>
              </w:numPr>
            </w:pPr>
            <w:r>
              <w:t xml:space="preserve">Wann kommunizieren wir bestätigte Fälle an internationale Gremien? </w:t>
            </w:r>
            <w:r>
              <w:sym w:font="Wingdings" w:char="F0E0"/>
            </w:r>
            <w:r>
              <w:t xml:space="preserve"> nur wenn §12 IfSG vorliegt, oder innerhalb von 24 Stunden keine Meldung erfolgt ist</w:t>
            </w:r>
          </w:p>
        </w:tc>
      </w:tr>
      <w:tr>
        <w:tc>
          <w:tcPr>
            <w:tcW w:w="817" w:type="dxa"/>
          </w:tcPr>
          <w:p>
            <w:r>
              <w:lastRenderedPageBreak/>
              <w:t>5</w:t>
            </w:r>
          </w:p>
        </w:tc>
        <w:tc>
          <w:tcPr>
            <w:tcW w:w="7699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t>Maßnahmen angepasst, FAQ online</w:t>
            </w:r>
          </w:p>
        </w:tc>
      </w:tr>
      <w:tr>
        <w:tc>
          <w:tcPr>
            <w:tcW w:w="817" w:type="dxa"/>
          </w:tcPr>
          <w:p>
            <w:r>
              <w:t>6</w:t>
            </w:r>
          </w:p>
        </w:tc>
        <w:tc>
          <w:tcPr>
            <w:tcW w:w="7699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Klinisches Management</w:t>
            </w:r>
          </w:p>
          <w:p>
            <w:pPr>
              <w:pStyle w:val="Listenabsatz"/>
              <w:numPr>
                <w:ilvl w:val="0"/>
                <w:numId w:val="27"/>
              </w:numPr>
            </w:pPr>
            <w:r>
              <w:t xml:space="preserve">Experimentelle Therapeutika, rein </w:t>
            </w:r>
            <w:proofErr w:type="spellStart"/>
            <w:r>
              <w:t>supportive</w:t>
            </w:r>
            <w:proofErr w:type="spellEnd"/>
            <w:r>
              <w:t xml:space="preserve"> Therapie; spezifische medikamentöse Therapie existiert nicht; bei MERS und SARS wurden off-label Medikamente eingesetzt, teils z.B. mit Kortikosteroiden; Studienlage: </w:t>
            </w:r>
            <w:proofErr w:type="spellStart"/>
            <w:r>
              <w:t>Remdesivir</w:t>
            </w:r>
            <w:proofErr w:type="spellEnd"/>
            <w:r>
              <w:t xml:space="preserve"> in-vitro und in Tiermodellen am überzeugendsten und </w:t>
            </w:r>
            <w:proofErr w:type="spellStart"/>
            <w:r>
              <w:t>Ribavirin</w:t>
            </w:r>
            <w:proofErr w:type="spellEnd"/>
            <w:r>
              <w:t xml:space="preserve"> überlegen; verbessert Lungenfunktion und reduziert Viruslast; jedoch kann keine Empfehlung gegeben werden, muss Einzelfallentscheidung sein; Medikament könnte besorgt werden; Medikament von Novartis: </w:t>
            </w:r>
            <w:proofErr w:type="spellStart"/>
            <w:r>
              <w:t>Axxx</w:t>
            </w:r>
            <w:proofErr w:type="spellEnd"/>
            <w:r>
              <w:t xml:space="preserve"> (IBBS?) MERS und SARS: hat während SARS im Mausmodell nicht funktioniert aber nicht in Zellkultur; </w:t>
            </w:r>
            <w:proofErr w:type="spellStart"/>
            <w:r>
              <w:t>Remdesivir</w:t>
            </w:r>
            <w:proofErr w:type="spellEnd"/>
            <w:r>
              <w:t xml:space="preserve"> bei Ebolafieber eingesetzt, jedoch im Menschen nicht wirksam; </w:t>
            </w:r>
            <w:proofErr w:type="spellStart"/>
            <w:r>
              <w:t>Remdesivir</w:t>
            </w:r>
            <w:proofErr w:type="spellEnd"/>
            <w:r>
              <w:t xml:space="preserve"> jedoch kein zugelassenes Medikament; bei Anrufen  Verweis an STAKOB; </w:t>
            </w:r>
          </w:p>
        </w:tc>
      </w:tr>
      <w:tr>
        <w:tc>
          <w:tcPr>
            <w:tcW w:w="817" w:type="dxa"/>
          </w:tcPr>
          <w:p>
            <w:r>
              <w:t>7</w:t>
            </w:r>
          </w:p>
        </w:tc>
        <w:tc>
          <w:tcPr>
            <w:tcW w:w="7699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Transport (Grenzübergangsstellen)</w:t>
            </w:r>
          </w:p>
          <w:p>
            <w:pPr>
              <w:pStyle w:val="Listenabsatz"/>
              <w:numPr>
                <w:ilvl w:val="0"/>
                <w:numId w:val="27"/>
              </w:numPr>
            </w:pPr>
            <w:r>
              <w:t xml:space="preserve">P4 stellt Modell für relatives Risiko, Verkehrsflüsse werden dabei berücksichtigt  (aktuelle 2019 Flugdaten werden noch am 24.01.2020 erwartet, von relevanten Änderungen ist jedoch nicht auszugehen); relative Importrisiko </w:t>
            </w:r>
            <w:r>
              <w:rPr>
                <w:i/>
              </w:rPr>
              <w:t>(1,5% bedeutet beispielsweises „wenn 100 Infizierte in Flugzeug steigen, dann kommen im Land XY statistisch 1,5 Infizierte an“)</w:t>
            </w:r>
            <w:r>
              <w:t>: China (90%), weitere Länder unter 2% Hong Kong, Thailand, Taiwan, Japan, Macau, USA, Südkorea, Malaysia, Indonesien, Russland, Deutschland (1,5%);  Frankfurt wichtigster Verkehrsknotenpunkt, aber auch München, Tegel, Düsseldorf, Hamburg, Stuttgart, Hannover; Frankreich wichtiger Transit-Hub von Flügen aus China/Wuhan; Flughafen Frankfurt Gateway von Reisenden aus Wuhan; Grafiken werden aktualisiert und können geteilt werden; Modell wird auch nochmals angewandt mit der jetzigen Lage, dass Wuhan seinen Flughafen gesperrt hat; monatsaufgelöste Darstellung (Berücksichtigung Verkehrsströme Neujahr China) möglich; Grafiken hilfreich für Risikokommunikation, sollen verfügbar gemacht werden; guter, klarer Begleittext wichtig (mögliche Verwechslung absolutes versus relatives Risiko); bei Darstellung „Ein-China-Politik“ der Bundesregierung berücksichtigen;</w:t>
            </w:r>
          </w:p>
          <w:p>
            <w:pPr>
              <w:pStyle w:val="Listenabsatz"/>
              <w:numPr>
                <w:ilvl w:val="0"/>
                <w:numId w:val="27"/>
              </w:numPr>
            </w:pPr>
            <w:r>
              <w:t xml:space="preserve">TK mit Flughäfen (Gesundheitsbehörden lokal, Land, BMG, BMVI); Zahlen vom BMVI: insgesamt 11 Flughäfen haben stärkere </w:t>
            </w:r>
            <w:r>
              <w:lastRenderedPageBreak/>
              <w:t>Verbindung zu  China; Informationsaustausch und –</w:t>
            </w:r>
            <w:proofErr w:type="spellStart"/>
            <w:r>
              <w:t>abstimmung</w:t>
            </w:r>
            <w:proofErr w:type="spellEnd"/>
            <w:r>
              <w:t xml:space="preserve">; Frankfurt hat Material für Passagiere entwickelt; Düsseldorf und Frankfurt unter Druck; die anderen Länder etwas zurückhaltender; Papier bereits auch ins Chinesische übersetzt; soll in Gruppe geteilt werden; davon auszugehen, dass Frankfurt ab Montag die Informationen über Bildschirme teilt (Nachtrag: schon ab Samstag); Dokument wird über die AGI gestreut, sodass andere Flughäfen Informationen haben; Schweiz und Österreich ebenfalls interessiert; bei Einverständnis von Hessen wird RKI Poster auf RKI-Website stellen;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b/>
              </w:rPr>
            </w:pPr>
            <w:r>
              <w:t xml:space="preserve">JA </w:t>
            </w:r>
            <w:proofErr w:type="spellStart"/>
            <w:r>
              <w:t>Healthy</w:t>
            </w:r>
            <w:proofErr w:type="spellEnd"/>
            <w:r>
              <w:t xml:space="preserve"> Gateways: Interim </w:t>
            </w:r>
            <w:proofErr w:type="spellStart"/>
            <w:r>
              <w:t>Advice</w:t>
            </w:r>
            <w:proofErr w:type="spellEnd"/>
            <w:r>
              <w:t xml:space="preserve"> auf  Anfrage von DG SANTE erstellt für Maßnahmen an Flughäfen und Häfen; weiterer </w:t>
            </w:r>
            <w:proofErr w:type="spellStart"/>
            <w:r>
              <w:t>Advice</w:t>
            </w:r>
            <w:proofErr w:type="spellEnd"/>
            <w:r>
              <w:t xml:space="preserve"> wird erstellt; enthält Informationen zum Umgang mit Personen mit akut respiratorischen Symptomen in Flugzeugen, Umgang mit </w:t>
            </w:r>
            <w:proofErr w:type="spellStart"/>
            <w:r>
              <w:t>Aussteigekarten</w:t>
            </w:r>
            <w:proofErr w:type="spellEnd"/>
            <w:r>
              <w:t xml:space="preserve"> sowie Entry Screening (letzteres ineffektiv, Evidenz spricht dagegen, trotzdem kann es positive Effekte geben); DG SANTE stützt diese Empfehlung;</w:t>
            </w:r>
          </w:p>
        </w:tc>
      </w:tr>
      <w:tr>
        <w:tc>
          <w:tcPr>
            <w:tcW w:w="817" w:type="dxa"/>
          </w:tcPr>
          <w:p>
            <w:r>
              <w:lastRenderedPageBreak/>
              <w:t>8</w:t>
            </w:r>
          </w:p>
        </w:tc>
        <w:tc>
          <w:tcPr>
            <w:tcW w:w="7699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Informationen aus der Koordinierungsstelle</w:t>
            </w:r>
          </w:p>
          <w:p>
            <w:pPr>
              <w:pStyle w:val="Listenabsatz"/>
              <w:numPr>
                <w:ilvl w:val="0"/>
                <w:numId w:val="27"/>
              </w:numPr>
            </w:pPr>
            <w:r>
              <w:t>Hoher Arbeitsaufwand; seit 23.01.2020 örtlich im Lagezentrum; Erweiterung personell in Arbeit (RKI-übergreifend);</w:t>
            </w:r>
          </w:p>
          <w:p>
            <w:pPr>
              <w:pStyle w:val="Listenabsatz"/>
              <w:numPr>
                <w:ilvl w:val="0"/>
                <w:numId w:val="27"/>
              </w:numPr>
            </w:pPr>
            <w:r>
              <w:t>GMLZ: Berichte enthalten falsche Informationen über RKI; wird in Zukunft abgestimmt (Nachtrag: letzter GMLZ-Lagebericht waren die falschen Informationen nicht mehr enthalten und er wurde zur Abstimmung vorab an Koordinierungsstelle geschickt);</w:t>
            </w:r>
          </w:p>
        </w:tc>
      </w:tr>
      <w:tr>
        <w:tc>
          <w:tcPr>
            <w:tcW w:w="817" w:type="dxa"/>
          </w:tcPr>
          <w:p>
            <w:r>
              <w:t>9</w:t>
            </w:r>
          </w:p>
        </w:tc>
        <w:tc>
          <w:tcPr>
            <w:tcW w:w="7699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Andere Themen</w:t>
            </w:r>
          </w:p>
          <w:p>
            <w:pPr>
              <w:pStyle w:val="Listenabsatz"/>
              <w:numPr>
                <w:ilvl w:val="0"/>
                <w:numId w:val="27"/>
              </w:numPr>
            </w:pPr>
            <w:r>
              <w:t xml:space="preserve">GHSI Senior </w:t>
            </w:r>
            <w:proofErr w:type="spellStart"/>
            <w:r>
              <w:t>Officials</w:t>
            </w:r>
            <w:proofErr w:type="spellEnd"/>
            <w:r>
              <w:t>: TK 28.01.2020, 16 Uhr: Teilnahme Rottmann, Vertretung RKI durch Walter Haas</w:t>
            </w:r>
          </w:p>
          <w:p>
            <w:pPr>
              <w:pStyle w:val="Listenabsatz"/>
              <w:numPr>
                <w:ilvl w:val="0"/>
                <w:numId w:val="27"/>
              </w:numPr>
            </w:pPr>
            <w:r>
              <w:t>GOARN-Aufruf: suchen mehrere Personen diverser Expertise zur Abordnung nach Manila (WPRO, WHO) auf unbestimmte Zeit; TOR unklar; bisher keine Rückmeldung aus RKI; evtl. 1 Person aus ZIG1 bereitstellen; externe können nicht gesendet werden, da Anfrage an GOARN-Partner; BMG INIG-Stelle kommt direkt aus Jordanien; 1 Woche am RKI, dann sollte diese theoretisch ans BMG; evtl. doch besser am RKI in derzeitiger Lage;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t>Anfragen im Presse Info-Postfach zu chinesischen Importwaren; FG32 versucht richtigen Ansprechpartner herauszufinden (ähnlich Ebolafieber) sodass eine FAQ erstellt werden kann.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t>Beteiligte OEs müssen Mindestbesetzung durch 1-2 Personen sicherstellen am Wochenende, Koordinierungsstelle koordiniert die Abfrage und Liste;</w:t>
            </w:r>
          </w:p>
        </w:tc>
      </w:tr>
      <w:tr>
        <w:tc>
          <w:tcPr>
            <w:tcW w:w="817" w:type="dxa"/>
          </w:tcPr>
          <w:p>
            <w:r>
              <w:t>10</w:t>
            </w:r>
          </w:p>
        </w:tc>
        <w:tc>
          <w:tcPr>
            <w:tcW w:w="7699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Nächstes Treffen:</w:t>
            </w:r>
            <w:r>
              <w:rPr>
                <w:sz w:val="22"/>
                <w:szCs w:val="22"/>
              </w:rPr>
              <w:t xml:space="preserve"> </w:t>
            </w:r>
            <w:r>
              <w:t>Serientermine montags und freitags, 13-14.30 Uhr, Einladungen sind versandt</w:t>
            </w:r>
          </w:p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t xml:space="preserve">Seite </w:t>
    </w:r>
    <w:r>
      <w:rPr>
        <w:rStyle w:val="Seitenzahl"/>
        <w:b/>
        <w:bCs/>
      </w:rPr>
      <w:fldChar w:fldCharType="begin"/>
    </w:r>
    <w:r>
      <w:rPr>
        <w:rStyle w:val="Seitenzahl"/>
        <w:b/>
        <w:bCs/>
      </w:rPr>
      <w:instrText>PAGE  \* Arabic  \* MERGEFORMAT</w:instrText>
    </w:r>
    <w:r>
      <w:rPr>
        <w:rStyle w:val="Seitenzahl"/>
        <w:b/>
        <w:bCs/>
      </w:rPr>
      <w:fldChar w:fldCharType="separate"/>
    </w:r>
    <w:r>
      <w:rPr>
        <w:rStyle w:val="Seitenzahl"/>
        <w:b/>
        <w:bCs/>
      </w:rPr>
      <w:t>1</w:t>
    </w:r>
    <w:r>
      <w:rPr>
        <w:rStyle w:val="Seitenzahl"/>
        <w:b/>
        <w:bCs/>
      </w:rPr>
      <w:fldChar w:fldCharType="end"/>
    </w:r>
    <w:r>
      <w:rPr>
        <w:rStyle w:val="Seitenzahl"/>
      </w:rPr>
      <w:t xml:space="preserve"> von </w:t>
    </w:r>
    <w:r>
      <w:rPr>
        <w:rStyle w:val="Seitenzahl"/>
        <w:b/>
        <w:bCs/>
      </w:rPr>
      <w:fldChar w:fldCharType="begin"/>
    </w:r>
    <w:r>
      <w:rPr>
        <w:rStyle w:val="Seitenzahl"/>
        <w:b/>
        <w:bCs/>
      </w:rPr>
      <w:instrText>NUMPAGES  \* Arabic  \* MERGEFORMAT</w:instrText>
    </w:r>
    <w:r>
      <w:rPr>
        <w:rStyle w:val="Seitenzahl"/>
        <w:b/>
        <w:bCs/>
      </w:rPr>
      <w:fldChar w:fldCharType="separate"/>
    </w:r>
    <w:r>
      <w:rPr>
        <w:rStyle w:val="Seitenzahl"/>
        <w:b/>
        <w:bCs/>
      </w:rPr>
      <w:t>2</w:t>
    </w:r>
    <w:r>
      <w:rPr>
        <w:rStyle w:val="Seitenzahl"/>
        <w:b/>
        <w:bCs/>
      </w:rPr>
      <w:fldChar w:fldCharType="end"/>
    </w:r>
    <w:bookmarkStart w:id="0" w:name="_GoBack"/>
    <w:bookmarkEnd w:id="0"/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  <w:sz w:val="16"/>
      </w:rPr>
      <w:t>VS - NUR FÜR DEN DIENSTGEBRAUCH</w:t>
    </w:r>
    <w:r>
      <w:rPr>
        <w:color w:val="1F497D" w:themeColor="text2"/>
      </w:rPr>
      <w:tab/>
    </w:r>
    <w:r>
      <w:rPr>
        <w:color w:val="1F497D" w:themeColor="text2"/>
      </w:rPr>
      <w:tab/>
    </w:r>
    <w:r>
      <w:rPr>
        <w:noProof/>
        <w:color w:val="1F497D" w:themeColor="text2"/>
        <w:lang w:eastAsia="de-DE"/>
      </w:rPr>
      <w:drawing>
        <wp:inline distT="0" distB="0" distL="0" distR="0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Agenda der 2019nCoV-Lage-AG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7A1"/>
    <w:multiLevelType w:val="hybridMultilevel"/>
    <w:tmpl w:val="AC26A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790A"/>
    <w:multiLevelType w:val="hybridMultilevel"/>
    <w:tmpl w:val="86C01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D18A2"/>
    <w:multiLevelType w:val="hybridMultilevel"/>
    <w:tmpl w:val="82406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97345"/>
    <w:multiLevelType w:val="hybridMultilevel"/>
    <w:tmpl w:val="103066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80C93"/>
    <w:multiLevelType w:val="hybridMultilevel"/>
    <w:tmpl w:val="06CAD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12AE"/>
    <w:multiLevelType w:val="hybridMultilevel"/>
    <w:tmpl w:val="7A12A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F64C3"/>
    <w:multiLevelType w:val="hybridMultilevel"/>
    <w:tmpl w:val="D58E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74704"/>
    <w:multiLevelType w:val="hybridMultilevel"/>
    <w:tmpl w:val="333E3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75F65"/>
    <w:multiLevelType w:val="hybridMultilevel"/>
    <w:tmpl w:val="76201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67654"/>
    <w:multiLevelType w:val="hybridMultilevel"/>
    <w:tmpl w:val="7AA20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16D6A"/>
    <w:multiLevelType w:val="hybridMultilevel"/>
    <w:tmpl w:val="47A0319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D764B78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F07D6"/>
    <w:multiLevelType w:val="hybridMultilevel"/>
    <w:tmpl w:val="C220FC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63F26"/>
    <w:multiLevelType w:val="hybridMultilevel"/>
    <w:tmpl w:val="305A6A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2DB7"/>
    <w:multiLevelType w:val="hybridMultilevel"/>
    <w:tmpl w:val="DDC4215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2E245F"/>
    <w:multiLevelType w:val="hybridMultilevel"/>
    <w:tmpl w:val="09685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7185D"/>
    <w:multiLevelType w:val="hybridMultilevel"/>
    <w:tmpl w:val="C42A22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62501"/>
    <w:multiLevelType w:val="hybridMultilevel"/>
    <w:tmpl w:val="A0149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21567"/>
    <w:multiLevelType w:val="hybridMultilevel"/>
    <w:tmpl w:val="132A7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56FF7"/>
    <w:multiLevelType w:val="hybridMultilevel"/>
    <w:tmpl w:val="6C42A976"/>
    <w:lvl w:ilvl="0" w:tplc="587A9762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93020"/>
    <w:multiLevelType w:val="hybridMultilevel"/>
    <w:tmpl w:val="0AD27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F13A1"/>
    <w:multiLevelType w:val="hybridMultilevel"/>
    <w:tmpl w:val="39E21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F1670"/>
    <w:multiLevelType w:val="hybridMultilevel"/>
    <w:tmpl w:val="E52EAE58"/>
    <w:lvl w:ilvl="0" w:tplc="0F2A24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064A8"/>
    <w:multiLevelType w:val="hybridMultilevel"/>
    <w:tmpl w:val="B85631E4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FD57F3"/>
    <w:multiLevelType w:val="hybridMultilevel"/>
    <w:tmpl w:val="0CA0907E"/>
    <w:lvl w:ilvl="0" w:tplc="587A9762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423BF"/>
    <w:multiLevelType w:val="hybridMultilevel"/>
    <w:tmpl w:val="BBDEB7E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666D8F"/>
    <w:multiLevelType w:val="hybridMultilevel"/>
    <w:tmpl w:val="A6A6A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B61A3"/>
    <w:multiLevelType w:val="hybridMultilevel"/>
    <w:tmpl w:val="D742A67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CB4AC2"/>
    <w:multiLevelType w:val="hybridMultilevel"/>
    <w:tmpl w:val="D58E4A5C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4C3351"/>
    <w:multiLevelType w:val="hybridMultilevel"/>
    <w:tmpl w:val="D58E4A5C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31"/>
  </w:num>
  <w:num w:numId="4">
    <w:abstractNumId w:val="16"/>
  </w:num>
  <w:num w:numId="5">
    <w:abstractNumId w:val="20"/>
  </w:num>
  <w:num w:numId="6">
    <w:abstractNumId w:val="9"/>
  </w:num>
  <w:num w:numId="7">
    <w:abstractNumId w:val="5"/>
  </w:num>
  <w:num w:numId="8">
    <w:abstractNumId w:val="14"/>
  </w:num>
  <w:num w:numId="9">
    <w:abstractNumId w:val="11"/>
  </w:num>
  <w:num w:numId="10">
    <w:abstractNumId w:val="19"/>
  </w:num>
  <w:num w:numId="11">
    <w:abstractNumId w:val="7"/>
  </w:num>
  <w:num w:numId="12">
    <w:abstractNumId w:val="17"/>
  </w:num>
  <w:num w:numId="13">
    <w:abstractNumId w:val="30"/>
  </w:num>
  <w:num w:numId="14">
    <w:abstractNumId w:val="24"/>
  </w:num>
  <w:num w:numId="15">
    <w:abstractNumId w:val="26"/>
  </w:num>
  <w:num w:numId="16">
    <w:abstractNumId w:val="29"/>
  </w:num>
  <w:num w:numId="17">
    <w:abstractNumId w:val="4"/>
  </w:num>
  <w:num w:numId="18">
    <w:abstractNumId w:val="23"/>
  </w:num>
  <w:num w:numId="19">
    <w:abstractNumId w:val="1"/>
  </w:num>
  <w:num w:numId="20">
    <w:abstractNumId w:val="10"/>
  </w:num>
  <w:num w:numId="21">
    <w:abstractNumId w:val="22"/>
  </w:num>
  <w:num w:numId="22">
    <w:abstractNumId w:val="8"/>
  </w:num>
  <w:num w:numId="23">
    <w:abstractNumId w:val="13"/>
  </w:num>
  <w:num w:numId="24">
    <w:abstractNumId w:val="12"/>
  </w:num>
  <w:num w:numId="25">
    <w:abstractNumId w:val="27"/>
  </w:num>
  <w:num w:numId="26">
    <w:abstractNumId w:val="21"/>
  </w:num>
  <w:num w:numId="27">
    <w:abstractNumId w:val="3"/>
  </w:num>
  <w:num w:numId="28">
    <w:abstractNumId w:val="15"/>
  </w:num>
  <w:num w:numId="29">
    <w:abstractNumId w:val="2"/>
  </w:num>
  <w:num w:numId="30">
    <w:abstractNumId w:val="0"/>
  </w:num>
  <w:num w:numId="31">
    <w:abstractNumId w:val="25"/>
  </w:num>
  <w:num w:numId="32">
    <w:abstractNumId w:val="18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438CDCB5-7254-4F1A-94AF-00A45AAF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4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7.KL-Droste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sanddata.maps.arcgis.com/apps/opsdashboard/index.html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FAD9635099E468F873E69029FBCE6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B1AB59-3B67-49ED-9EAE-37193E6DC85C}"/>
      </w:docPartPr>
      <w:docPartBody>
        <w:p>
          <w:pPr>
            <w:pStyle w:val="9FAD9635099E468F873E69029FBCE6AB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4BD05692A9C4EF3BF9F20A0DA9C42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1365D2-93FA-47F4-9D7F-47D37680F57D}"/>
      </w:docPartPr>
      <w:docPartBody>
        <w:p>
          <w:pPr>
            <w:pStyle w:val="A4BD05692A9C4EF3BF9F20A0DA9C42F0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437DC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  <w:style w:type="paragraph" w:customStyle="1" w:styleId="9FAD9635099E468F873E69029FBCE6AB">
    <w:name w:val="9FAD9635099E468F873E69029FBCE6AB"/>
    <w:rsid w:val="00C437DC"/>
  </w:style>
  <w:style w:type="paragraph" w:customStyle="1" w:styleId="A4BD05692A9C4EF3BF9F20A0DA9C42F0">
    <w:name w:val="A4BD05692A9C4EF3BF9F20A0DA9C42F0"/>
    <w:rsid w:val="00C437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1793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15</cp:revision>
  <dcterms:created xsi:type="dcterms:W3CDTF">2020-01-25T13:04:00Z</dcterms:created>
  <dcterms:modified xsi:type="dcterms:W3CDTF">2021-04-12T13:40:00Z</dcterms:modified>
</cp:coreProperties>
</file>