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w:t>
      </w:r>
      <w:proofErr w:type="gramStart"/>
      <w:r>
        <w:t>nCoV)-</w:t>
      </w:r>
      <w:proofErr w:type="gramEnd"/>
      <w:r>
        <w:t>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2096439265"/>
              <w:placeholder>
                <w:docPart w:val="9FAD9635099E468F873E69029FBCE6AB"/>
              </w:placeholder>
            </w:sdtPr>
            <w:sdtContent>
              <w:r>
                <w:rPr>
                  <w:i/>
                  <w:sz w:val="22"/>
                </w:rPr>
                <w:t>29.01.2020, 13-14:00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b/>
                <w:i/>
                <w:sz w:val="22"/>
              </w:rPr>
              <w:id w:val="1811592494"/>
              <w:placeholder>
                <w:docPart w:val="A4BD05692A9C4EF3BF9F20A0DA9C42F0"/>
              </w:placeholder>
            </w:sdtPr>
            <w:sdtContent>
              <w:r>
                <w:rPr>
                  <w:b/>
                  <w:i/>
                  <w:sz w:val="22"/>
                </w:rPr>
                <w:t xml:space="preserve">RKI, </w:t>
              </w:r>
              <w:r>
                <w:rPr>
                  <w:i/>
                  <w:sz w:val="22"/>
                  <w:szCs w:val="22"/>
                </w:rPr>
                <w:t>Seestraße, Lagezentrum Besprechungsraum</w:t>
              </w:r>
            </w:sdtContent>
          </w:sdt>
        </w:sdtContent>
      </w:sdt>
    </w:p>
    <w:p>
      <w:pPr>
        <w:rPr>
          <w:b/>
          <w:sz w:val="22"/>
        </w:rPr>
      </w:pPr>
      <w:r>
        <w:rPr>
          <w:b/>
          <w:sz w:val="22"/>
        </w:rPr>
        <w:t>Moderation: Lars Schaade</w:t>
      </w:r>
    </w:p>
    <w:p>
      <w:pPr>
        <w:spacing w:after="20"/>
        <w:rPr>
          <w:b/>
          <w:sz w:val="22"/>
        </w:rPr>
      </w:pPr>
      <w:r>
        <w:rPr>
          <w:b/>
          <w:sz w:val="22"/>
        </w:rPr>
        <w:t xml:space="preserve">Teilnehmende: </w:t>
      </w:r>
    </w:p>
    <w:p>
      <w:pPr>
        <w:pStyle w:val="Listenabsatz"/>
        <w:numPr>
          <w:ilvl w:val="0"/>
          <w:numId w:val="17"/>
        </w:numPr>
        <w:spacing w:after="20"/>
        <w:contextualSpacing w:val="0"/>
        <w:rPr>
          <w:sz w:val="18"/>
          <w:szCs w:val="18"/>
        </w:rPr>
      </w:pPr>
      <w:r>
        <w:rPr>
          <w:sz w:val="18"/>
          <w:szCs w:val="18"/>
        </w:rPr>
        <w:t>Institutsleitung</w:t>
      </w:r>
    </w:p>
    <w:p>
      <w:pPr>
        <w:pStyle w:val="Listenabsatz"/>
        <w:numPr>
          <w:ilvl w:val="1"/>
          <w:numId w:val="7"/>
        </w:numPr>
        <w:spacing w:after="20"/>
        <w:contextualSpacing w:val="0"/>
        <w:rPr>
          <w:sz w:val="18"/>
          <w:szCs w:val="18"/>
        </w:rPr>
      </w:pPr>
      <w:r>
        <w:rPr>
          <w:sz w:val="18"/>
          <w:szCs w:val="18"/>
        </w:rPr>
        <w:t>Lars Schaade</w:t>
      </w:r>
    </w:p>
    <w:p>
      <w:pPr>
        <w:pStyle w:val="Listenabsatz"/>
        <w:numPr>
          <w:ilvl w:val="0"/>
          <w:numId w:val="17"/>
        </w:numPr>
        <w:spacing w:after="20"/>
        <w:contextualSpacing w:val="0"/>
        <w:rPr>
          <w:sz w:val="18"/>
          <w:szCs w:val="18"/>
        </w:rPr>
      </w:pPr>
      <w:r>
        <w:rPr>
          <w:sz w:val="18"/>
          <w:szCs w:val="18"/>
        </w:rPr>
        <w:t>Abteilung 1-Leitung</w:t>
      </w:r>
    </w:p>
    <w:p>
      <w:pPr>
        <w:pStyle w:val="Listenabsatz"/>
        <w:numPr>
          <w:ilvl w:val="1"/>
          <w:numId w:val="17"/>
        </w:numPr>
        <w:spacing w:after="20"/>
        <w:contextualSpacing w:val="0"/>
        <w:rPr>
          <w:sz w:val="18"/>
          <w:szCs w:val="18"/>
        </w:rPr>
      </w:pPr>
      <w:r>
        <w:rPr>
          <w:sz w:val="18"/>
          <w:szCs w:val="18"/>
        </w:rPr>
        <w:t>Martin Mielke</w:t>
      </w:r>
    </w:p>
    <w:p>
      <w:pPr>
        <w:pStyle w:val="Listenabsatz"/>
        <w:numPr>
          <w:ilvl w:val="0"/>
          <w:numId w:val="17"/>
        </w:numPr>
        <w:spacing w:after="20"/>
        <w:contextualSpacing w:val="0"/>
        <w:rPr>
          <w:sz w:val="18"/>
          <w:szCs w:val="18"/>
        </w:rPr>
      </w:pPr>
      <w:r>
        <w:rPr>
          <w:sz w:val="18"/>
          <w:szCs w:val="18"/>
        </w:rPr>
        <w:t>Abteilung 3-Leitung</w:t>
      </w:r>
    </w:p>
    <w:p>
      <w:pPr>
        <w:pStyle w:val="Listenabsatz"/>
        <w:numPr>
          <w:ilvl w:val="1"/>
          <w:numId w:val="17"/>
        </w:numPr>
        <w:spacing w:after="20"/>
        <w:contextualSpacing w:val="0"/>
        <w:rPr>
          <w:sz w:val="18"/>
          <w:szCs w:val="18"/>
        </w:rPr>
      </w:pPr>
      <w:r>
        <w:rPr>
          <w:sz w:val="18"/>
          <w:szCs w:val="18"/>
        </w:rPr>
        <w:t>Osamah Hamouda</w:t>
      </w:r>
    </w:p>
    <w:p>
      <w:pPr>
        <w:pStyle w:val="Listenabsatz"/>
        <w:numPr>
          <w:ilvl w:val="0"/>
          <w:numId w:val="17"/>
        </w:numPr>
        <w:spacing w:after="20"/>
        <w:contextualSpacing w:val="0"/>
        <w:rPr>
          <w:sz w:val="18"/>
          <w:szCs w:val="18"/>
        </w:rPr>
      </w:pPr>
      <w:r>
        <w:rPr>
          <w:sz w:val="18"/>
          <w:szCs w:val="18"/>
        </w:rPr>
        <w:t>BZGA</w:t>
      </w:r>
    </w:p>
    <w:p>
      <w:pPr>
        <w:pStyle w:val="Listenabsatz"/>
        <w:numPr>
          <w:ilvl w:val="1"/>
          <w:numId w:val="17"/>
        </w:numPr>
        <w:spacing w:after="20"/>
        <w:contextualSpacing w:val="0"/>
        <w:rPr>
          <w:sz w:val="18"/>
          <w:szCs w:val="18"/>
        </w:rPr>
      </w:pPr>
      <w:r>
        <w:rPr>
          <w:sz w:val="18"/>
          <w:szCs w:val="18"/>
        </w:rPr>
        <w:t>-</w:t>
      </w:r>
    </w:p>
    <w:p>
      <w:pPr>
        <w:pStyle w:val="Listenabsatz"/>
        <w:numPr>
          <w:ilvl w:val="0"/>
          <w:numId w:val="17"/>
        </w:numPr>
        <w:spacing w:after="20"/>
        <w:contextualSpacing w:val="0"/>
        <w:rPr>
          <w:sz w:val="18"/>
          <w:szCs w:val="18"/>
        </w:rPr>
      </w:pPr>
      <w:r>
        <w:rPr>
          <w:sz w:val="18"/>
          <w:szCs w:val="18"/>
        </w:rPr>
        <w:t>ZIG-Leitung</w:t>
      </w:r>
    </w:p>
    <w:p>
      <w:pPr>
        <w:pStyle w:val="Listenabsatz"/>
        <w:numPr>
          <w:ilvl w:val="1"/>
          <w:numId w:val="7"/>
        </w:numPr>
        <w:spacing w:after="20"/>
        <w:contextualSpacing w:val="0"/>
        <w:rPr>
          <w:sz w:val="18"/>
          <w:szCs w:val="18"/>
        </w:rPr>
      </w:pPr>
      <w:r>
        <w:rPr>
          <w:sz w:val="18"/>
          <w:szCs w:val="18"/>
        </w:rPr>
        <w:t>Johanna Hanefeld</w:t>
      </w:r>
    </w:p>
    <w:p>
      <w:pPr>
        <w:pStyle w:val="Listenabsatz"/>
        <w:numPr>
          <w:ilvl w:val="0"/>
          <w:numId w:val="17"/>
        </w:numPr>
        <w:spacing w:after="20"/>
        <w:contextualSpacing w:val="0"/>
        <w:rPr>
          <w:sz w:val="18"/>
          <w:szCs w:val="18"/>
        </w:rPr>
      </w:pPr>
      <w:r>
        <w:rPr>
          <w:sz w:val="18"/>
          <w:szCs w:val="18"/>
        </w:rPr>
        <w:t>FG14</w:t>
      </w:r>
    </w:p>
    <w:p>
      <w:pPr>
        <w:pStyle w:val="Listenabsatz"/>
        <w:numPr>
          <w:ilvl w:val="1"/>
          <w:numId w:val="7"/>
        </w:numPr>
        <w:spacing w:after="20"/>
        <w:contextualSpacing w:val="0"/>
        <w:rPr>
          <w:sz w:val="18"/>
          <w:szCs w:val="18"/>
        </w:rPr>
      </w:pPr>
      <w:r>
        <w:rPr>
          <w:sz w:val="18"/>
          <w:szCs w:val="18"/>
        </w:rPr>
        <w:t xml:space="preserve">Melanie Brunke </w:t>
      </w:r>
    </w:p>
    <w:p>
      <w:pPr>
        <w:pStyle w:val="Listenabsatz"/>
        <w:numPr>
          <w:ilvl w:val="1"/>
          <w:numId w:val="7"/>
        </w:numPr>
        <w:spacing w:after="20"/>
        <w:contextualSpacing w:val="0"/>
        <w:rPr>
          <w:sz w:val="18"/>
          <w:szCs w:val="18"/>
        </w:rPr>
      </w:pPr>
      <w:r>
        <w:rPr>
          <w:sz w:val="18"/>
          <w:szCs w:val="18"/>
        </w:rPr>
        <w:t>Marc Thanheiser</w:t>
      </w:r>
    </w:p>
    <w:p>
      <w:pPr>
        <w:pStyle w:val="Listenabsatz"/>
        <w:numPr>
          <w:ilvl w:val="0"/>
          <w:numId w:val="17"/>
        </w:numPr>
        <w:spacing w:after="20"/>
        <w:contextualSpacing w:val="0"/>
        <w:rPr>
          <w:sz w:val="18"/>
          <w:szCs w:val="18"/>
        </w:rPr>
      </w:pPr>
      <w:r>
        <w:rPr>
          <w:sz w:val="18"/>
          <w:szCs w:val="18"/>
        </w:rPr>
        <w:t>ZBS 2</w:t>
      </w:r>
    </w:p>
    <w:p>
      <w:pPr>
        <w:pStyle w:val="Listenabsatz"/>
        <w:numPr>
          <w:ilvl w:val="1"/>
          <w:numId w:val="7"/>
        </w:numPr>
        <w:spacing w:after="20"/>
        <w:contextualSpacing w:val="0"/>
        <w:rPr>
          <w:sz w:val="18"/>
          <w:szCs w:val="18"/>
        </w:rPr>
      </w:pPr>
      <w:r>
        <w:rPr>
          <w:sz w:val="18"/>
          <w:szCs w:val="18"/>
        </w:rPr>
        <w:t>Daniela</w:t>
      </w:r>
      <w:r>
        <w:t xml:space="preserve"> </w:t>
      </w:r>
      <w:r>
        <w:rPr>
          <w:sz w:val="18"/>
          <w:szCs w:val="18"/>
        </w:rPr>
        <w:t>Jacob</w:t>
      </w:r>
    </w:p>
    <w:p>
      <w:pPr>
        <w:pStyle w:val="Listenabsatz"/>
        <w:numPr>
          <w:ilvl w:val="0"/>
          <w:numId w:val="17"/>
        </w:numPr>
        <w:spacing w:after="20"/>
        <w:contextualSpacing w:val="0"/>
        <w:rPr>
          <w:sz w:val="18"/>
          <w:szCs w:val="18"/>
        </w:rPr>
      </w:pPr>
      <w:r>
        <w:rPr>
          <w:sz w:val="18"/>
          <w:szCs w:val="18"/>
        </w:rPr>
        <w:t>FG17</w:t>
      </w:r>
    </w:p>
    <w:p>
      <w:pPr>
        <w:pStyle w:val="Listenabsatz"/>
        <w:numPr>
          <w:ilvl w:val="1"/>
          <w:numId w:val="17"/>
        </w:numPr>
        <w:spacing w:after="20"/>
        <w:contextualSpacing w:val="0"/>
        <w:rPr>
          <w:sz w:val="18"/>
          <w:szCs w:val="18"/>
        </w:rPr>
      </w:pPr>
      <w:r>
        <w:rPr>
          <w:sz w:val="18"/>
          <w:szCs w:val="18"/>
        </w:rPr>
        <w:t xml:space="preserve">Thorsten Wolff </w:t>
      </w:r>
    </w:p>
    <w:p>
      <w:pPr>
        <w:pStyle w:val="Listenabsatz"/>
        <w:numPr>
          <w:ilvl w:val="1"/>
          <w:numId w:val="17"/>
        </w:numPr>
        <w:spacing w:after="20"/>
        <w:contextualSpacing w:val="0"/>
        <w:rPr>
          <w:sz w:val="18"/>
          <w:szCs w:val="18"/>
        </w:rPr>
      </w:pPr>
      <w:r>
        <w:rPr>
          <w:sz w:val="18"/>
          <w:szCs w:val="18"/>
        </w:rPr>
        <w:t xml:space="preserve">Ralf Dürrwald </w:t>
      </w:r>
    </w:p>
    <w:p>
      <w:pPr>
        <w:pStyle w:val="Listenabsatz"/>
        <w:numPr>
          <w:ilvl w:val="0"/>
          <w:numId w:val="18"/>
        </w:numPr>
        <w:spacing w:after="20"/>
        <w:contextualSpacing w:val="0"/>
        <w:rPr>
          <w:sz w:val="18"/>
          <w:szCs w:val="18"/>
        </w:rPr>
      </w:pPr>
      <w:r>
        <w:rPr>
          <w:sz w:val="18"/>
          <w:szCs w:val="18"/>
        </w:rPr>
        <w:t>FG 32</w:t>
      </w:r>
    </w:p>
    <w:p>
      <w:pPr>
        <w:pStyle w:val="Listenabsatz"/>
        <w:numPr>
          <w:ilvl w:val="1"/>
          <w:numId w:val="7"/>
        </w:numPr>
        <w:spacing w:after="20"/>
        <w:contextualSpacing w:val="0"/>
        <w:rPr>
          <w:sz w:val="18"/>
          <w:szCs w:val="18"/>
        </w:rPr>
      </w:pPr>
      <w:r>
        <w:rPr>
          <w:sz w:val="18"/>
          <w:szCs w:val="18"/>
        </w:rPr>
        <w:t>Ute Rexroth</w:t>
      </w:r>
    </w:p>
    <w:p>
      <w:pPr>
        <w:pStyle w:val="Listenabsatz"/>
        <w:numPr>
          <w:ilvl w:val="1"/>
          <w:numId w:val="7"/>
        </w:numPr>
        <w:spacing w:after="20"/>
        <w:contextualSpacing w:val="0"/>
        <w:rPr>
          <w:sz w:val="18"/>
          <w:szCs w:val="18"/>
        </w:rPr>
      </w:pPr>
      <w:r>
        <w:rPr>
          <w:sz w:val="18"/>
          <w:szCs w:val="18"/>
        </w:rPr>
        <w:t xml:space="preserve">Maria </w:t>
      </w:r>
      <w:proofErr w:type="gramStart"/>
      <w:r>
        <w:rPr>
          <w:sz w:val="18"/>
          <w:szCs w:val="18"/>
        </w:rPr>
        <w:t>an der Heiden</w:t>
      </w:r>
      <w:proofErr w:type="gramEnd"/>
    </w:p>
    <w:p>
      <w:pPr>
        <w:pStyle w:val="Listenabsatz"/>
        <w:numPr>
          <w:ilvl w:val="1"/>
          <w:numId w:val="7"/>
        </w:numPr>
        <w:spacing w:after="20"/>
        <w:contextualSpacing w:val="0"/>
        <w:rPr>
          <w:sz w:val="18"/>
          <w:szCs w:val="18"/>
        </w:rPr>
      </w:pPr>
      <w:r>
        <w:rPr>
          <w:sz w:val="18"/>
          <w:szCs w:val="18"/>
        </w:rPr>
        <w:t>Juliane Seidel (Protokoll)</w:t>
      </w:r>
    </w:p>
    <w:p>
      <w:pPr>
        <w:pStyle w:val="Listenabsatz"/>
        <w:numPr>
          <w:ilvl w:val="0"/>
          <w:numId w:val="7"/>
        </w:numPr>
        <w:spacing w:after="20"/>
        <w:contextualSpacing w:val="0"/>
        <w:rPr>
          <w:sz w:val="18"/>
          <w:szCs w:val="18"/>
        </w:rPr>
      </w:pPr>
      <w:r>
        <w:rPr>
          <w:sz w:val="18"/>
          <w:szCs w:val="18"/>
        </w:rPr>
        <w:t>FG36</w:t>
      </w:r>
    </w:p>
    <w:p>
      <w:pPr>
        <w:pStyle w:val="Listenabsatz"/>
        <w:numPr>
          <w:ilvl w:val="1"/>
          <w:numId w:val="7"/>
        </w:numPr>
        <w:spacing w:after="20"/>
        <w:contextualSpacing w:val="0"/>
        <w:rPr>
          <w:sz w:val="18"/>
          <w:szCs w:val="18"/>
        </w:rPr>
      </w:pPr>
      <w:r>
        <w:rPr>
          <w:sz w:val="18"/>
          <w:szCs w:val="18"/>
        </w:rPr>
        <w:t>Walter Haas</w:t>
      </w:r>
    </w:p>
    <w:p>
      <w:pPr>
        <w:pStyle w:val="Listenabsatz"/>
        <w:numPr>
          <w:ilvl w:val="0"/>
          <w:numId w:val="17"/>
        </w:numPr>
        <w:spacing w:after="20"/>
        <w:contextualSpacing w:val="0"/>
        <w:rPr>
          <w:sz w:val="18"/>
          <w:szCs w:val="18"/>
        </w:rPr>
      </w:pPr>
      <w:r>
        <w:rPr>
          <w:sz w:val="18"/>
          <w:szCs w:val="18"/>
        </w:rPr>
        <w:t>IBBS</w:t>
      </w:r>
    </w:p>
    <w:p>
      <w:pPr>
        <w:pStyle w:val="Listenabsatz"/>
        <w:numPr>
          <w:ilvl w:val="1"/>
          <w:numId w:val="7"/>
        </w:numPr>
        <w:spacing w:after="20"/>
        <w:contextualSpacing w:val="0"/>
        <w:rPr>
          <w:sz w:val="18"/>
          <w:szCs w:val="18"/>
        </w:rPr>
      </w:pPr>
      <w:r>
        <w:rPr>
          <w:sz w:val="18"/>
          <w:szCs w:val="18"/>
        </w:rPr>
        <w:t>Christian Herzog</w:t>
      </w:r>
    </w:p>
    <w:p>
      <w:pPr>
        <w:pStyle w:val="Listenabsatz"/>
        <w:numPr>
          <w:ilvl w:val="1"/>
          <w:numId w:val="7"/>
        </w:numPr>
        <w:spacing w:after="20"/>
        <w:contextualSpacing w:val="0"/>
        <w:rPr>
          <w:sz w:val="18"/>
          <w:szCs w:val="18"/>
        </w:rPr>
      </w:pPr>
      <w:r>
        <w:rPr>
          <w:sz w:val="18"/>
          <w:szCs w:val="18"/>
        </w:rPr>
        <w:t>Claudia Schulte-Weidhaas</w:t>
      </w:r>
    </w:p>
    <w:p>
      <w:pPr>
        <w:pStyle w:val="Listenabsatz"/>
        <w:numPr>
          <w:ilvl w:val="1"/>
          <w:numId w:val="7"/>
        </w:numPr>
        <w:spacing w:after="20"/>
        <w:contextualSpacing w:val="0"/>
        <w:rPr>
          <w:sz w:val="18"/>
          <w:szCs w:val="18"/>
        </w:rPr>
      </w:pPr>
      <w:r>
        <w:rPr>
          <w:sz w:val="18"/>
          <w:szCs w:val="18"/>
        </w:rPr>
        <w:t>Bettina Ruehe</w:t>
      </w:r>
    </w:p>
    <w:p>
      <w:pPr>
        <w:pStyle w:val="Listenabsatz"/>
        <w:numPr>
          <w:ilvl w:val="0"/>
          <w:numId w:val="17"/>
        </w:numPr>
        <w:spacing w:after="20"/>
        <w:contextualSpacing w:val="0"/>
        <w:rPr>
          <w:sz w:val="18"/>
          <w:szCs w:val="18"/>
        </w:rPr>
      </w:pPr>
      <w:r>
        <w:rPr>
          <w:sz w:val="18"/>
          <w:szCs w:val="18"/>
        </w:rPr>
        <w:t>Presse</w:t>
      </w:r>
    </w:p>
    <w:p>
      <w:pPr>
        <w:pStyle w:val="Listenabsatz"/>
        <w:numPr>
          <w:ilvl w:val="1"/>
          <w:numId w:val="7"/>
        </w:numPr>
        <w:spacing w:after="20"/>
        <w:contextualSpacing w:val="0"/>
        <w:rPr>
          <w:sz w:val="18"/>
          <w:szCs w:val="18"/>
        </w:rPr>
      </w:pPr>
      <w:r>
        <w:rPr>
          <w:sz w:val="18"/>
          <w:szCs w:val="18"/>
        </w:rPr>
        <w:t>Jamela Seedat</w:t>
      </w:r>
    </w:p>
    <w:p>
      <w:pPr>
        <w:pStyle w:val="Listenabsatz"/>
        <w:numPr>
          <w:ilvl w:val="0"/>
          <w:numId w:val="7"/>
        </w:numPr>
        <w:spacing w:after="20"/>
        <w:contextualSpacing w:val="0"/>
        <w:rPr>
          <w:sz w:val="18"/>
          <w:szCs w:val="18"/>
        </w:rPr>
      </w:pPr>
      <w:r>
        <w:rPr>
          <w:sz w:val="18"/>
          <w:szCs w:val="18"/>
        </w:rPr>
        <w:t>INIG</w:t>
      </w:r>
    </w:p>
    <w:p>
      <w:pPr>
        <w:pStyle w:val="Listenabsatz"/>
        <w:numPr>
          <w:ilvl w:val="1"/>
          <w:numId w:val="7"/>
        </w:numPr>
        <w:spacing w:after="20"/>
        <w:contextualSpacing w:val="0"/>
        <w:rPr>
          <w:sz w:val="18"/>
          <w:szCs w:val="18"/>
        </w:rPr>
      </w:pPr>
      <w:r>
        <w:rPr>
          <w:sz w:val="18"/>
          <w:szCs w:val="18"/>
        </w:rPr>
        <w:t>Andreas Jansen</w:t>
      </w:r>
    </w:p>
    <w:p>
      <w:pPr>
        <w:pStyle w:val="Listenabsatz"/>
        <w:numPr>
          <w:ilvl w:val="1"/>
          <w:numId w:val="7"/>
        </w:numPr>
        <w:spacing w:after="20"/>
        <w:contextualSpacing w:val="0"/>
        <w:rPr>
          <w:sz w:val="18"/>
          <w:szCs w:val="18"/>
        </w:rPr>
      </w:pPr>
      <w:r>
        <w:rPr>
          <w:sz w:val="18"/>
          <w:szCs w:val="18"/>
        </w:rPr>
        <w:t>Basel Karo</w:t>
      </w:r>
    </w:p>
    <w:p>
      <w:pPr>
        <w:pStyle w:val="Listenabsatz"/>
        <w:numPr>
          <w:ilvl w:val="0"/>
          <w:numId w:val="7"/>
        </w:numPr>
        <w:spacing w:after="20"/>
        <w:contextualSpacing w:val="0"/>
        <w:rPr>
          <w:sz w:val="18"/>
          <w:szCs w:val="18"/>
        </w:rPr>
      </w:pPr>
      <w:r>
        <w:rPr>
          <w:sz w:val="18"/>
          <w:szCs w:val="18"/>
        </w:rPr>
        <w:t>Bundeswehr</w:t>
      </w:r>
    </w:p>
    <w:p>
      <w:pPr>
        <w:pStyle w:val="Listenabsatz"/>
        <w:numPr>
          <w:ilvl w:val="0"/>
          <w:numId w:val="7"/>
        </w:numPr>
        <w:spacing w:after="20"/>
        <w:contextualSpacing w:val="0"/>
        <w:rPr>
          <w:sz w:val="18"/>
          <w:szCs w:val="18"/>
        </w:rPr>
      </w:pPr>
      <w:r>
        <w:rPr>
          <w:sz w:val="18"/>
          <w:szCs w:val="18"/>
        </w:rPr>
        <w:t xml:space="preserve">Dr. </w:t>
      </w:r>
      <w:proofErr w:type="spellStart"/>
      <w:r>
        <w:rPr>
          <w:sz w:val="18"/>
          <w:szCs w:val="18"/>
        </w:rPr>
        <w:t>Harbaum</w:t>
      </w:r>
      <w:proofErr w:type="spellEnd"/>
    </w:p>
    <w:p>
      <w:r>
        <w:br w:type="page"/>
      </w:r>
    </w:p>
    <w:p>
      <w:pPr>
        <w:pStyle w:val="Listenabsatz"/>
        <w:spacing w:after="0"/>
        <w:ind w:left="1440"/>
        <w:contextualSpacing w:val="0"/>
        <w:rPr>
          <w:sz w:val="22"/>
        </w:rPr>
      </w:pP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rFonts w:ascii="Scala Sans OT" w:hAnsi="Scala Sans OT"/>
                <w:b/>
                <w:szCs w:val="22"/>
              </w:rPr>
            </w:pPr>
            <w:r>
              <w:rPr>
                <w:rFonts w:ascii="Scala Sans OT" w:hAnsi="Scala Sans OT"/>
                <w:b/>
                <w:szCs w:val="22"/>
              </w:rPr>
              <w:t>TOP</w:t>
            </w:r>
          </w:p>
        </w:tc>
        <w:tc>
          <w:tcPr>
            <w:tcW w:w="7699" w:type="dxa"/>
          </w:tcPr>
          <w:p>
            <w:pPr>
              <w:rPr>
                <w:rFonts w:ascii="Scala Sans OT" w:hAnsi="Scala Sans OT"/>
                <w:b/>
                <w:szCs w:val="22"/>
              </w:rPr>
            </w:pPr>
            <w:r>
              <w:rPr>
                <w:rFonts w:ascii="Scala Sans OT" w:hAnsi="Scala Sans OT"/>
                <w:b/>
                <w:szCs w:val="22"/>
              </w:rPr>
              <w:t>Beitrag/Thema</w:t>
            </w:r>
          </w:p>
        </w:tc>
      </w:tr>
      <w:tr>
        <w:tc>
          <w:tcPr>
            <w:tcW w:w="817" w:type="dxa"/>
          </w:tcPr>
          <w:p>
            <w:pPr>
              <w:rPr>
                <w:rFonts w:ascii="Scala Sans OT" w:hAnsi="Scala Sans OT"/>
                <w:b/>
                <w:sz w:val="22"/>
                <w:szCs w:val="22"/>
              </w:rPr>
            </w:pPr>
            <w:r>
              <w:rPr>
                <w:rFonts w:ascii="Scala Sans OT" w:hAnsi="Scala Sans OT"/>
                <w:b/>
                <w:sz w:val="22"/>
                <w:szCs w:val="22"/>
              </w:rPr>
              <w:t>1</w:t>
            </w:r>
          </w:p>
        </w:tc>
        <w:tc>
          <w:tcPr>
            <w:tcW w:w="7699" w:type="dxa"/>
          </w:tcPr>
          <w:p>
            <w:pPr>
              <w:rPr>
                <w:rFonts w:ascii="Scala Sans OT" w:hAnsi="Scala Sans OT"/>
                <w:b/>
                <w:sz w:val="22"/>
                <w:szCs w:val="22"/>
              </w:rPr>
            </w:pPr>
            <w:r>
              <w:rPr>
                <w:rFonts w:ascii="Scala Sans OT" w:hAnsi="Scala Sans OT"/>
                <w:b/>
                <w:sz w:val="22"/>
                <w:szCs w:val="22"/>
              </w:rPr>
              <w:t>Aktuelle Lage – International</w:t>
            </w:r>
          </w:p>
          <w:p>
            <w:pPr>
              <w:pStyle w:val="Listenabsatz"/>
              <w:numPr>
                <w:ilvl w:val="0"/>
                <w:numId w:val="39"/>
              </w:numPr>
              <w:rPr>
                <w:rFonts w:ascii="Scala Sans OT" w:hAnsi="Scala Sans OT"/>
                <w:sz w:val="22"/>
                <w:szCs w:val="22"/>
              </w:rPr>
            </w:pPr>
            <w:r>
              <w:rPr>
                <w:rFonts w:ascii="Scala Sans OT" w:hAnsi="Scala Sans OT"/>
                <w:sz w:val="22"/>
                <w:szCs w:val="22"/>
              </w:rPr>
              <w:t xml:space="preserve">&gt;6.000 in China, davon ca. 60% in der Provinz Hubei, allein ca. 840 neue Fälle von gestern zu heute gemeldet, </w:t>
            </w:r>
          </w:p>
          <w:p>
            <w:pPr>
              <w:pStyle w:val="Listenabsatz"/>
              <w:numPr>
                <w:ilvl w:val="0"/>
                <w:numId w:val="39"/>
              </w:numPr>
              <w:rPr>
                <w:rFonts w:ascii="Scala Sans OT" w:hAnsi="Scala Sans OT"/>
                <w:sz w:val="22"/>
                <w:szCs w:val="22"/>
              </w:rPr>
            </w:pPr>
            <w:r>
              <w:rPr>
                <w:rFonts w:ascii="Scala Sans OT" w:hAnsi="Scala Sans OT"/>
                <w:sz w:val="22"/>
                <w:szCs w:val="22"/>
              </w:rPr>
              <w:t xml:space="preserve">Berechnete Inzidenz für Hubei: 4,5/100.000 </w:t>
            </w:r>
            <w:proofErr w:type="spellStart"/>
            <w:proofErr w:type="gramStart"/>
            <w:r>
              <w:rPr>
                <w:rFonts w:ascii="Scala Sans OT" w:hAnsi="Scala Sans OT"/>
                <w:sz w:val="22"/>
                <w:szCs w:val="22"/>
              </w:rPr>
              <w:t>Einw</w:t>
            </w:r>
            <w:proofErr w:type="spellEnd"/>
            <w:r>
              <w:rPr>
                <w:rFonts w:ascii="Scala Sans OT" w:hAnsi="Scala Sans OT"/>
                <w:sz w:val="22"/>
                <w:szCs w:val="22"/>
              </w:rPr>
              <w:t>;  andere</w:t>
            </w:r>
            <w:proofErr w:type="gramEnd"/>
            <w:r>
              <w:rPr>
                <w:rFonts w:ascii="Scala Sans OT" w:hAnsi="Scala Sans OT"/>
                <w:sz w:val="22"/>
                <w:szCs w:val="22"/>
              </w:rPr>
              <w:t xml:space="preserve"> Provinzen: &lt;1/100.000 </w:t>
            </w:r>
            <w:proofErr w:type="spellStart"/>
            <w:r>
              <w:rPr>
                <w:rFonts w:ascii="Scala Sans OT" w:hAnsi="Scala Sans OT"/>
                <w:sz w:val="22"/>
                <w:szCs w:val="22"/>
              </w:rPr>
              <w:t>Einw</w:t>
            </w:r>
            <w:proofErr w:type="spellEnd"/>
            <w:r>
              <w:rPr>
                <w:rFonts w:ascii="Scala Sans OT" w:hAnsi="Scala Sans OT"/>
                <w:sz w:val="22"/>
                <w:szCs w:val="22"/>
              </w:rPr>
              <w:t xml:space="preserve">, </w:t>
            </w:r>
          </w:p>
          <w:p>
            <w:pPr>
              <w:pStyle w:val="Listenabsatz"/>
              <w:numPr>
                <w:ilvl w:val="0"/>
                <w:numId w:val="39"/>
              </w:numPr>
              <w:rPr>
                <w:rFonts w:ascii="Scala Sans OT" w:hAnsi="Scala Sans OT"/>
                <w:sz w:val="22"/>
                <w:szCs w:val="22"/>
              </w:rPr>
            </w:pPr>
            <w:r>
              <w:rPr>
                <w:rFonts w:ascii="Scala Sans OT" w:hAnsi="Scala Sans OT"/>
                <w:sz w:val="22"/>
                <w:szCs w:val="22"/>
              </w:rPr>
              <w:t>132 Todesfälle in ganz China</w:t>
            </w:r>
          </w:p>
          <w:p>
            <w:pPr>
              <w:pStyle w:val="Listenabsatz"/>
              <w:rPr>
                <w:rFonts w:ascii="Scala Sans OT" w:hAnsi="Scala Sans OT"/>
                <w:sz w:val="22"/>
                <w:szCs w:val="22"/>
              </w:rPr>
            </w:pPr>
            <w:r>
              <w:rPr>
                <w:rFonts w:ascii="Scala Sans OT" w:hAnsi="Scala Sans OT"/>
                <w:sz w:val="22"/>
                <w:szCs w:val="22"/>
              </w:rPr>
              <w:t>Frankreich hat „EU-</w:t>
            </w:r>
            <w:proofErr w:type="spellStart"/>
            <w:r>
              <w:rPr>
                <w:rFonts w:ascii="Scala Sans OT" w:hAnsi="Scala Sans OT"/>
                <w:sz w:val="22"/>
                <w:szCs w:val="22"/>
              </w:rPr>
              <w:t>civil</w:t>
            </w:r>
            <w:proofErr w:type="spellEnd"/>
            <w:r>
              <w:rPr>
                <w:rFonts w:ascii="Scala Sans OT" w:hAnsi="Scala Sans OT"/>
                <w:sz w:val="22"/>
                <w:szCs w:val="22"/>
              </w:rPr>
              <w:t xml:space="preserve"> </w:t>
            </w:r>
            <w:proofErr w:type="spellStart"/>
            <w:r>
              <w:rPr>
                <w:rFonts w:ascii="Scala Sans OT" w:hAnsi="Scala Sans OT"/>
                <w:sz w:val="22"/>
                <w:szCs w:val="22"/>
              </w:rPr>
              <w:t>protection</w:t>
            </w:r>
            <w:proofErr w:type="spellEnd"/>
            <w:r>
              <w:rPr>
                <w:rFonts w:ascii="Scala Sans OT" w:hAnsi="Scala Sans OT"/>
                <w:sz w:val="22"/>
                <w:szCs w:val="22"/>
              </w:rPr>
              <w:t>“ aktiviert (Repatriierung französischer Staatsbürger)</w:t>
            </w:r>
          </w:p>
          <w:p>
            <w:pPr>
              <w:pStyle w:val="Listenabsatz"/>
              <w:numPr>
                <w:ilvl w:val="0"/>
                <w:numId w:val="39"/>
              </w:numPr>
              <w:rPr>
                <w:rFonts w:ascii="Scala Sans OT" w:hAnsi="Scala Sans OT"/>
                <w:sz w:val="22"/>
                <w:szCs w:val="22"/>
              </w:rPr>
            </w:pPr>
            <w:r>
              <w:rPr>
                <w:rFonts w:ascii="Scala Sans OT" w:hAnsi="Scala Sans OT"/>
                <w:sz w:val="22"/>
                <w:szCs w:val="22"/>
              </w:rPr>
              <w:t xml:space="preserve">Aktuell erstellt die INIG eine </w:t>
            </w:r>
            <w:proofErr w:type="spellStart"/>
            <w:r>
              <w:rPr>
                <w:rFonts w:ascii="Scala Sans OT" w:hAnsi="Scala Sans OT"/>
                <w:sz w:val="22"/>
                <w:szCs w:val="22"/>
              </w:rPr>
              <w:t>Lineliste</w:t>
            </w:r>
            <w:proofErr w:type="spellEnd"/>
            <w:r>
              <w:rPr>
                <w:rFonts w:ascii="Scala Sans OT" w:hAnsi="Scala Sans OT"/>
                <w:sz w:val="22"/>
                <w:szCs w:val="22"/>
              </w:rPr>
              <w:t xml:space="preserve"> zu reiseassoziierten Fällen außerhalb Chinas.</w:t>
            </w:r>
          </w:p>
          <w:p>
            <w:pPr>
              <w:pStyle w:val="Listenabsatz"/>
              <w:ind w:left="0"/>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Bitte diese </w:t>
            </w:r>
            <w:proofErr w:type="spellStart"/>
            <w:r>
              <w:rPr>
                <w:rFonts w:ascii="Scala Sans OT" w:hAnsi="Scala Sans OT"/>
                <w:b/>
                <w:i/>
                <w:sz w:val="22"/>
                <w:szCs w:val="22"/>
              </w:rPr>
              <w:t>Lineliste</w:t>
            </w:r>
            <w:proofErr w:type="spellEnd"/>
            <w:r>
              <w:rPr>
                <w:rFonts w:ascii="Scala Sans OT" w:hAnsi="Scala Sans OT"/>
                <w:b/>
                <w:i/>
                <w:sz w:val="22"/>
                <w:szCs w:val="22"/>
              </w:rPr>
              <w:t xml:space="preserve"> teilen sobald sie verfügbar ist.</w:t>
            </w:r>
          </w:p>
          <w:p>
            <w:pPr>
              <w:rPr>
                <w:rFonts w:ascii="Scala Sans OT" w:hAnsi="Scala Sans OT"/>
                <w:sz w:val="22"/>
                <w:szCs w:val="22"/>
              </w:rPr>
            </w:pPr>
          </w:p>
          <w:p>
            <w:pPr>
              <w:rPr>
                <w:rFonts w:ascii="Scala Sans OT" w:hAnsi="Scala Sans OT"/>
                <w:b/>
                <w:sz w:val="22"/>
                <w:szCs w:val="22"/>
              </w:rPr>
            </w:pPr>
            <w:r>
              <w:rPr>
                <w:rFonts w:ascii="Scala Sans OT" w:hAnsi="Scala Sans OT"/>
                <w:b/>
                <w:sz w:val="22"/>
                <w:szCs w:val="22"/>
              </w:rPr>
              <w:t>Aktuelle Lage – National</w:t>
            </w:r>
          </w:p>
          <w:p>
            <w:pPr>
              <w:pStyle w:val="Listenabsatz"/>
              <w:numPr>
                <w:ilvl w:val="0"/>
                <w:numId w:val="39"/>
              </w:numPr>
              <w:rPr>
                <w:rFonts w:ascii="Scala Sans OT" w:hAnsi="Scala Sans OT"/>
                <w:sz w:val="22"/>
                <w:szCs w:val="22"/>
              </w:rPr>
            </w:pPr>
            <w:r>
              <w:rPr>
                <w:rFonts w:ascii="Scala Sans OT" w:hAnsi="Scala Sans OT"/>
                <w:sz w:val="22"/>
                <w:szCs w:val="22"/>
              </w:rPr>
              <w:t>Es wurden 3 neue Fälle in BY bestätigt (unter 11 Kontaktpersonen des ersten Falls), d.h. insgesamt 4 Fälle in BY mit der Indexpatientin aus Shanghai assoziiert (1 Cluster/ Geschehen).</w:t>
            </w:r>
          </w:p>
          <w:p>
            <w:pPr>
              <w:pStyle w:val="Listenabsatz"/>
              <w:numPr>
                <w:ilvl w:val="0"/>
                <w:numId w:val="39"/>
              </w:numPr>
              <w:rPr>
                <w:rFonts w:ascii="Scala Sans OT" w:hAnsi="Scala Sans OT"/>
                <w:sz w:val="22"/>
                <w:szCs w:val="22"/>
              </w:rPr>
            </w:pPr>
            <w:r>
              <w:rPr>
                <w:rFonts w:ascii="Scala Sans OT" w:hAnsi="Scala Sans OT"/>
                <w:sz w:val="22"/>
                <w:szCs w:val="22"/>
              </w:rPr>
              <w:t xml:space="preserve">Alle Fälle sind hospitalisiert und isoliert. Es ist bekannt, dass zu dem ersten Fall Ermittlungen bzgl. der Kontaktpersonen laufen. Es wird davon ausgegangen, dass dies auch für die Kontakte der 3 neuen Fälle durchgeführt wird. </w:t>
            </w:r>
          </w:p>
          <w:p>
            <w:pPr>
              <w:pStyle w:val="Listenabsatz"/>
              <w:numPr>
                <w:ilvl w:val="0"/>
                <w:numId w:val="39"/>
              </w:numPr>
              <w:rPr>
                <w:rFonts w:ascii="Scala Sans OT" w:hAnsi="Scala Sans OT"/>
                <w:sz w:val="22"/>
                <w:szCs w:val="22"/>
              </w:rPr>
            </w:pPr>
            <w:r>
              <w:rPr>
                <w:rFonts w:ascii="Scala Sans OT" w:hAnsi="Scala Sans OT"/>
                <w:sz w:val="22"/>
                <w:szCs w:val="22"/>
              </w:rPr>
              <w:t xml:space="preserve">Es sind noch viele Fragen bzgl. der Indexpatientin offen. Diese wird mittels IHR-NFP versucht telefonisch zu kontaktieren, bisher noch nicht gelungen. Der IHR-NFP ist ebenso bzgl. der Kontaktpersonennachverfolgung des Rückfluges involviert. </w:t>
            </w:r>
          </w:p>
          <w:p>
            <w:pPr>
              <w:pStyle w:val="Listenabsatz"/>
              <w:numPr>
                <w:ilvl w:val="0"/>
                <w:numId w:val="39"/>
              </w:numPr>
              <w:rPr>
                <w:rFonts w:ascii="Scala Sans OT" w:hAnsi="Scala Sans OT"/>
                <w:sz w:val="22"/>
                <w:szCs w:val="22"/>
              </w:rPr>
            </w:pPr>
            <w:r>
              <w:rPr>
                <w:rFonts w:ascii="Scala Sans OT" w:hAnsi="Scala Sans OT"/>
                <w:sz w:val="22"/>
                <w:szCs w:val="22"/>
              </w:rPr>
              <w:t xml:space="preserve">Es gab TKs zwischen FG32 WHO, ECDC und BY. Die MS wurden via EWRS informiert. Es ist die Publikation eines </w:t>
            </w:r>
            <w:proofErr w:type="spellStart"/>
            <w:r>
              <w:rPr>
                <w:rFonts w:ascii="Scala Sans OT" w:hAnsi="Scala Sans OT"/>
                <w:sz w:val="22"/>
                <w:szCs w:val="22"/>
              </w:rPr>
              <w:t>case</w:t>
            </w:r>
            <w:proofErr w:type="spellEnd"/>
            <w:r>
              <w:rPr>
                <w:rFonts w:ascii="Scala Sans OT" w:hAnsi="Scala Sans OT"/>
                <w:sz w:val="22"/>
                <w:szCs w:val="22"/>
              </w:rPr>
              <w:t xml:space="preserve"> </w:t>
            </w:r>
            <w:proofErr w:type="spellStart"/>
            <w:r>
              <w:rPr>
                <w:rFonts w:ascii="Scala Sans OT" w:hAnsi="Scala Sans OT"/>
                <w:sz w:val="22"/>
                <w:szCs w:val="22"/>
              </w:rPr>
              <w:t>resports</w:t>
            </w:r>
            <w:proofErr w:type="spellEnd"/>
            <w:r>
              <w:rPr>
                <w:rFonts w:ascii="Scala Sans OT" w:hAnsi="Scala Sans OT"/>
                <w:sz w:val="22"/>
                <w:szCs w:val="22"/>
              </w:rPr>
              <w:t xml:space="preserve"> geplant, um mehr Informationen zum Geschehen in BY, außerhalb von EWRS, bereitzustellen. </w:t>
            </w:r>
          </w:p>
          <w:p>
            <w:pPr>
              <w:pStyle w:val="Listenabsatz"/>
              <w:numPr>
                <w:ilvl w:val="0"/>
                <w:numId w:val="39"/>
              </w:numPr>
              <w:rPr>
                <w:rFonts w:ascii="Scala Sans OT" w:hAnsi="Scala Sans OT"/>
                <w:sz w:val="22"/>
                <w:szCs w:val="22"/>
              </w:rPr>
            </w:pPr>
            <w:r>
              <w:rPr>
                <w:rFonts w:ascii="Scala Sans OT" w:hAnsi="Scala Sans OT"/>
                <w:sz w:val="22"/>
                <w:szCs w:val="22"/>
              </w:rPr>
              <w:t>Es ist noch unklar, ob die Indexpatientin auch subjektiv asymptomatisch war, evtl. gab es geringe Symptome, die den Fällen in BY nicht aufgefallen sind. Auch gibt es noch Fragen zu den Kontakten der Indexpatientin, z.B. dem Kontakt zu deren Eltern in China (Eltern auch asymptomatisch?).</w:t>
            </w:r>
          </w:p>
          <w:p>
            <w:pPr>
              <w:pStyle w:val="Listenabsatz"/>
              <w:numPr>
                <w:ilvl w:val="0"/>
                <w:numId w:val="39"/>
              </w:numPr>
              <w:rPr>
                <w:rFonts w:ascii="Scala Sans OT" w:hAnsi="Scala Sans OT"/>
                <w:sz w:val="22"/>
                <w:szCs w:val="22"/>
              </w:rPr>
            </w:pPr>
            <w:r>
              <w:rPr>
                <w:rFonts w:ascii="Scala Sans OT" w:hAnsi="Scala Sans OT"/>
                <w:sz w:val="22"/>
                <w:szCs w:val="22"/>
              </w:rPr>
              <w:t>Die Proben in München wurden von PD Dr. Roman Wölfel, Institutsleiter des Institutes für Mikrobiologie der Bundeswehr in München bearbeitet. Ihm liegen Anamnesedaten zu den Proben vor.</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Bitte Kontaktdaten von Roman Wölfel zur Verfügung stellen.</w:t>
            </w:r>
          </w:p>
          <w:p>
            <w:pPr>
              <w:pStyle w:val="Listenabsatz"/>
              <w:numPr>
                <w:ilvl w:val="0"/>
                <w:numId w:val="39"/>
              </w:numPr>
              <w:rPr>
                <w:rFonts w:ascii="Scala Sans OT" w:hAnsi="Scala Sans OT"/>
                <w:sz w:val="22"/>
                <w:szCs w:val="22"/>
              </w:rPr>
            </w:pPr>
            <w:r>
              <w:rPr>
                <w:rFonts w:ascii="Scala Sans OT" w:hAnsi="Scala Sans OT"/>
                <w:sz w:val="22"/>
                <w:szCs w:val="22"/>
              </w:rPr>
              <w:t>Es ist derzeit keine Aussage zu einem Virusnachweis bei asymptomatischen Fällen möglich (vor Symptombeginn, nach Symptombeginn).</w:t>
            </w:r>
          </w:p>
          <w:p>
            <w:pPr>
              <w:rPr>
                <w:rFonts w:ascii="Scala Sans OT" w:hAnsi="Scala Sans OT"/>
                <w:b/>
                <w:sz w:val="22"/>
                <w:szCs w:val="22"/>
              </w:rPr>
            </w:pPr>
            <w:r>
              <w:rPr>
                <w:rFonts w:ascii="Scala Sans OT" w:hAnsi="Scala Sans OT"/>
                <w:b/>
                <w:sz w:val="22"/>
                <w:szCs w:val="22"/>
              </w:rPr>
              <w:t>Repatriierung:</w:t>
            </w:r>
          </w:p>
          <w:p>
            <w:pPr>
              <w:pStyle w:val="Listenabsatz"/>
              <w:numPr>
                <w:ilvl w:val="0"/>
                <w:numId w:val="39"/>
              </w:numPr>
              <w:rPr>
                <w:rFonts w:ascii="Scala Sans OT" w:hAnsi="Scala Sans OT"/>
                <w:sz w:val="22"/>
                <w:szCs w:val="22"/>
              </w:rPr>
            </w:pPr>
            <w:r>
              <w:rPr>
                <w:rFonts w:ascii="Scala Sans OT" w:hAnsi="Scala Sans OT"/>
                <w:sz w:val="22"/>
                <w:szCs w:val="22"/>
              </w:rPr>
              <w:t>Das AA plant eine Repatriierung deutscher Staatsangehöriger aus Wuhan. Der Flug soll durch BW ärztlich begleitet werden und die Ankunft ist in FRA am Sa, 01.02.2020 geplant. Das GA FRA nimmt die Personen in Empfang.</w:t>
            </w:r>
          </w:p>
          <w:p>
            <w:pPr>
              <w:pStyle w:val="Listenabsatz"/>
              <w:numPr>
                <w:ilvl w:val="0"/>
                <w:numId w:val="39"/>
              </w:numPr>
              <w:rPr>
                <w:rFonts w:ascii="Scala Sans OT" w:hAnsi="Scala Sans OT"/>
                <w:sz w:val="22"/>
                <w:szCs w:val="22"/>
              </w:rPr>
            </w:pPr>
            <w:r>
              <w:rPr>
                <w:rFonts w:ascii="Scala Sans OT" w:hAnsi="Scala Sans OT"/>
                <w:sz w:val="22"/>
                <w:szCs w:val="22"/>
              </w:rPr>
              <w:t xml:space="preserve">Dazu gab es diverse TKs zwischen FRA, AA, AGI und BMG. Folgende Strategie wurde im Konsens festgelegt: da die asymptomatischen Rückkehrer aus dem Risikogebiet kommen, werden sie als </w:t>
            </w:r>
            <w:r>
              <w:rPr>
                <w:rFonts w:ascii="Scala Sans OT" w:hAnsi="Scala Sans OT"/>
                <w:sz w:val="22"/>
                <w:szCs w:val="22"/>
              </w:rPr>
              <w:lastRenderedPageBreak/>
              <w:t xml:space="preserve">Kontaktpersonen eingestuft, d.h. 14 Tage in häusliche Quarantäne unter aktiver Beobachtung des zuständigen GA gestellt. Sie sollen keine ÖPNV nutzen. Die Finanzierung ist noch in Abstimmung. Ebenso muss noch abgestimmt werden, wie verfahren werden soll, wenn Personen keinen Wohnsitz in DE angeben können. </w:t>
            </w:r>
          </w:p>
          <w:p>
            <w:pPr>
              <w:pStyle w:val="Listenabsatz"/>
              <w:numPr>
                <w:ilvl w:val="0"/>
                <w:numId w:val="39"/>
              </w:numPr>
              <w:rPr>
                <w:rFonts w:ascii="Scala Sans OT" w:hAnsi="Scala Sans OT"/>
                <w:sz w:val="22"/>
                <w:szCs w:val="22"/>
              </w:rPr>
            </w:pPr>
            <w:r>
              <w:rPr>
                <w:rFonts w:ascii="Scala Sans OT" w:hAnsi="Scala Sans OT"/>
                <w:sz w:val="22"/>
                <w:szCs w:val="22"/>
              </w:rPr>
              <w:t xml:space="preserve">IBBS und FG36 bereiten aktuell ein Dokument zu Maßnahmen bei Reiserückkehrer aus Gebieten mit andauernder </w:t>
            </w:r>
            <w:proofErr w:type="spellStart"/>
            <w:r>
              <w:rPr>
                <w:rFonts w:ascii="Scala Sans OT" w:hAnsi="Scala Sans OT"/>
                <w:sz w:val="22"/>
                <w:szCs w:val="22"/>
              </w:rPr>
              <w:t>community</w:t>
            </w:r>
            <w:proofErr w:type="spellEnd"/>
            <w:r>
              <w:rPr>
                <w:rFonts w:ascii="Scala Sans OT" w:hAnsi="Scala Sans OT"/>
                <w:sz w:val="22"/>
                <w:szCs w:val="22"/>
              </w:rPr>
              <w:t xml:space="preserve"> </w:t>
            </w:r>
            <w:proofErr w:type="spellStart"/>
            <w:r>
              <w:rPr>
                <w:rFonts w:ascii="Scala Sans OT" w:hAnsi="Scala Sans OT"/>
                <w:sz w:val="22"/>
                <w:szCs w:val="22"/>
              </w:rPr>
              <w:t>transmission</w:t>
            </w:r>
            <w:proofErr w:type="spellEnd"/>
            <w:r>
              <w:rPr>
                <w:rFonts w:ascii="Scala Sans OT" w:hAnsi="Scala Sans OT"/>
                <w:sz w:val="22"/>
                <w:szCs w:val="22"/>
              </w:rPr>
              <w:t xml:space="preserve"> (Risikogebiete) vor. Dies soll jetzt erst einmal nicht </w:t>
            </w:r>
            <w:proofErr w:type="gramStart"/>
            <w:r>
              <w:rPr>
                <w:rFonts w:ascii="Scala Sans OT" w:hAnsi="Scala Sans OT"/>
                <w:sz w:val="22"/>
                <w:szCs w:val="22"/>
              </w:rPr>
              <w:t>weiter bearbeitet</w:t>
            </w:r>
            <w:proofErr w:type="gramEnd"/>
            <w:r>
              <w:rPr>
                <w:rFonts w:ascii="Scala Sans OT" w:hAnsi="Scala Sans OT"/>
                <w:sz w:val="22"/>
                <w:szCs w:val="22"/>
              </w:rPr>
              <w:t xml:space="preserve"> werden, da evtl. für diese Personen doch eine staatliche Quarantäne vorgesehen ist.</w:t>
            </w:r>
          </w:p>
          <w:p>
            <w:pPr>
              <w:pStyle w:val="Listenabsatz"/>
              <w:numPr>
                <w:ilvl w:val="0"/>
                <w:numId w:val="39"/>
              </w:numPr>
              <w:rPr>
                <w:rFonts w:ascii="Scala Sans OT" w:hAnsi="Scala Sans OT"/>
                <w:sz w:val="22"/>
                <w:szCs w:val="22"/>
              </w:rPr>
            </w:pPr>
            <w:r>
              <w:rPr>
                <w:rFonts w:ascii="Scala Sans OT" w:hAnsi="Scala Sans OT"/>
                <w:sz w:val="22"/>
                <w:szCs w:val="22"/>
              </w:rPr>
              <w:t>IBBS hat darauf hingewiesen, dass die Anwendung unterschiedlicher Maßnahmen im Umgang mit Repatriierten und Reiserückkehrern mit ähnlichen Konditionen ungünstig sind. Das ursprüngliche Vorgehen war mit der AGI abgesprochen, aber die jetzt entstandene Diskrepanz durch muss derzeit akzeptiert werden.</w:t>
            </w:r>
          </w:p>
          <w:p>
            <w:pPr>
              <w:pStyle w:val="Listenabsatz"/>
              <w:numPr>
                <w:ilvl w:val="0"/>
                <w:numId w:val="39"/>
              </w:numPr>
              <w:rPr>
                <w:rFonts w:ascii="Scala Sans OT" w:hAnsi="Scala Sans OT"/>
                <w:sz w:val="22"/>
                <w:szCs w:val="22"/>
              </w:rPr>
            </w:pPr>
            <w:r>
              <w:rPr>
                <w:rFonts w:ascii="Scala Sans OT" w:hAnsi="Scala Sans OT"/>
                <w:sz w:val="22"/>
                <w:szCs w:val="22"/>
              </w:rPr>
              <w:t xml:space="preserve">Aufgrund der Quarantäne werden außer der Repatriierung aktuell keine Flüge/ Rückkehrer aus dem Risikogebiet Hubei erwartet. </w:t>
            </w:r>
          </w:p>
          <w:p>
            <w:pPr>
              <w:pStyle w:val="Listenabsatz"/>
              <w:numPr>
                <w:ilvl w:val="0"/>
                <w:numId w:val="39"/>
              </w:numPr>
              <w:rPr>
                <w:rFonts w:ascii="Scala Sans OT" w:hAnsi="Scala Sans OT"/>
                <w:sz w:val="22"/>
                <w:szCs w:val="22"/>
              </w:rPr>
            </w:pPr>
            <w:r>
              <w:rPr>
                <w:rFonts w:ascii="Scala Sans OT" w:hAnsi="Scala Sans OT"/>
                <w:sz w:val="22"/>
                <w:szCs w:val="22"/>
              </w:rPr>
              <w:t xml:space="preserve">Die Bundeswehr informiert, dass dar Repatriierungsflug durch einen Facharzt für Öffentliches Gesundheitswesen begleitet wird. Zudem ist das Flugzeug entsprechend der Empfehlungen des BMG ausgestattet. </w:t>
            </w:r>
          </w:p>
        </w:tc>
      </w:tr>
      <w:tr>
        <w:tc>
          <w:tcPr>
            <w:tcW w:w="817" w:type="dxa"/>
          </w:tcPr>
          <w:p>
            <w:pPr>
              <w:rPr>
                <w:rFonts w:ascii="Scala Sans OT" w:hAnsi="Scala Sans OT"/>
                <w:b/>
                <w:sz w:val="22"/>
                <w:szCs w:val="22"/>
              </w:rPr>
            </w:pPr>
            <w:r>
              <w:rPr>
                <w:rFonts w:ascii="Scala Sans OT" w:hAnsi="Scala Sans OT"/>
                <w:b/>
                <w:sz w:val="22"/>
                <w:szCs w:val="22"/>
              </w:rPr>
              <w:lastRenderedPageBreak/>
              <w:t>2</w:t>
            </w:r>
          </w:p>
        </w:tc>
        <w:tc>
          <w:tcPr>
            <w:tcW w:w="7699" w:type="dxa"/>
          </w:tcPr>
          <w:p>
            <w:pPr>
              <w:rPr>
                <w:rFonts w:ascii="Scala Sans OT" w:hAnsi="Scala Sans OT"/>
                <w:b/>
                <w:sz w:val="22"/>
                <w:szCs w:val="22"/>
              </w:rPr>
            </w:pPr>
            <w:r>
              <w:rPr>
                <w:rFonts w:ascii="Scala Sans OT" w:hAnsi="Scala Sans OT"/>
                <w:b/>
                <w:sz w:val="22"/>
                <w:szCs w:val="22"/>
              </w:rPr>
              <w:t>Risikobewertung</w:t>
            </w:r>
          </w:p>
          <w:p>
            <w:pPr>
              <w:pStyle w:val="Listenabsatz"/>
              <w:numPr>
                <w:ilvl w:val="0"/>
                <w:numId w:val="42"/>
              </w:numPr>
              <w:rPr>
                <w:rFonts w:ascii="Scala Sans OT" w:hAnsi="Scala Sans OT"/>
                <w:sz w:val="22"/>
                <w:szCs w:val="22"/>
              </w:rPr>
            </w:pPr>
            <w:r>
              <w:rPr>
                <w:rFonts w:ascii="Scala Sans OT" w:hAnsi="Scala Sans OT"/>
                <w:sz w:val="22"/>
                <w:szCs w:val="22"/>
              </w:rPr>
              <w:t>Es wurde die Notwendigkeit der Anpassung der Risikogebiete auf Grund der dynamischen Entwicklung diskutiert. Die aktuelle Diskrepanz zwischen der WHO-Einschätzung und der des RKI muss vor dem Hintergrund der unterschiedlichen Perspektiven gesehen werden. Die WHO bezieht bei ihrer Einschätzung des Risikos (Eintrittswahrscheinlichkeit und Erkrankungsschwere) auch die Bewältigungsmöglichkeiten ressourcenarme Länder ein. Bei der Einschätzung durch das RKI werden Eintrittswahrscheinlichkeit und Erkrankungsschwere separat bewertet und so auch kommuniziert.</w:t>
            </w:r>
          </w:p>
          <w:p>
            <w:pPr>
              <w:pStyle w:val="Listenabsatz"/>
              <w:numPr>
                <w:ilvl w:val="0"/>
                <w:numId w:val="42"/>
              </w:numPr>
              <w:rPr>
                <w:rFonts w:ascii="Scala Sans OT" w:hAnsi="Scala Sans OT"/>
                <w:sz w:val="22"/>
                <w:szCs w:val="22"/>
              </w:rPr>
            </w:pPr>
            <w:r>
              <w:rPr>
                <w:rFonts w:ascii="Scala Sans OT" w:hAnsi="Scala Sans OT"/>
                <w:sz w:val="22"/>
                <w:szCs w:val="22"/>
              </w:rPr>
              <w:t xml:space="preserve">Aktuell gibt es in Deutschland 4 Fälle, aber es handelt sich um nur 1 Geschehen. </w:t>
            </w:r>
          </w:p>
          <w:p>
            <w:pPr>
              <w:pStyle w:val="Listenabsatz"/>
              <w:numPr>
                <w:ilvl w:val="0"/>
                <w:numId w:val="42"/>
              </w:numPr>
              <w:rPr>
                <w:rFonts w:ascii="Scala Sans OT" w:hAnsi="Scala Sans OT"/>
                <w:sz w:val="22"/>
                <w:szCs w:val="22"/>
              </w:rPr>
            </w:pPr>
            <w:r>
              <w:rPr>
                <w:rFonts w:ascii="Scala Sans OT" w:hAnsi="Scala Sans OT"/>
                <w:sz w:val="22"/>
                <w:szCs w:val="22"/>
              </w:rPr>
              <w:t xml:space="preserve">Auch Kanada und die USA haben die Gefahr für die Ausbreitung in der Bevölkerung als </w:t>
            </w:r>
            <w:proofErr w:type="spellStart"/>
            <w:r>
              <w:rPr>
                <w:rFonts w:ascii="Scala Sans OT" w:hAnsi="Scala Sans OT"/>
                <w:sz w:val="22"/>
                <w:szCs w:val="22"/>
              </w:rPr>
              <w:t>low</w:t>
            </w:r>
            <w:proofErr w:type="spellEnd"/>
            <w:r>
              <w:rPr>
                <w:rFonts w:ascii="Scala Sans OT" w:hAnsi="Scala Sans OT"/>
                <w:sz w:val="22"/>
                <w:szCs w:val="22"/>
              </w:rPr>
              <w:t xml:space="preserve"> eingestuft.</w:t>
            </w:r>
          </w:p>
          <w:p>
            <w:pPr>
              <w:pStyle w:val="Listenabsatz"/>
              <w:numPr>
                <w:ilvl w:val="0"/>
                <w:numId w:val="42"/>
              </w:numPr>
              <w:rPr>
                <w:rFonts w:ascii="Scala Sans OT" w:hAnsi="Scala Sans OT"/>
                <w:b/>
                <w:sz w:val="22"/>
                <w:szCs w:val="22"/>
              </w:rPr>
            </w:pPr>
            <w:r>
              <w:rPr>
                <w:rFonts w:ascii="Scala Sans OT" w:hAnsi="Scala Sans OT"/>
                <w:b/>
                <w:sz w:val="22"/>
                <w:szCs w:val="22"/>
              </w:rPr>
              <w:t>Es besteht aktuell kein Anpassungsbedarf der Risikobewertung.</w:t>
            </w:r>
          </w:p>
        </w:tc>
      </w:tr>
      <w:tr>
        <w:tc>
          <w:tcPr>
            <w:tcW w:w="817" w:type="dxa"/>
          </w:tcPr>
          <w:p>
            <w:pPr>
              <w:rPr>
                <w:rFonts w:ascii="Scala Sans OT" w:hAnsi="Scala Sans OT"/>
                <w:b/>
                <w:sz w:val="22"/>
                <w:szCs w:val="22"/>
              </w:rPr>
            </w:pPr>
            <w:r>
              <w:rPr>
                <w:rFonts w:ascii="Scala Sans OT" w:hAnsi="Scala Sans OT"/>
                <w:b/>
                <w:sz w:val="22"/>
                <w:szCs w:val="22"/>
              </w:rPr>
              <w:t>3</w:t>
            </w:r>
          </w:p>
        </w:tc>
        <w:tc>
          <w:tcPr>
            <w:tcW w:w="7699" w:type="dxa"/>
          </w:tcPr>
          <w:p>
            <w:pPr>
              <w:rPr>
                <w:rFonts w:ascii="Scala Sans OT" w:hAnsi="Scala Sans OT"/>
                <w:b/>
                <w:sz w:val="22"/>
                <w:szCs w:val="22"/>
              </w:rPr>
            </w:pPr>
            <w:r>
              <w:rPr>
                <w:rFonts w:ascii="Scala Sans OT" w:hAnsi="Scala Sans OT"/>
                <w:b/>
                <w:sz w:val="22"/>
                <w:szCs w:val="22"/>
              </w:rPr>
              <w:t>Risikogebiete</w:t>
            </w:r>
          </w:p>
          <w:p>
            <w:pPr>
              <w:pStyle w:val="Listenabsatz"/>
              <w:numPr>
                <w:ilvl w:val="0"/>
                <w:numId w:val="40"/>
              </w:numPr>
              <w:rPr>
                <w:rFonts w:ascii="Scala Sans OT" w:hAnsi="Scala Sans OT"/>
                <w:sz w:val="22"/>
                <w:szCs w:val="22"/>
              </w:rPr>
            </w:pPr>
            <w:r>
              <w:rPr>
                <w:rFonts w:ascii="Scala Sans OT" w:hAnsi="Scala Sans OT"/>
                <w:sz w:val="22"/>
                <w:szCs w:val="22"/>
              </w:rPr>
              <w:t>Die Definition der Risikogebiete wurde diskutiert. Das Kriterium ist aktuelle eine Region mit anhaltender Übertragung in der Bevölkerung (</w:t>
            </w:r>
            <w:proofErr w:type="spellStart"/>
            <w:r>
              <w:rPr>
                <w:rFonts w:ascii="Scala Sans OT" w:hAnsi="Scala Sans OT"/>
                <w:sz w:val="22"/>
                <w:szCs w:val="22"/>
              </w:rPr>
              <w:t>community</w:t>
            </w:r>
            <w:proofErr w:type="spellEnd"/>
            <w:r>
              <w:rPr>
                <w:rFonts w:ascii="Scala Sans OT" w:hAnsi="Scala Sans OT"/>
                <w:sz w:val="22"/>
                <w:szCs w:val="22"/>
              </w:rPr>
              <w:t xml:space="preserve"> </w:t>
            </w:r>
            <w:proofErr w:type="spellStart"/>
            <w:r>
              <w:rPr>
                <w:rFonts w:ascii="Scala Sans OT" w:hAnsi="Scala Sans OT"/>
                <w:sz w:val="22"/>
                <w:szCs w:val="22"/>
              </w:rPr>
              <w:t>transmission</w:t>
            </w:r>
            <w:proofErr w:type="spellEnd"/>
            <w:r>
              <w:rPr>
                <w:rFonts w:ascii="Scala Sans OT" w:hAnsi="Scala Sans OT"/>
                <w:sz w:val="22"/>
                <w:szCs w:val="22"/>
              </w:rPr>
              <w:t>).</w:t>
            </w:r>
          </w:p>
          <w:p>
            <w:pPr>
              <w:pStyle w:val="Listenabsatz"/>
              <w:numPr>
                <w:ilvl w:val="0"/>
                <w:numId w:val="40"/>
              </w:numPr>
              <w:rPr>
                <w:rFonts w:ascii="Scala Sans OT" w:hAnsi="Scala Sans OT"/>
                <w:sz w:val="22"/>
                <w:szCs w:val="22"/>
              </w:rPr>
            </w:pPr>
            <w:r>
              <w:rPr>
                <w:rFonts w:ascii="Scala Sans OT" w:hAnsi="Scala Sans OT"/>
                <w:sz w:val="22"/>
                <w:szCs w:val="22"/>
              </w:rPr>
              <w:t xml:space="preserve">Es besteht Konsens, dass sich keine anderen Kriterien dazu eignen die Regionen zu unterscheiden. Ganz China als Risikogebiet zu definieren ist nicht sinnvoll, da es weite Regionen gibt in denen nur wenige (eingetragene) Fälle auftreten und es keine Übertragung in der Bevölkerung gibt. Es wäre unverhältnismäßig Reiserückkehrer aus diesen Gebieten als Verdachtsfälle einzustufen. Dagegen steigen die Fallzahlen in der Region Hubei (trotz Abschottung) weiter an was für eine anhaltende Übertragung in der Bevölkerung spricht. </w:t>
            </w:r>
          </w:p>
          <w:p>
            <w:pPr>
              <w:pStyle w:val="Listenabsatz"/>
              <w:numPr>
                <w:ilvl w:val="0"/>
                <w:numId w:val="40"/>
              </w:numPr>
              <w:rPr>
                <w:rFonts w:ascii="Scala Sans OT" w:hAnsi="Scala Sans OT"/>
                <w:b/>
                <w:sz w:val="22"/>
                <w:szCs w:val="22"/>
              </w:rPr>
            </w:pPr>
            <w:r>
              <w:rPr>
                <w:rFonts w:ascii="Scala Sans OT" w:hAnsi="Scala Sans OT"/>
                <w:b/>
                <w:sz w:val="22"/>
                <w:szCs w:val="22"/>
              </w:rPr>
              <w:t>Es bleibt bei der aktuellen Definition der</w:t>
            </w:r>
            <w:r>
              <w:rPr>
                <w:b/>
              </w:rPr>
              <w:t xml:space="preserve"> </w:t>
            </w:r>
            <w:r>
              <w:rPr>
                <w:rFonts w:ascii="Scala Sans OT" w:hAnsi="Scala Sans OT"/>
                <w:b/>
                <w:sz w:val="22"/>
                <w:szCs w:val="22"/>
              </w:rPr>
              <w:t>Risikogebiete.</w:t>
            </w:r>
          </w:p>
          <w:p>
            <w:pPr>
              <w:pStyle w:val="Listenabsatz"/>
              <w:rPr>
                <w:rFonts w:ascii="Scala Sans OT" w:hAnsi="Scala Sans OT"/>
                <w:sz w:val="22"/>
                <w:szCs w:val="22"/>
              </w:rPr>
            </w:pPr>
          </w:p>
          <w:p>
            <w:pPr>
              <w:pStyle w:val="Listenabsatz"/>
              <w:ind w:left="0"/>
              <w:rPr>
                <w:rFonts w:ascii="Scala Sans OT" w:hAnsi="Scala Sans OT"/>
                <w:b/>
                <w:i/>
                <w:sz w:val="22"/>
                <w:szCs w:val="22"/>
              </w:rPr>
            </w:pPr>
            <w:proofErr w:type="spellStart"/>
            <w:r>
              <w:rPr>
                <w:rFonts w:ascii="Scala Sans OT" w:hAnsi="Scala Sans OT"/>
                <w:b/>
                <w:i/>
                <w:sz w:val="22"/>
                <w:szCs w:val="22"/>
              </w:rPr>
              <w:lastRenderedPageBreak/>
              <w:t>ToDo</w:t>
            </w:r>
            <w:proofErr w:type="spellEnd"/>
            <w:r>
              <w:rPr>
                <w:rFonts w:ascii="Scala Sans OT" w:hAnsi="Scala Sans OT"/>
                <w:b/>
                <w:i/>
                <w:sz w:val="22"/>
                <w:szCs w:val="22"/>
              </w:rPr>
              <w:t>: Presse: Bitte die Informationen auf der Webseite strukturieren:</w:t>
            </w:r>
            <w:r>
              <w:rPr>
                <w:rFonts w:ascii="Scala Sans OT" w:hAnsi="Scala Sans OT"/>
                <w:b/>
                <w:i/>
                <w:sz w:val="22"/>
                <w:szCs w:val="22"/>
              </w:rPr>
              <w:br/>
              <w:t>1. Seite: Risikogebiete, nach Falldefinition eingestuft auf Grund anhaltender Übertragung in der Bevölkerung (als Verlinkung von der Falldefinition und dem Flughafenposter);</w:t>
            </w:r>
            <w:r>
              <w:rPr>
                <w:rFonts w:ascii="Scala Sans OT" w:hAnsi="Scala Sans OT"/>
                <w:b/>
                <w:i/>
                <w:sz w:val="22"/>
                <w:szCs w:val="22"/>
              </w:rPr>
              <w:br/>
              <w:t xml:space="preserve">2. Seite: Epidemiologische Informationen: Surveillance nach Fällen und Regionen, die keine Risikogebiete) </w:t>
            </w:r>
          </w:p>
          <w:p>
            <w:pPr>
              <w:pStyle w:val="Listenabsatz"/>
              <w:ind w:left="0"/>
              <w:rPr>
                <w:rFonts w:ascii="Scala Sans OT" w:hAnsi="Scala Sans OT"/>
                <w:b/>
                <w:i/>
                <w:sz w:val="22"/>
                <w:szCs w:val="22"/>
              </w:rPr>
            </w:pPr>
          </w:p>
          <w:p>
            <w:pPr>
              <w:pStyle w:val="Listenabsatz"/>
              <w:ind w:left="0"/>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Presse: Bitte den Link zu den Risikogebieten nicht ändern, da hierauf diverse Dokumente verweisen, z.B. Passagierinformation Flughäfen </w:t>
            </w:r>
            <w:proofErr w:type="gramStart"/>
            <w:r>
              <w:rPr>
                <w:rFonts w:ascii="Scala Sans OT" w:hAnsi="Scala Sans OT"/>
                <w:b/>
                <w:i/>
                <w:sz w:val="22"/>
                <w:szCs w:val="22"/>
              </w:rPr>
              <w:t>mittels QR-Code</w:t>
            </w:r>
            <w:proofErr w:type="gramEnd"/>
            <w:r>
              <w:rPr>
                <w:rFonts w:ascii="Scala Sans OT" w:hAnsi="Scala Sans OT"/>
                <w:b/>
                <w:i/>
                <w:sz w:val="22"/>
                <w:szCs w:val="22"/>
              </w:rPr>
              <w:t>!</w:t>
            </w:r>
          </w:p>
          <w:p>
            <w:pPr>
              <w:pStyle w:val="Listenabsatz"/>
              <w:ind w:left="0"/>
              <w:rPr>
                <w:rFonts w:ascii="Scala Sans OT" w:hAnsi="Scala Sans OT"/>
                <w:b/>
                <w:i/>
                <w:sz w:val="22"/>
                <w:szCs w:val="22"/>
              </w:rPr>
            </w:pPr>
            <w:r>
              <w:rPr>
                <w:rFonts w:ascii="Scala Sans OT" w:hAnsi="Scala Sans OT"/>
                <w:sz w:val="22"/>
                <w:szCs w:val="22"/>
              </w:rPr>
              <w:br/>
            </w:r>
            <w:proofErr w:type="spellStart"/>
            <w:r>
              <w:rPr>
                <w:rFonts w:ascii="Scala Sans OT" w:hAnsi="Scala Sans OT"/>
                <w:b/>
                <w:i/>
                <w:sz w:val="22"/>
                <w:szCs w:val="22"/>
              </w:rPr>
              <w:t>ToDo</w:t>
            </w:r>
            <w:proofErr w:type="spellEnd"/>
            <w:r>
              <w:rPr>
                <w:rFonts w:ascii="Scala Sans OT" w:hAnsi="Scala Sans OT"/>
                <w:b/>
                <w:i/>
                <w:sz w:val="22"/>
                <w:szCs w:val="22"/>
              </w:rPr>
              <w:t xml:space="preserve">: Bitte </w:t>
            </w:r>
            <w:proofErr w:type="gramStart"/>
            <w:r>
              <w:rPr>
                <w:rFonts w:ascii="Scala Sans OT" w:hAnsi="Scala Sans OT"/>
                <w:b/>
                <w:i/>
                <w:sz w:val="22"/>
                <w:szCs w:val="22"/>
              </w:rPr>
              <w:t>die  Karte</w:t>
            </w:r>
            <w:proofErr w:type="gramEnd"/>
            <w:r>
              <w:rPr>
                <w:rFonts w:ascii="Scala Sans OT" w:hAnsi="Scala Sans OT"/>
                <w:b/>
                <w:i/>
                <w:sz w:val="22"/>
                <w:szCs w:val="22"/>
              </w:rPr>
              <w:t xml:space="preserve"> mit betroffenen Provinzen wieder auf der Webseite zur Verfügung stellen.</w:t>
            </w:r>
          </w:p>
        </w:tc>
      </w:tr>
      <w:tr>
        <w:tc>
          <w:tcPr>
            <w:tcW w:w="817" w:type="dxa"/>
          </w:tcPr>
          <w:p>
            <w:pPr>
              <w:rPr>
                <w:rFonts w:ascii="Scala Sans OT" w:hAnsi="Scala Sans OT"/>
                <w:b/>
                <w:sz w:val="22"/>
                <w:szCs w:val="22"/>
              </w:rPr>
            </w:pPr>
            <w:r>
              <w:rPr>
                <w:rFonts w:ascii="Scala Sans OT" w:hAnsi="Scala Sans OT"/>
                <w:b/>
                <w:sz w:val="22"/>
                <w:szCs w:val="22"/>
              </w:rPr>
              <w:lastRenderedPageBreak/>
              <w:t>4</w:t>
            </w:r>
          </w:p>
        </w:tc>
        <w:tc>
          <w:tcPr>
            <w:tcW w:w="7699" w:type="dxa"/>
          </w:tcPr>
          <w:p>
            <w:pPr>
              <w:rPr>
                <w:rFonts w:ascii="Scala Sans OT" w:hAnsi="Scala Sans OT"/>
                <w:b/>
                <w:sz w:val="22"/>
                <w:szCs w:val="22"/>
              </w:rPr>
            </w:pPr>
            <w:r>
              <w:rPr>
                <w:rFonts w:ascii="Scala Sans OT" w:hAnsi="Scala Sans OT"/>
                <w:b/>
                <w:sz w:val="22"/>
                <w:szCs w:val="22"/>
              </w:rPr>
              <w:t>Kommunikation</w:t>
            </w:r>
          </w:p>
          <w:p>
            <w:pPr>
              <w:pStyle w:val="Listenabsatz"/>
              <w:numPr>
                <w:ilvl w:val="0"/>
                <w:numId w:val="44"/>
              </w:numPr>
              <w:rPr>
                <w:rFonts w:ascii="Scala Sans OT" w:hAnsi="Scala Sans OT"/>
                <w:sz w:val="22"/>
                <w:szCs w:val="22"/>
              </w:rPr>
            </w:pPr>
            <w:r>
              <w:rPr>
                <w:rFonts w:ascii="Scala Sans OT" w:hAnsi="Scala Sans OT"/>
                <w:sz w:val="22"/>
                <w:szCs w:val="22"/>
              </w:rPr>
              <w:t>Berichterstattung Verdachtsfälle an BMG</w:t>
            </w:r>
          </w:p>
          <w:p>
            <w:pPr>
              <w:pStyle w:val="Listenabsatz"/>
              <w:numPr>
                <w:ilvl w:val="0"/>
                <w:numId w:val="44"/>
              </w:numPr>
              <w:rPr>
                <w:rFonts w:ascii="Scala Sans OT" w:hAnsi="Scala Sans OT"/>
                <w:sz w:val="22"/>
                <w:szCs w:val="22"/>
              </w:rPr>
            </w:pPr>
            <w:r>
              <w:rPr>
                <w:rFonts w:ascii="Scala Sans OT" w:hAnsi="Scala Sans OT"/>
                <w:sz w:val="22"/>
                <w:szCs w:val="22"/>
              </w:rPr>
              <w:t>Hotline</w:t>
            </w:r>
          </w:p>
          <w:p>
            <w:pPr>
              <w:pStyle w:val="Listenabsatz"/>
              <w:numPr>
                <w:ilvl w:val="0"/>
                <w:numId w:val="44"/>
              </w:numPr>
              <w:rPr>
                <w:rFonts w:ascii="Scala Sans OT" w:hAnsi="Scala Sans OT"/>
                <w:sz w:val="22"/>
                <w:szCs w:val="22"/>
              </w:rPr>
            </w:pPr>
            <w:r>
              <w:rPr>
                <w:rFonts w:ascii="Scala Sans OT" w:hAnsi="Scala Sans OT"/>
                <w:sz w:val="22"/>
                <w:szCs w:val="22"/>
              </w:rPr>
              <w:t>Publikation Ärzteblatt und Lancet</w:t>
            </w:r>
          </w:p>
          <w:p>
            <w:pPr>
              <w:rPr>
                <w:rFonts w:ascii="Scala Sans OT" w:hAnsi="Scala Sans OT"/>
                <w:b/>
                <w:i/>
                <w:sz w:val="22"/>
                <w:szCs w:val="22"/>
              </w:rPr>
            </w:pPr>
            <w:r>
              <w:rPr>
                <w:rFonts w:ascii="Scala Sans OT" w:hAnsi="Scala Sans OT"/>
                <w:b/>
                <w:i/>
                <w:sz w:val="22"/>
                <w:szCs w:val="22"/>
              </w:rPr>
              <w:t>ALLE THEMEN VERTAGT auf 30.01.2020.</w:t>
            </w:r>
          </w:p>
        </w:tc>
      </w:tr>
      <w:tr>
        <w:tc>
          <w:tcPr>
            <w:tcW w:w="817" w:type="dxa"/>
          </w:tcPr>
          <w:p>
            <w:pPr>
              <w:rPr>
                <w:rFonts w:ascii="Scala Sans OT" w:hAnsi="Scala Sans OT"/>
                <w:b/>
                <w:sz w:val="22"/>
                <w:szCs w:val="22"/>
              </w:rPr>
            </w:pPr>
            <w:r>
              <w:rPr>
                <w:rFonts w:ascii="Scala Sans OT" w:hAnsi="Scala Sans OT"/>
                <w:b/>
                <w:sz w:val="22"/>
                <w:szCs w:val="22"/>
              </w:rPr>
              <w:t>5</w:t>
            </w:r>
          </w:p>
        </w:tc>
        <w:tc>
          <w:tcPr>
            <w:tcW w:w="7699" w:type="dxa"/>
          </w:tcPr>
          <w:p>
            <w:pPr>
              <w:rPr>
                <w:rFonts w:ascii="Scala Sans OT" w:hAnsi="Scala Sans OT"/>
                <w:b/>
                <w:sz w:val="22"/>
                <w:szCs w:val="22"/>
              </w:rPr>
            </w:pPr>
            <w:r>
              <w:rPr>
                <w:rFonts w:ascii="Scala Sans OT" w:hAnsi="Scala Sans OT"/>
                <w:b/>
                <w:sz w:val="22"/>
                <w:szCs w:val="22"/>
              </w:rPr>
              <w:t>Rechtliche Rahmenbedingungen</w:t>
            </w:r>
          </w:p>
          <w:p>
            <w:pPr>
              <w:rPr>
                <w:rFonts w:ascii="Scala Sans OT" w:hAnsi="Scala Sans OT"/>
                <w:b/>
                <w:sz w:val="22"/>
                <w:szCs w:val="22"/>
              </w:rPr>
            </w:pPr>
            <w:r>
              <w:rPr>
                <w:rFonts w:ascii="Scala Sans OT" w:hAnsi="Scala Sans OT"/>
                <w:b/>
                <w:sz w:val="22"/>
                <w:szCs w:val="22"/>
              </w:rPr>
              <w:t>IfSG-Koordinierungs-VwV:</w:t>
            </w:r>
          </w:p>
          <w:p>
            <w:pPr>
              <w:pStyle w:val="Listenabsatz"/>
              <w:numPr>
                <w:ilvl w:val="0"/>
                <w:numId w:val="40"/>
              </w:numPr>
              <w:rPr>
                <w:rFonts w:ascii="Scala Sans OT" w:hAnsi="Scala Sans OT"/>
                <w:b/>
                <w:sz w:val="22"/>
                <w:szCs w:val="22"/>
              </w:rPr>
            </w:pPr>
            <w:r>
              <w:rPr>
                <w:rFonts w:ascii="Scala Sans OT" w:hAnsi="Scala Sans OT"/>
                <w:sz w:val="22"/>
                <w:szCs w:val="22"/>
              </w:rPr>
              <w:t>Die IfSG Koordinierungs-VwV tritt in Kraft, d.h. die Rolle des RKI ist mandatiert und gibt mehr Rechtssicherheit z.B. in Bezug auf den Umgang von personenbezogenen Daten (</w:t>
            </w:r>
            <w:proofErr w:type="spellStart"/>
            <w:r>
              <w:rPr>
                <w:rFonts w:ascii="Scala Sans OT" w:hAnsi="Scala Sans OT"/>
                <w:sz w:val="22"/>
                <w:szCs w:val="22"/>
              </w:rPr>
              <w:t>KoNa</w:t>
            </w:r>
            <w:proofErr w:type="spellEnd"/>
            <w:r>
              <w:rPr>
                <w:rFonts w:ascii="Scala Sans OT" w:hAnsi="Scala Sans OT"/>
                <w:sz w:val="22"/>
                <w:szCs w:val="22"/>
              </w:rPr>
              <w:t xml:space="preserve">). Auch darf das RKI bei Information über neue Fälle die anderen BL direkt informieren, dies müssten sonst die betroffenen BL selbst übernehmen. An den Maßnahmen vor Ort ändert die nichts. </w:t>
            </w:r>
          </w:p>
          <w:p>
            <w:pPr>
              <w:rPr>
                <w:rFonts w:ascii="Scala Sans OT" w:hAnsi="Scala Sans OT"/>
                <w:b/>
                <w:sz w:val="22"/>
                <w:szCs w:val="22"/>
              </w:rPr>
            </w:pPr>
            <w:r>
              <w:rPr>
                <w:rFonts w:ascii="Scala Sans OT" w:hAnsi="Scala Sans OT"/>
                <w:b/>
                <w:sz w:val="22"/>
                <w:szCs w:val="22"/>
              </w:rPr>
              <w:t>Rechtsverordnung:</w:t>
            </w:r>
          </w:p>
          <w:p>
            <w:pPr>
              <w:pStyle w:val="Listenabsatz"/>
              <w:numPr>
                <w:ilvl w:val="0"/>
                <w:numId w:val="40"/>
              </w:numPr>
              <w:rPr>
                <w:rFonts w:ascii="Scala Sans OT" w:hAnsi="Scala Sans OT"/>
                <w:b/>
                <w:sz w:val="22"/>
                <w:szCs w:val="22"/>
              </w:rPr>
            </w:pPr>
            <w:r>
              <w:rPr>
                <w:rFonts w:ascii="Scala Sans OT" w:hAnsi="Scala Sans OT"/>
                <w:sz w:val="22"/>
                <w:szCs w:val="22"/>
              </w:rPr>
              <w:t>Eine Rechtsverordnung zur Meldepflicht (Arzt, wahrscheinlich auch Labor) wird derzeit vom BMG erarbeitet.</w:t>
            </w:r>
          </w:p>
          <w:p>
            <w:pPr>
              <w:rPr>
                <w:rFonts w:ascii="Scala Sans OT" w:hAnsi="Scala Sans OT"/>
                <w:b/>
                <w:sz w:val="22"/>
                <w:szCs w:val="22"/>
              </w:rPr>
            </w:pPr>
            <w:r>
              <w:rPr>
                <w:rFonts w:ascii="Scala Sans OT" w:hAnsi="Scala Sans OT"/>
                <w:b/>
                <w:sz w:val="22"/>
                <w:szCs w:val="22"/>
              </w:rPr>
              <w:t xml:space="preserve">IGV-Durchführungsgesetz: </w:t>
            </w:r>
          </w:p>
          <w:p>
            <w:pPr>
              <w:pStyle w:val="Listenabsatz"/>
              <w:numPr>
                <w:ilvl w:val="0"/>
                <w:numId w:val="40"/>
              </w:numPr>
              <w:rPr>
                <w:rFonts w:ascii="Scala Sans OT" w:hAnsi="Scala Sans OT"/>
                <w:b/>
                <w:sz w:val="22"/>
                <w:szCs w:val="22"/>
              </w:rPr>
            </w:pPr>
            <w:r>
              <w:rPr>
                <w:rFonts w:ascii="Scala Sans OT" w:hAnsi="Scala Sans OT"/>
                <w:sz w:val="22"/>
                <w:szCs w:val="22"/>
              </w:rPr>
              <w:t xml:space="preserve">Seit dem 28.01.2020 sind die §§12 und 16 des IGV-DG in Wirkbetrieb genommen worden. Dazu wird es in Abstimmung von BMVI und dem BMG eine Allgemeinverfügung geben, die am 29.01.2020 noch auf den Webseiten des BMG und des BMVI publiziert wird. </w:t>
            </w:r>
          </w:p>
          <w:p>
            <w:pPr>
              <w:pStyle w:val="Listenabsatz"/>
              <w:numPr>
                <w:ilvl w:val="0"/>
                <w:numId w:val="40"/>
              </w:numPr>
              <w:rPr>
                <w:rFonts w:ascii="Scala Sans OT" w:hAnsi="Scala Sans OT"/>
                <w:b/>
                <w:sz w:val="22"/>
                <w:szCs w:val="22"/>
              </w:rPr>
            </w:pPr>
            <w:r>
              <w:rPr>
                <w:rFonts w:ascii="Scala Sans OT" w:hAnsi="Scala Sans OT"/>
                <w:sz w:val="22"/>
                <w:szCs w:val="22"/>
              </w:rPr>
              <w:t xml:space="preserve">Praktisch bedeutet dies, dass ankommende Flüge aus China den Health Part der General Declaration bzgl. der Ereignisse an Bord ausfüllen müssen, ebenso verbindlich soll die Passenger Locator Card (PLC) von den Passagieren ausgefüllt, von der Flugbesatzung eingesammelt und an die zuständige GA übergeben werden. Darüber hinaus sollen die Airlines alle Buchungsdaten der </w:t>
            </w:r>
            <w:proofErr w:type="gramStart"/>
            <w:r>
              <w:rPr>
                <w:rFonts w:ascii="Scala Sans OT" w:hAnsi="Scala Sans OT"/>
                <w:sz w:val="22"/>
                <w:szCs w:val="22"/>
              </w:rPr>
              <w:t>Passagiere  speichern</w:t>
            </w:r>
            <w:proofErr w:type="gramEnd"/>
            <w:r>
              <w:rPr>
                <w:rFonts w:ascii="Scala Sans OT" w:hAnsi="Scala Sans OT"/>
                <w:sz w:val="22"/>
                <w:szCs w:val="22"/>
              </w:rPr>
              <w:t xml:space="preserve"> und bei Bedarf den Gesundheits-behörden zur Verfügung stellen.</w:t>
            </w:r>
          </w:p>
        </w:tc>
      </w:tr>
      <w:tr>
        <w:tc>
          <w:tcPr>
            <w:tcW w:w="817" w:type="dxa"/>
          </w:tcPr>
          <w:p>
            <w:pPr>
              <w:rPr>
                <w:rFonts w:ascii="Scala Sans OT" w:hAnsi="Scala Sans OT"/>
                <w:b/>
                <w:sz w:val="22"/>
                <w:szCs w:val="22"/>
              </w:rPr>
            </w:pPr>
            <w:r>
              <w:rPr>
                <w:rFonts w:ascii="Scala Sans OT" w:hAnsi="Scala Sans OT"/>
                <w:b/>
                <w:sz w:val="22"/>
                <w:szCs w:val="22"/>
              </w:rPr>
              <w:t>6</w:t>
            </w:r>
          </w:p>
        </w:tc>
        <w:tc>
          <w:tcPr>
            <w:tcW w:w="7699" w:type="dxa"/>
          </w:tcPr>
          <w:p>
            <w:pPr>
              <w:rPr>
                <w:rFonts w:ascii="Scala Sans OT" w:hAnsi="Scala Sans OT"/>
                <w:b/>
                <w:sz w:val="22"/>
                <w:szCs w:val="22"/>
              </w:rPr>
            </w:pPr>
            <w:r>
              <w:rPr>
                <w:rFonts w:ascii="Scala Sans OT" w:hAnsi="Scala Sans OT"/>
                <w:b/>
                <w:sz w:val="22"/>
                <w:szCs w:val="22"/>
              </w:rPr>
              <w:t>Labordiagnostik</w:t>
            </w:r>
          </w:p>
          <w:p>
            <w:pPr>
              <w:rPr>
                <w:rFonts w:ascii="Scala Sans OT" w:hAnsi="Scala Sans OT"/>
                <w:b/>
                <w:sz w:val="22"/>
                <w:szCs w:val="22"/>
              </w:rPr>
            </w:pPr>
            <w:r>
              <w:rPr>
                <w:rFonts w:ascii="Scala Sans OT" w:hAnsi="Scala Sans OT"/>
                <w:b/>
                <w:sz w:val="22"/>
                <w:szCs w:val="22"/>
              </w:rPr>
              <w:t>Einstufung ABAS:</w:t>
            </w:r>
          </w:p>
          <w:p>
            <w:pPr>
              <w:pStyle w:val="Listenabsatz"/>
              <w:numPr>
                <w:ilvl w:val="0"/>
                <w:numId w:val="40"/>
              </w:numPr>
              <w:rPr>
                <w:rFonts w:ascii="Scala Sans OT" w:hAnsi="Scala Sans OT"/>
                <w:b/>
                <w:sz w:val="22"/>
                <w:szCs w:val="22"/>
              </w:rPr>
            </w:pPr>
            <w:r>
              <w:rPr>
                <w:rFonts w:ascii="Scala Sans OT" w:hAnsi="Scala Sans OT"/>
                <w:sz w:val="22"/>
                <w:szCs w:val="22"/>
              </w:rPr>
              <w:t>Morgen tagt der 6.2 Unterausschuss 3. Eine Beschlussvorlage zur Abstimmung liegt vorab zur Kenntnis vor. Der Erreger wird voraussichtlich die Kennzeichnung 3 Z erhalten, d.h. Labordiagnostik unter S2-Bedingungen und bei Anreicherung Arbeiten unter S3-Bedingungen.</w:t>
            </w:r>
          </w:p>
          <w:p>
            <w:pPr>
              <w:pStyle w:val="Listenabsatz"/>
              <w:numPr>
                <w:ilvl w:val="0"/>
                <w:numId w:val="40"/>
              </w:numPr>
              <w:rPr>
                <w:rFonts w:ascii="Scala Sans OT" w:hAnsi="Scala Sans OT"/>
                <w:b/>
                <w:sz w:val="22"/>
                <w:szCs w:val="22"/>
              </w:rPr>
            </w:pPr>
            <w:r>
              <w:rPr>
                <w:rFonts w:ascii="Scala Sans OT" w:hAnsi="Scala Sans OT"/>
                <w:sz w:val="22"/>
                <w:szCs w:val="22"/>
              </w:rPr>
              <w:t xml:space="preserve">Der Probentransport erfolgt als Kategorie B (wenn keine Kultur). Dies ist </w:t>
            </w:r>
            <w:r>
              <w:rPr>
                <w:rFonts w:ascii="Scala Sans OT" w:hAnsi="Scala Sans OT"/>
                <w:sz w:val="22"/>
                <w:szCs w:val="22"/>
              </w:rPr>
              <w:lastRenderedPageBreak/>
              <w:t xml:space="preserve">auch in den Laborempfehlungen festgehalten. (LINK: </w:t>
            </w:r>
            <w:hyperlink r:id="rId8" w:history="1">
              <w:r>
                <w:rPr>
                  <w:rStyle w:val="Hyperlink"/>
                  <w:rFonts w:ascii="Scala Sans OT" w:hAnsi="Scala Sans OT"/>
                  <w:sz w:val="16"/>
                  <w:szCs w:val="22"/>
                </w:rPr>
                <w:t>https://www.rki.de/DE/Content/InfAZ/N/Neuartiges_Coronavirus/Vorl_Testung_nCoV.html</w:t>
              </w:r>
            </w:hyperlink>
            <w:r>
              <w:rPr>
                <w:rFonts w:ascii="Scala Sans OT" w:hAnsi="Scala Sans OT"/>
                <w:sz w:val="22"/>
                <w:szCs w:val="22"/>
              </w:rPr>
              <w:t>)</w:t>
            </w:r>
          </w:p>
        </w:tc>
      </w:tr>
      <w:tr>
        <w:tc>
          <w:tcPr>
            <w:tcW w:w="817" w:type="dxa"/>
          </w:tcPr>
          <w:p>
            <w:pPr>
              <w:rPr>
                <w:rFonts w:ascii="Scala Sans OT" w:hAnsi="Scala Sans OT"/>
                <w:b/>
                <w:sz w:val="22"/>
                <w:szCs w:val="22"/>
              </w:rPr>
            </w:pPr>
            <w:r>
              <w:rPr>
                <w:rFonts w:ascii="Scala Sans OT" w:hAnsi="Scala Sans OT"/>
                <w:b/>
                <w:sz w:val="22"/>
                <w:szCs w:val="22"/>
              </w:rPr>
              <w:lastRenderedPageBreak/>
              <w:t>7</w:t>
            </w:r>
          </w:p>
        </w:tc>
        <w:tc>
          <w:tcPr>
            <w:tcW w:w="7699" w:type="dxa"/>
          </w:tcPr>
          <w:p>
            <w:pPr>
              <w:rPr>
                <w:rFonts w:ascii="Scala Sans OT" w:hAnsi="Scala Sans OT"/>
                <w:b/>
                <w:sz w:val="22"/>
                <w:szCs w:val="22"/>
              </w:rPr>
            </w:pPr>
            <w:r>
              <w:rPr>
                <w:rFonts w:ascii="Scala Sans OT" w:hAnsi="Scala Sans OT"/>
                <w:b/>
                <w:sz w:val="22"/>
                <w:szCs w:val="22"/>
              </w:rPr>
              <w:t>Surveillance-Anforderungen</w:t>
            </w:r>
          </w:p>
          <w:p>
            <w:pPr>
              <w:pStyle w:val="Listenabsatz"/>
              <w:numPr>
                <w:ilvl w:val="0"/>
                <w:numId w:val="44"/>
              </w:numPr>
              <w:rPr>
                <w:rFonts w:ascii="Scala Sans OT" w:hAnsi="Scala Sans OT"/>
                <w:sz w:val="22"/>
                <w:szCs w:val="22"/>
              </w:rPr>
            </w:pPr>
            <w:r>
              <w:rPr>
                <w:rFonts w:ascii="Scala Sans OT" w:hAnsi="Scala Sans OT"/>
                <w:sz w:val="22"/>
                <w:szCs w:val="22"/>
              </w:rPr>
              <w:t xml:space="preserve">Meldungen, Umsetzung in </w:t>
            </w:r>
            <w:proofErr w:type="spellStart"/>
            <w:r>
              <w:rPr>
                <w:rFonts w:ascii="Scala Sans OT" w:hAnsi="Scala Sans OT"/>
                <w:sz w:val="22"/>
                <w:szCs w:val="22"/>
              </w:rPr>
              <w:t>SurvNet</w:t>
            </w:r>
            <w:proofErr w:type="spellEnd"/>
          </w:p>
          <w:p>
            <w:pPr>
              <w:rPr>
                <w:rFonts w:ascii="Scala Sans OT" w:hAnsi="Scala Sans OT"/>
                <w:b/>
                <w:sz w:val="22"/>
                <w:szCs w:val="22"/>
              </w:rPr>
            </w:pPr>
            <w:r>
              <w:rPr>
                <w:rFonts w:ascii="Scala Sans OT" w:hAnsi="Scala Sans OT"/>
                <w:b/>
                <w:i/>
                <w:sz w:val="22"/>
                <w:szCs w:val="22"/>
              </w:rPr>
              <w:t>THEMA VERTAGT auf 30.01.2020.</w:t>
            </w:r>
          </w:p>
        </w:tc>
      </w:tr>
      <w:tr>
        <w:tc>
          <w:tcPr>
            <w:tcW w:w="817" w:type="dxa"/>
          </w:tcPr>
          <w:p>
            <w:pPr>
              <w:rPr>
                <w:rFonts w:ascii="Scala Sans OT" w:hAnsi="Scala Sans OT"/>
                <w:b/>
                <w:sz w:val="22"/>
                <w:szCs w:val="22"/>
              </w:rPr>
            </w:pPr>
            <w:r>
              <w:rPr>
                <w:rFonts w:ascii="Scala Sans OT" w:hAnsi="Scala Sans OT"/>
                <w:b/>
                <w:sz w:val="22"/>
                <w:szCs w:val="22"/>
              </w:rPr>
              <w:t>8</w:t>
            </w:r>
          </w:p>
        </w:tc>
        <w:tc>
          <w:tcPr>
            <w:tcW w:w="7699" w:type="dxa"/>
          </w:tcPr>
          <w:p>
            <w:pPr>
              <w:rPr>
                <w:rFonts w:ascii="Scala Sans OT" w:hAnsi="Scala Sans OT"/>
                <w:b/>
                <w:sz w:val="22"/>
                <w:szCs w:val="22"/>
                <w:lang w:val="en-US"/>
              </w:rPr>
            </w:pPr>
            <w:r>
              <w:rPr>
                <w:rFonts w:ascii="Scala Sans OT" w:hAnsi="Scala Sans OT"/>
                <w:b/>
                <w:sz w:val="22"/>
                <w:szCs w:val="22"/>
              </w:rPr>
              <w:t xml:space="preserve">Maßnahmen zum </w:t>
            </w:r>
            <w:proofErr w:type="spellStart"/>
            <w:r>
              <w:rPr>
                <w:rFonts w:ascii="Scala Sans OT" w:hAnsi="Scala Sans OT"/>
                <w:b/>
                <w:sz w:val="22"/>
                <w:szCs w:val="22"/>
              </w:rPr>
              <w:t>Infektionss</w:t>
            </w:r>
            <w:r>
              <w:rPr>
                <w:rFonts w:ascii="Scala Sans OT" w:hAnsi="Scala Sans OT"/>
                <w:b/>
                <w:sz w:val="22"/>
                <w:szCs w:val="22"/>
                <w:lang w:val="en-US"/>
              </w:rPr>
              <w:t>chutz</w:t>
            </w:r>
            <w:proofErr w:type="spellEnd"/>
          </w:p>
        </w:tc>
      </w:tr>
      <w:tr>
        <w:tc>
          <w:tcPr>
            <w:tcW w:w="817" w:type="dxa"/>
          </w:tcPr>
          <w:p>
            <w:pPr>
              <w:rPr>
                <w:rFonts w:ascii="Scala Sans OT" w:hAnsi="Scala Sans OT"/>
                <w:b/>
                <w:sz w:val="22"/>
                <w:szCs w:val="22"/>
              </w:rPr>
            </w:pPr>
            <w:r>
              <w:rPr>
                <w:rFonts w:ascii="Scala Sans OT" w:hAnsi="Scala Sans OT"/>
                <w:b/>
                <w:sz w:val="22"/>
                <w:szCs w:val="22"/>
              </w:rPr>
              <w:t>9</w:t>
            </w:r>
          </w:p>
        </w:tc>
        <w:tc>
          <w:tcPr>
            <w:tcW w:w="7699" w:type="dxa"/>
          </w:tcPr>
          <w:p>
            <w:pPr>
              <w:rPr>
                <w:rFonts w:ascii="Scala Sans OT" w:hAnsi="Scala Sans OT"/>
                <w:b/>
                <w:sz w:val="22"/>
                <w:szCs w:val="22"/>
                <w:lang w:val="en-US"/>
              </w:rPr>
            </w:pPr>
            <w:proofErr w:type="spellStart"/>
            <w:r>
              <w:rPr>
                <w:rFonts w:ascii="Scala Sans OT" w:hAnsi="Scala Sans OT"/>
                <w:b/>
                <w:sz w:val="22"/>
                <w:szCs w:val="22"/>
                <w:lang w:val="en-US"/>
              </w:rPr>
              <w:t>Klinisches</w:t>
            </w:r>
            <w:proofErr w:type="spellEnd"/>
            <w:r>
              <w:rPr>
                <w:rFonts w:ascii="Scala Sans OT" w:hAnsi="Scala Sans OT"/>
                <w:b/>
                <w:sz w:val="22"/>
                <w:szCs w:val="22"/>
                <w:lang w:val="en-US"/>
              </w:rPr>
              <w:t xml:space="preserve"> Management</w:t>
            </w:r>
          </w:p>
          <w:p>
            <w:pPr>
              <w:pStyle w:val="Listenabsatz"/>
              <w:numPr>
                <w:ilvl w:val="0"/>
                <w:numId w:val="40"/>
              </w:numPr>
              <w:rPr>
                <w:rFonts w:ascii="Scala Sans OT" w:hAnsi="Scala Sans OT"/>
                <w:sz w:val="22"/>
                <w:szCs w:val="22"/>
              </w:rPr>
            </w:pPr>
            <w:r>
              <w:rPr>
                <w:rFonts w:ascii="Scala Sans OT" w:hAnsi="Scala Sans OT"/>
                <w:sz w:val="22"/>
                <w:szCs w:val="22"/>
              </w:rPr>
              <w:t>Es wird kurz von Unsicherheit im Kontaktmanagement bzw. der Isolierung im Krankenhaus berichtet.</w:t>
            </w:r>
          </w:p>
          <w:p>
            <w:pPr>
              <w:rPr>
                <w:rFonts w:ascii="Scala Sans OT" w:hAnsi="Scala Sans OT"/>
                <w:b/>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Bitte Information für Ärzte für die Webseite erstellen: Isolierung im Krankenhaus/ Kontaktmanagement. </w:t>
            </w:r>
          </w:p>
        </w:tc>
      </w:tr>
      <w:tr>
        <w:tc>
          <w:tcPr>
            <w:tcW w:w="817" w:type="dxa"/>
          </w:tcPr>
          <w:p>
            <w:pPr>
              <w:rPr>
                <w:rFonts w:ascii="Scala Sans OT" w:hAnsi="Scala Sans OT"/>
                <w:b/>
                <w:sz w:val="22"/>
                <w:szCs w:val="22"/>
              </w:rPr>
            </w:pPr>
            <w:r>
              <w:rPr>
                <w:rFonts w:ascii="Scala Sans OT" w:hAnsi="Scala Sans OT"/>
                <w:b/>
                <w:sz w:val="22"/>
                <w:szCs w:val="22"/>
              </w:rPr>
              <w:t>10</w:t>
            </w:r>
          </w:p>
        </w:tc>
        <w:tc>
          <w:tcPr>
            <w:tcW w:w="7699" w:type="dxa"/>
          </w:tcPr>
          <w:p>
            <w:pPr>
              <w:rPr>
                <w:rFonts w:ascii="Scala Sans OT" w:hAnsi="Scala Sans OT"/>
                <w:b/>
                <w:sz w:val="22"/>
                <w:szCs w:val="22"/>
                <w:lang w:val="en-US"/>
              </w:rPr>
            </w:pPr>
            <w:r>
              <w:rPr>
                <w:rFonts w:ascii="Scala Sans OT" w:hAnsi="Scala Sans OT"/>
                <w:b/>
                <w:sz w:val="22"/>
                <w:szCs w:val="22"/>
                <w:lang w:val="en-US"/>
              </w:rPr>
              <w:t>Transport (</w:t>
            </w:r>
            <w:proofErr w:type="spellStart"/>
            <w:r>
              <w:rPr>
                <w:rFonts w:ascii="Scala Sans OT" w:hAnsi="Scala Sans OT"/>
                <w:b/>
                <w:sz w:val="22"/>
                <w:szCs w:val="22"/>
                <w:lang w:val="en-US"/>
              </w:rPr>
              <w:t>Grenzübergangsstellen</w:t>
            </w:r>
            <w:proofErr w:type="spellEnd"/>
            <w:r>
              <w:rPr>
                <w:rFonts w:ascii="Scala Sans OT" w:hAnsi="Scala Sans OT"/>
                <w:b/>
                <w:sz w:val="22"/>
                <w:szCs w:val="22"/>
                <w:lang w:val="en-US"/>
              </w:rPr>
              <w:t>)</w:t>
            </w:r>
          </w:p>
          <w:p>
            <w:pPr>
              <w:rPr>
                <w:rFonts w:ascii="Scala Sans OT" w:hAnsi="Scala Sans OT"/>
                <w:b/>
                <w:sz w:val="22"/>
                <w:szCs w:val="22"/>
              </w:rPr>
            </w:pPr>
            <w:r>
              <w:rPr>
                <w:rFonts w:ascii="Scala Sans OT" w:hAnsi="Scala Sans OT"/>
                <w:b/>
                <w:sz w:val="22"/>
                <w:szCs w:val="22"/>
              </w:rPr>
              <w:t>Entry-Screening:</w:t>
            </w:r>
          </w:p>
          <w:p>
            <w:pPr>
              <w:pStyle w:val="Listenabsatz"/>
              <w:numPr>
                <w:ilvl w:val="0"/>
                <w:numId w:val="40"/>
              </w:numPr>
              <w:rPr>
                <w:rFonts w:ascii="Scala Sans OT" w:hAnsi="Scala Sans OT"/>
                <w:sz w:val="22"/>
                <w:szCs w:val="22"/>
              </w:rPr>
            </w:pPr>
            <w:r>
              <w:rPr>
                <w:rFonts w:ascii="Scala Sans OT" w:hAnsi="Scala Sans OT"/>
                <w:sz w:val="22"/>
                <w:szCs w:val="22"/>
              </w:rPr>
              <w:t>Hr. Spahn hat sich in der Pressekonferenz am 29.01.2020 eindeutig gegen die Implementierung von ENTRY-Screening an deutschen Flughäfen geäußert.</w:t>
            </w:r>
          </w:p>
          <w:p>
            <w:pPr>
              <w:rPr>
                <w:rFonts w:ascii="Scala Sans OT" w:hAnsi="Scala Sans OT"/>
                <w:b/>
                <w:sz w:val="22"/>
                <w:szCs w:val="22"/>
              </w:rPr>
            </w:pPr>
            <w:r>
              <w:rPr>
                <w:rFonts w:ascii="Scala Sans OT" w:hAnsi="Scala Sans OT"/>
                <w:b/>
                <w:sz w:val="22"/>
                <w:szCs w:val="22"/>
              </w:rPr>
              <w:t>Passagierinformation (Poster):</w:t>
            </w:r>
          </w:p>
          <w:p>
            <w:pPr>
              <w:pStyle w:val="Listenabsatz"/>
              <w:numPr>
                <w:ilvl w:val="0"/>
                <w:numId w:val="40"/>
              </w:numPr>
              <w:rPr>
                <w:rFonts w:ascii="Scala Sans OT" w:hAnsi="Scala Sans OT"/>
                <w:sz w:val="22"/>
                <w:szCs w:val="22"/>
              </w:rPr>
            </w:pPr>
            <w:r>
              <w:rPr>
                <w:rFonts w:ascii="Scala Sans OT" w:hAnsi="Scala Sans OT"/>
                <w:sz w:val="22"/>
                <w:szCs w:val="22"/>
              </w:rPr>
              <w:t xml:space="preserve">Bei der heutigen TK der AG IGV-benannte Flughäfen wurde dem von der AGI abgestimmten Vorgehen (Repatriierung) zugestimmt. Die Passagierinformation, die aktuell an den Flughäfen aushängen sollen aber erst einmal nicht geändert werden.  </w:t>
            </w:r>
          </w:p>
          <w:p>
            <w:pPr>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xml:space="preserve">: Nachfrage bei AGI, ob </w:t>
            </w:r>
            <w:proofErr w:type="gramStart"/>
            <w:r>
              <w:rPr>
                <w:rFonts w:ascii="Scala Sans OT" w:hAnsi="Scala Sans OT"/>
                <w:b/>
                <w:i/>
                <w:sz w:val="22"/>
                <w:szCs w:val="22"/>
              </w:rPr>
              <w:t>der häusliche Isolierung</w:t>
            </w:r>
            <w:proofErr w:type="gramEnd"/>
            <w:r>
              <w:rPr>
                <w:rFonts w:ascii="Scala Sans OT" w:hAnsi="Scala Sans OT"/>
                <w:b/>
                <w:i/>
                <w:sz w:val="22"/>
                <w:szCs w:val="22"/>
              </w:rPr>
              <w:t xml:space="preserve"> als Vorgehen im Allgemeinen bei Reiserückkehrern aus Risikogebieten zugestimmt wurde oder nur im Rahmen der Repatriierung.</w:t>
            </w:r>
          </w:p>
        </w:tc>
      </w:tr>
      <w:tr>
        <w:tc>
          <w:tcPr>
            <w:tcW w:w="817" w:type="dxa"/>
          </w:tcPr>
          <w:p>
            <w:pPr>
              <w:rPr>
                <w:rFonts w:ascii="Scala Sans OT" w:hAnsi="Scala Sans OT"/>
                <w:b/>
                <w:sz w:val="22"/>
                <w:szCs w:val="22"/>
              </w:rPr>
            </w:pPr>
            <w:r>
              <w:rPr>
                <w:rFonts w:ascii="Scala Sans OT" w:hAnsi="Scala Sans OT"/>
                <w:b/>
                <w:sz w:val="22"/>
                <w:szCs w:val="22"/>
              </w:rPr>
              <w:t>11</w:t>
            </w:r>
          </w:p>
        </w:tc>
        <w:tc>
          <w:tcPr>
            <w:tcW w:w="7699" w:type="dxa"/>
          </w:tcPr>
          <w:p>
            <w:pPr>
              <w:rPr>
                <w:rFonts w:ascii="Scala Sans OT" w:hAnsi="Scala Sans OT"/>
                <w:b/>
                <w:sz w:val="22"/>
                <w:szCs w:val="22"/>
              </w:rPr>
            </w:pPr>
            <w:r>
              <w:rPr>
                <w:rFonts w:ascii="Scala Sans OT" w:hAnsi="Scala Sans OT"/>
                <w:b/>
                <w:sz w:val="22"/>
                <w:szCs w:val="22"/>
              </w:rPr>
              <w:t>Informationen aus dem Lagezentrum</w:t>
            </w:r>
          </w:p>
          <w:p>
            <w:pPr>
              <w:rPr>
                <w:rFonts w:ascii="Scala Sans OT" w:hAnsi="Scala Sans OT"/>
                <w:b/>
                <w:sz w:val="22"/>
                <w:szCs w:val="22"/>
              </w:rPr>
            </w:pPr>
            <w:r>
              <w:rPr>
                <w:rFonts w:ascii="Scala Sans OT" w:hAnsi="Scala Sans OT"/>
                <w:b/>
                <w:sz w:val="22"/>
                <w:szCs w:val="22"/>
              </w:rPr>
              <w:t>Unterstützung, Erreichbarkeiten:</w:t>
            </w:r>
          </w:p>
          <w:p>
            <w:pPr>
              <w:pStyle w:val="Listenabsatz"/>
              <w:numPr>
                <w:ilvl w:val="0"/>
                <w:numId w:val="40"/>
              </w:numPr>
              <w:rPr>
                <w:rFonts w:ascii="Scala Sans OT" w:hAnsi="Scala Sans OT"/>
                <w:sz w:val="22"/>
                <w:szCs w:val="22"/>
              </w:rPr>
            </w:pPr>
            <w:r>
              <w:rPr>
                <w:rFonts w:ascii="Scala Sans OT" w:hAnsi="Scala Sans OT"/>
                <w:sz w:val="22"/>
                <w:szCs w:val="22"/>
              </w:rPr>
              <w:t xml:space="preserve">Die Besetzung des LZ wurde </w:t>
            </w:r>
            <w:proofErr w:type="gramStart"/>
            <w:r>
              <w:rPr>
                <w:rFonts w:ascii="Scala Sans OT" w:hAnsi="Scala Sans OT"/>
                <w:sz w:val="22"/>
                <w:szCs w:val="22"/>
              </w:rPr>
              <w:t>auf  8</w:t>
            </w:r>
            <w:proofErr w:type="gramEnd"/>
            <w:r>
              <w:rPr>
                <w:rFonts w:ascii="Scala Sans OT" w:hAnsi="Scala Sans OT"/>
                <w:sz w:val="22"/>
                <w:szCs w:val="22"/>
              </w:rPr>
              <w:t>-18 Uhr ausgedehnt. Anfragen kommen aber bis ca. 3 Uhr per E-Mail rein.</w:t>
            </w:r>
          </w:p>
          <w:p>
            <w:pPr>
              <w:pStyle w:val="Listenabsatz"/>
              <w:numPr>
                <w:ilvl w:val="0"/>
                <w:numId w:val="40"/>
              </w:numPr>
              <w:rPr>
                <w:rFonts w:ascii="Scala Sans OT" w:hAnsi="Scala Sans OT"/>
                <w:sz w:val="22"/>
                <w:szCs w:val="22"/>
              </w:rPr>
            </w:pPr>
            <w:r>
              <w:rPr>
                <w:rFonts w:ascii="Scala Sans OT" w:hAnsi="Scala Sans OT"/>
                <w:sz w:val="22"/>
                <w:szCs w:val="22"/>
              </w:rPr>
              <w:t>Es haben sich viele MA für eine Mitarbeit im LZ gemeldet. Es ist sinnvoll, dass die entsprechenden MA mehrere Dienste übernehmen, um in eine Routine zu kommen. Daher werden jetzt nicht alle MA, die sich gemeldet haben im LZ eingesetzt. Da aber OE auch außerhalb des LZ sehr belastet sind (z.B. Presse, FG36), können diese auch gern angeben, wenn sie Unterstützung aus dem LZ-Pool benötigen.</w:t>
            </w:r>
          </w:p>
        </w:tc>
      </w:tr>
      <w:tr>
        <w:tc>
          <w:tcPr>
            <w:tcW w:w="817" w:type="dxa"/>
          </w:tcPr>
          <w:p>
            <w:pPr>
              <w:rPr>
                <w:rFonts w:ascii="Scala Sans OT" w:hAnsi="Scala Sans OT"/>
                <w:b/>
                <w:sz w:val="22"/>
                <w:szCs w:val="22"/>
              </w:rPr>
            </w:pPr>
            <w:r>
              <w:rPr>
                <w:rFonts w:ascii="Scala Sans OT" w:hAnsi="Scala Sans OT"/>
                <w:b/>
                <w:sz w:val="22"/>
                <w:szCs w:val="22"/>
              </w:rPr>
              <w:t>12</w:t>
            </w:r>
          </w:p>
        </w:tc>
        <w:tc>
          <w:tcPr>
            <w:tcW w:w="7699" w:type="dxa"/>
          </w:tcPr>
          <w:p>
            <w:pPr>
              <w:rPr>
                <w:rFonts w:ascii="Scala Sans OT" w:hAnsi="Scala Sans OT"/>
                <w:b/>
                <w:sz w:val="22"/>
                <w:szCs w:val="22"/>
              </w:rPr>
            </w:pPr>
            <w:r>
              <w:rPr>
                <w:rFonts w:ascii="Scala Sans OT" w:hAnsi="Scala Sans OT"/>
                <w:b/>
                <w:sz w:val="22"/>
                <w:szCs w:val="22"/>
              </w:rPr>
              <w:t>Weiteres</w:t>
            </w:r>
          </w:p>
          <w:p>
            <w:pPr>
              <w:pStyle w:val="Listenabsatz"/>
              <w:numPr>
                <w:ilvl w:val="0"/>
                <w:numId w:val="39"/>
              </w:numPr>
              <w:rPr>
                <w:rFonts w:ascii="Scala Sans OT" w:hAnsi="Scala Sans OT"/>
                <w:sz w:val="22"/>
                <w:szCs w:val="22"/>
              </w:rPr>
            </w:pPr>
            <w:r>
              <w:rPr>
                <w:rFonts w:ascii="Scala Sans OT" w:hAnsi="Scala Sans OT"/>
                <w:sz w:val="22"/>
                <w:szCs w:val="22"/>
              </w:rPr>
              <w:t xml:space="preserve">Mit dem täglichen Lagebericht und dem dazu parallel erscheinenden Wochenbericht entstehen Redundanzen. Eine Zusammenfassung würde zur Arbeitsentlastung beitragen. Zur breiten Information werden die Fallzahlen auf der Webseite regelmäßig aktualisiert. </w:t>
            </w:r>
            <w:r>
              <w:rPr>
                <w:rFonts w:ascii="Scala Sans OT" w:hAnsi="Scala Sans OT"/>
                <w:sz w:val="22"/>
                <w:szCs w:val="22"/>
              </w:rPr>
              <w:br/>
              <w:t xml:space="preserve">Anmerkung: Der Empfängerkreis der beiden Berichte ist unterschiedlich. </w:t>
            </w:r>
          </w:p>
          <w:p>
            <w:pPr>
              <w:pStyle w:val="Listenabsatz"/>
              <w:ind w:left="0"/>
              <w:rPr>
                <w:rFonts w:ascii="Scala Sans OT" w:hAnsi="Scala Sans OT"/>
                <w:b/>
                <w:i/>
                <w:sz w:val="22"/>
                <w:szCs w:val="22"/>
              </w:rPr>
            </w:pPr>
            <w:proofErr w:type="spellStart"/>
            <w:r>
              <w:rPr>
                <w:rFonts w:ascii="Scala Sans OT" w:hAnsi="Scala Sans OT"/>
                <w:b/>
                <w:i/>
                <w:sz w:val="22"/>
                <w:szCs w:val="22"/>
              </w:rPr>
              <w:t>ToDo</w:t>
            </w:r>
            <w:proofErr w:type="spellEnd"/>
            <w:r>
              <w:rPr>
                <w:rFonts w:ascii="Scala Sans OT" w:hAnsi="Scala Sans OT"/>
                <w:b/>
                <w:i/>
                <w:sz w:val="22"/>
                <w:szCs w:val="22"/>
              </w:rPr>
              <w:t>: Die beiden Berichtersteller stimmen sich ab und erarbeiten einen konkreten Vorschlag, der in der AG-Lage-Sitzung besprochen wird.</w:t>
            </w:r>
          </w:p>
          <w:p>
            <w:pPr>
              <w:pStyle w:val="Listenabsatz"/>
              <w:numPr>
                <w:ilvl w:val="0"/>
                <w:numId w:val="39"/>
              </w:numPr>
              <w:rPr>
                <w:rFonts w:ascii="Scala Sans OT" w:hAnsi="Scala Sans OT"/>
                <w:sz w:val="22"/>
                <w:szCs w:val="22"/>
              </w:rPr>
            </w:pPr>
            <w:r>
              <w:rPr>
                <w:rFonts w:ascii="Scala Sans OT" w:hAnsi="Scala Sans OT"/>
                <w:sz w:val="22"/>
                <w:szCs w:val="22"/>
              </w:rPr>
              <w:t xml:space="preserve">Thema Abrechnung: Die Diagnostik </w:t>
            </w:r>
            <w:proofErr w:type="gramStart"/>
            <w:r>
              <w:rPr>
                <w:rFonts w:ascii="Scala Sans OT" w:hAnsi="Scala Sans OT"/>
                <w:sz w:val="22"/>
                <w:szCs w:val="22"/>
              </w:rPr>
              <w:t>müssen</w:t>
            </w:r>
            <w:proofErr w:type="gramEnd"/>
            <w:r>
              <w:rPr>
                <w:rFonts w:ascii="Scala Sans OT" w:hAnsi="Scala Sans OT"/>
                <w:sz w:val="22"/>
                <w:szCs w:val="22"/>
              </w:rPr>
              <w:t xml:space="preserve"> die Betroffenen erst einmal selbst verauslagen. Sie bekommen diese aber von den Krankenkassen erstattet. Das BMG befasst sich mit der Erarbeitung einer EBN-Ziffer zur direkten Abrechnung.</w:t>
            </w:r>
          </w:p>
        </w:tc>
      </w:tr>
      <w:tr>
        <w:tc>
          <w:tcPr>
            <w:tcW w:w="817" w:type="dxa"/>
          </w:tcPr>
          <w:p>
            <w:pPr>
              <w:rPr>
                <w:rFonts w:ascii="Scala Sans OT" w:hAnsi="Scala Sans OT"/>
                <w:b/>
                <w:sz w:val="22"/>
                <w:szCs w:val="22"/>
              </w:rPr>
            </w:pPr>
            <w:r>
              <w:rPr>
                <w:rFonts w:ascii="Scala Sans OT" w:hAnsi="Scala Sans OT"/>
                <w:b/>
                <w:sz w:val="22"/>
                <w:szCs w:val="22"/>
              </w:rPr>
              <w:t>13</w:t>
            </w:r>
          </w:p>
        </w:tc>
        <w:tc>
          <w:tcPr>
            <w:tcW w:w="7699" w:type="dxa"/>
          </w:tcPr>
          <w:p>
            <w:pPr>
              <w:rPr>
                <w:rFonts w:ascii="Scala Sans OT" w:hAnsi="Scala Sans OT"/>
                <w:b/>
                <w:sz w:val="22"/>
                <w:szCs w:val="22"/>
              </w:rPr>
            </w:pPr>
            <w:r>
              <w:rPr>
                <w:rFonts w:ascii="Scala Sans OT" w:hAnsi="Scala Sans OT"/>
                <w:b/>
                <w:sz w:val="22"/>
                <w:szCs w:val="22"/>
              </w:rPr>
              <w:t xml:space="preserve">Tägliche AG-Lage-Sitzungen, </w:t>
            </w:r>
          </w:p>
          <w:p>
            <w:pPr>
              <w:rPr>
                <w:rFonts w:ascii="Scala Sans OT" w:hAnsi="Scala Sans OT"/>
                <w:b/>
                <w:sz w:val="22"/>
                <w:szCs w:val="22"/>
              </w:rPr>
            </w:pPr>
            <w:r>
              <w:rPr>
                <w:rFonts w:ascii="Scala Sans OT" w:hAnsi="Scala Sans OT"/>
                <w:b/>
                <w:sz w:val="22"/>
                <w:szCs w:val="22"/>
              </w:rPr>
              <w:t>Nächstes Treffen:</w:t>
            </w:r>
            <w:r>
              <w:rPr>
                <w:rFonts w:ascii="Scala Sans OT" w:hAnsi="Scala Sans OT"/>
                <w:sz w:val="22"/>
                <w:szCs w:val="22"/>
              </w:rPr>
              <w:t xml:space="preserve"> Donnerstag, 30.01.2020, 11-12 Uhr im Lagezentrum</w:t>
            </w: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sdt>
      <w:sdtPr>
        <w:id w:val="-1882548761"/>
        <w:docPartObj>
          <w:docPartGallery w:val="Page Numbers (Bottom of Page)"/>
          <w:docPartUnique/>
        </w:docPartObj>
      </w:sdtPr>
      <w:sdtContent>
        <w:bookmarkStart w:id="0" w:name="_GoBack"/>
        <w:bookmarkEnd w:id="0"/>
      </w:sdtContent>
    </w:sdt>
  </w:p>
  <w:p>
    <w:pPr>
      <w:pStyle w:val="Fuzeile"/>
      <w:ind w:right="360"/>
      <w:rPr>
        <w:i/>
        <w:color w:val="7F7F7F" w:themeColor="text1" w:themeTint="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AC0"/>
    <w:multiLevelType w:val="hybridMultilevel"/>
    <w:tmpl w:val="1D8032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0737A1"/>
    <w:multiLevelType w:val="hybridMultilevel"/>
    <w:tmpl w:val="E1563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54D18A2"/>
    <w:multiLevelType w:val="hybridMultilevel"/>
    <w:tmpl w:val="82406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D97345"/>
    <w:multiLevelType w:val="hybridMultilevel"/>
    <w:tmpl w:val="10306642"/>
    <w:lvl w:ilvl="0" w:tplc="04070001">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FE7E2F"/>
    <w:multiLevelType w:val="hybridMultilevel"/>
    <w:tmpl w:val="5E30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084926"/>
    <w:multiLevelType w:val="hybridMultilevel"/>
    <w:tmpl w:val="1124D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0F3D84"/>
    <w:multiLevelType w:val="hybridMultilevel"/>
    <w:tmpl w:val="4C6AFB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97510B"/>
    <w:multiLevelType w:val="hybridMultilevel"/>
    <w:tmpl w:val="B95C8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3D3469"/>
    <w:multiLevelType w:val="hybridMultilevel"/>
    <w:tmpl w:val="5C12724C"/>
    <w:lvl w:ilvl="0" w:tplc="CCBAB72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3A7185D"/>
    <w:multiLevelType w:val="hybridMultilevel"/>
    <w:tmpl w:val="C42A2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292106"/>
    <w:multiLevelType w:val="hybridMultilevel"/>
    <w:tmpl w:val="C248C2BA"/>
    <w:lvl w:ilvl="0" w:tplc="05723B2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FD59C2"/>
    <w:multiLevelType w:val="hybridMultilevel"/>
    <w:tmpl w:val="25D008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800365F"/>
    <w:multiLevelType w:val="hybridMultilevel"/>
    <w:tmpl w:val="22822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CF1670"/>
    <w:multiLevelType w:val="hybridMultilevel"/>
    <w:tmpl w:val="E52EAE58"/>
    <w:lvl w:ilvl="0" w:tplc="0F2A248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60FE350B"/>
    <w:multiLevelType w:val="hybridMultilevel"/>
    <w:tmpl w:val="8B28D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68423BF"/>
    <w:multiLevelType w:val="hybridMultilevel"/>
    <w:tmpl w:val="BBDEB7E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95589"/>
    <w:multiLevelType w:val="hybridMultilevel"/>
    <w:tmpl w:val="4F4C9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41"/>
  </w:num>
  <w:num w:numId="4">
    <w:abstractNumId w:val="21"/>
  </w:num>
  <w:num w:numId="5">
    <w:abstractNumId w:val="27"/>
  </w:num>
  <w:num w:numId="6">
    <w:abstractNumId w:val="13"/>
  </w:num>
  <w:num w:numId="7">
    <w:abstractNumId w:val="7"/>
  </w:num>
  <w:num w:numId="8">
    <w:abstractNumId w:val="18"/>
  </w:num>
  <w:num w:numId="9">
    <w:abstractNumId w:val="15"/>
  </w:num>
  <w:num w:numId="10">
    <w:abstractNumId w:val="26"/>
  </w:num>
  <w:num w:numId="11">
    <w:abstractNumId w:val="9"/>
  </w:num>
  <w:num w:numId="12">
    <w:abstractNumId w:val="22"/>
  </w:num>
  <w:num w:numId="13">
    <w:abstractNumId w:val="40"/>
  </w:num>
  <w:num w:numId="14">
    <w:abstractNumId w:val="31"/>
  </w:num>
  <w:num w:numId="15">
    <w:abstractNumId w:val="35"/>
  </w:num>
  <w:num w:numId="16">
    <w:abstractNumId w:val="39"/>
  </w:num>
  <w:num w:numId="17">
    <w:abstractNumId w:val="6"/>
  </w:num>
  <w:num w:numId="18">
    <w:abstractNumId w:val="30"/>
  </w:num>
  <w:num w:numId="19">
    <w:abstractNumId w:val="2"/>
  </w:num>
  <w:num w:numId="20">
    <w:abstractNumId w:val="14"/>
  </w:num>
  <w:num w:numId="21">
    <w:abstractNumId w:val="29"/>
  </w:num>
  <w:num w:numId="22">
    <w:abstractNumId w:val="11"/>
  </w:num>
  <w:num w:numId="23">
    <w:abstractNumId w:val="17"/>
  </w:num>
  <w:num w:numId="24">
    <w:abstractNumId w:val="16"/>
  </w:num>
  <w:num w:numId="25">
    <w:abstractNumId w:val="37"/>
  </w:num>
  <w:num w:numId="26">
    <w:abstractNumId w:val="28"/>
  </w:num>
  <w:num w:numId="27">
    <w:abstractNumId w:val="4"/>
  </w:num>
  <w:num w:numId="28">
    <w:abstractNumId w:val="19"/>
  </w:num>
  <w:num w:numId="29">
    <w:abstractNumId w:val="3"/>
  </w:num>
  <w:num w:numId="30">
    <w:abstractNumId w:val="1"/>
  </w:num>
  <w:num w:numId="31">
    <w:abstractNumId w:val="34"/>
  </w:num>
  <w:num w:numId="32">
    <w:abstractNumId w:val="24"/>
  </w:num>
  <w:num w:numId="33">
    <w:abstractNumId w:val="38"/>
  </w:num>
  <w:num w:numId="34">
    <w:abstractNumId w:val="25"/>
  </w:num>
  <w:num w:numId="35">
    <w:abstractNumId w:val="36"/>
  </w:num>
  <w:num w:numId="36">
    <w:abstractNumId w:val="12"/>
  </w:num>
  <w:num w:numId="37">
    <w:abstractNumId w:val="20"/>
  </w:num>
  <w:num w:numId="38">
    <w:abstractNumId w:val="23"/>
  </w:num>
  <w:num w:numId="39">
    <w:abstractNumId w:val="5"/>
  </w:num>
  <w:num w:numId="40">
    <w:abstractNumId w:val="32"/>
  </w:num>
  <w:num w:numId="41">
    <w:abstractNumId w:val="10"/>
  </w:num>
  <w:num w:numId="42">
    <w:abstractNumId w:val="33"/>
  </w:num>
  <w:num w:numId="43">
    <w:abstractNumId w:val="0"/>
  </w:num>
  <w:num w:numId="44">
    <w:abstractNumId w:val="4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DA1F1CB8-6F2B-4A0B-8DA8-E9CA0F07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75050273">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59501445">
      <w:bodyDiv w:val="1"/>
      <w:marLeft w:val="0"/>
      <w:marRight w:val="0"/>
      <w:marTop w:val="0"/>
      <w:marBottom w:val="0"/>
      <w:divBdr>
        <w:top w:val="none" w:sz="0" w:space="0" w:color="auto"/>
        <w:left w:val="none" w:sz="0" w:space="0" w:color="auto"/>
        <w:bottom w:val="none" w:sz="0" w:space="0" w:color="auto"/>
        <w:right w:val="none" w:sz="0" w:space="0" w:color="auto"/>
      </w:divBdr>
    </w:div>
    <w:div w:id="207226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ki.de/DE/Content/InfAZ/N/Neuartiges_Coronavirus/Vorl_Testung_nCoV.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9FAD9635099E468F873E69029FBCE6AB"/>
        <w:category>
          <w:name w:val="Allgemein"/>
          <w:gallery w:val="placeholder"/>
        </w:category>
        <w:types>
          <w:type w:val="bbPlcHdr"/>
        </w:types>
        <w:behaviors>
          <w:behavior w:val="content"/>
        </w:behaviors>
        <w:guid w:val="{5DB1AB59-3B67-49ED-9EAE-37193E6DC85C}"/>
      </w:docPartPr>
      <w:docPartBody>
        <w:p>
          <w:pPr>
            <w:pStyle w:val="9FAD9635099E468F873E69029FBCE6AB"/>
          </w:pPr>
          <w:r>
            <w:rPr>
              <w:rStyle w:val="Platzhaltertext"/>
            </w:rPr>
            <w:t>Klicken Sie hier, um Text einzugeben.</w:t>
          </w:r>
        </w:p>
      </w:docPartBody>
    </w:docPart>
    <w:docPart>
      <w:docPartPr>
        <w:name w:val="A4BD05692A9C4EF3BF9F20A0DA9C42F0"/>
        <w:category>
          <w:name w:val="Allgemein"/>
          <w:gallery w:val="placeholder"/>
        </w:category>
        <w:types>
          <w:type w:val="bbPlcHdr"/>
        </w:types>
        <w:behaviors>
          <w:behavior w:val="content"/>
        </w:behaviors>
        <w:guid w:val="{AB1365D2-93FA-47F4-9D7F-47D37680F57D}"/>
      </w:docPartPr>
      <w:docPartBody>
        <w:p>
          <w:pPr>
            <w:pStyle w:val="A4BD05692A9C4EF3BF9F20A0DA9C42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0330"/>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9FAD9635099E468F873E69029FBCE6AB">
    <w:name w:val="9FAD9635099E468F873E69029FBCE6AB"/>
    <w:rsid w:val="00C437DC"/>
  </w:style>
  <w:style w:type="paragraph" w:customStyle="1" w:styleId="A4BD05692A9C4EF3BF9F20A0DA9C42F0">
    <w:name w:val="A4BD05692A9C4EF3BF9F20A0DA9C42F0"/>
    <w:rsid w:val="00C437DC"/>
  </w:style>
  <w:style w:type="paragraph" w:customStyle="1" w:styleId="003FBFB02D7C4AD6A9D6839EBD02823E">
    <w:name w:val="003FBFB02D7C4AD6A9D6839EBD02823E"/>
    <w:rsid w:val="005D0330"/>
  </w:style>
  <w:style w:type="paragraph" w:customStyle="1" w:styleId="924F9099D073481D93572205F4513B19">
    <w:name w:val="924F9099D073481D93572205F4513B19"/>
    <w:rsid w:val="005D0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41453-7AC5-4E44-A2C0-73274B39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9526</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Hamouda, Osamah</dc:creator>
  <cp:lastModifiedBy>Grote, Ulrike</cp:lastModifiedBy>
  <cp:revision>4</cp:revision>
  <dcterms:created xsi:type="dcterms:W3CDTF">2020-01-29T21:04:00Z</dcterms:created>
  <dcterms:modified xsi:type="dcterms:W3CDTF">2021-04-12T13:45:00Z</dcterms:modified>
</cp:coreProperties>
</file>