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AG-Sitzung „Neuartiges Coronavirus (2019nCoV)-Lage“</w:t>
      </w:r>
    </w:p>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w:t>
              </w:r>
              <w:proofErr w:type="spellStart"/>
              <w:r>
                <w:rPr>
                  <w:sz w:val="22"/>
                </w:rPr>
                <w:t>nCoV</w:t>
              </w:r>
              <w:proofErr w:type="spellEnd"/>
              <w:r>
                <w:rPr>
                  <w:sz w:val="22"/>
                </w:rPr>
                <w:t>), Wuhan, China</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sz w:val="22"/>
            </w:rPr>
            <w:t>04.02.2020, 11:00-12:30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RKI, Lagezentrum Besprechungsraum</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17"/>
        </w:numPr>
        <w:spacing w:after="0"/>
        <w:contextualSpacing w:val="0"/>
        <w:rPr>
          <w:sz w:val="22"/>
        </w:rPr>
      </w:pPr>
      <w:r>
        <w:rPr>
          <w:sz w:val="22"/>
        </w:rPr>
        <w:t>Institutsleitung</w:t>
      </w:r>
    </w:p>
    <w:p>
      <w:pPr>
        <w:pStyle w:val="Listenabsatz"/>
        <w:numPr>
          <w:ilvl w:val="1"/>
          <w:numId w:val="7"/>
        </w:numPr>
        <w:spacing w:after="0"/>
        <w:contextualSpacing w:val="0"/>
        <w:rPr>
          <w:sz w:val="22"/>
        </w:rPr>
      </w:pPr>
      <w:r>
        <w:rPr>
          <w:sz w:val="22"/>
        </w:rPr>
        <w:t>Lars Schaade</w:t>
      </w:r>
    </w:p>
    <w:p>
      <w:pPr>
        <w:pStyle w:val="Listenabsatz"/>
        <w:numPr>
          <w:ilvl w:val="1"/>
          <w:numId w:val="7"/>
        </w:numPr>
        <w:spacing w:after="0"/>
        <w:contextualSpacing w:val="0"/>
        <w:rPr>
          <w:sz w:val="22"/>
        </w:rPr>
      </w:pPr>
      <w:r>
        <w:rPr>
          <w:sz w:val="22"/>
        </w:rPr>
        <w:t>Lothar Wieler (per Telefon)</w:t>
      </w:r>
    </w:p>
    <w:p>
      <w:pPr>
        <w:pStyle w:val="Listenabsatz"/>
        <w:numPr>
          <w:ilvl w:val="0"/>
          <w:numId w:val="7"/>
        </w:numPr>
        <w:spacing w:after="0"/>
        <w:contextualSpacing w:val="0"/>
        <w:rPr>
          <w:sz w:val="22"/>
        </w:rPr>
      </w:pPr>
      <w:r>
        <w:rPr>
          <w:sz w:val="22"/>
        </w:rPr>
        <w:t>Abteilung 1-Leitung</w:t>
      </w:r>
    </w:p>
    <w:p>
      <w:pPr>
        <w:pStyle w:val="Listenabsatz"/>
        <w:numPr>
          <w:ilvl w:val="1"/>
          <w:numId w:val="7"/>
        </w:numPr>
        <w:spacing w:after="0"/>
        <w:rPr>
          <w:sz w:val="22"/>
        </w:rPr>
      </w:pPr>
      <w:r>
        <w:rPr>
          <w:sz w:val="22"/>
        </w:rPr>
        <w:t xml:space="preserve"> -</w:t>
      </w:r>
    </w:p>
    <w:p>
      <w:pPr>
        <w:pStyle w:val="Listenabsatz"/>
        <w:numPr>
          <w:ilvl w:val="0"/>
          <w:numId w:val="7"/>
        </w:numPr>
        <w:spacing w:after="0"/>
        <w:rPr>
          <w:sz w:val="22"/>
        </w:rPr>
      </w:pPr>
      <w:r>
        <w:rPr>
          <w:sz w:val="22"/>
        </w:rPr>
        <w:t>Abteilung 3-Leitung</w:t>
      </w:r>
    </w:p>
    <w:p>
      <w:pPr>
        <w:pStyle w:val="Listenabsatz"/>
        <w:numPr>
          <w:ilvl w:val="1"/>
          <w:numId w:val="7"/>
        </w:numPr>
        <w:spacing w:after="0"/>
        <w:contextualSpacing w:val="0"/>
        <w:rPr>
          <w:sz w:val="22"/>
        </w:rPr>
      </w:pPr>
      <w:r>
        <w:rPr>
          <w:sz w:val="22"/>
        </w:rPr>
        <w:t>-</w:t>
      </w:r>
    </w:p>
    <w:p>
      <w:pPr>
        <w:pStyle w:val="Listenabsatz"/>
        <w:numPr>
          <w:ilvl w:val="0"/>
          <w:numId w:val="17"/>
        </w:numPr>
        <w:spacing w:after="0"/>
        <w:contextualSpacing w:val="0"/>
        <w:rPr>
          <w:sz w:val="22"/>
        </w:rPr>
      </w:pPr>
      <w:r>
        <w:rPr>
          <w:sz w:val="22"/>
        </w:rPr>
        <w:t>FG14</w:t>
      </w:r>
    </w:p>
    <w:p>
      <w:pPr>
        <w:pStyle w:val="Listenabsatz"/>
        <w:numPr>
          <w:ilvl w:val="1"/>
          <w:numId w:val="7"/>
        </w:numPr>
        <w:spacing w:after="0"/>
        <w:contextualSpacing w:val="0"/>
        <w:rPr>
          <w:sz w:val="22"/>
        </w:rPr>
      </w:pPr>
      <w:r>
        <w:rPr>
          <w:sz w:val="22"/>
        </w:rPr>
        <w:t>Melanie Brunke</w:t>
      </w:r>
    </w:p>
    <w:p>
      <w:pPr>
        <w:pStyle w:val="Listenabsatz"/>
        <w:numPr>
          <w:ilvl w:val="0"/>
          <w:numId w:val="17"/>
        </w:numPr>
        <w:spacing w:after="0"/>
        <w:contextualSpacing w:val="0"/>
        <w:rPr>
          <w:sz w:val="22"/>
        </w:rPr>
      </w:pPr>
      <w:r>
        <w:rPr>
          <w:sz w:val="22"/>
        </w:rPr>
        <w:t>FG17</w:t>
      </w:r>
    </w:p>
    <w:p>
      <w:pPr>
        <w:pStyle w:val="Listenabsatz"/>
        <w:numPr>
          <w:ilvl w:val="1"/>
          <w:numId w:val="17"/>
        </w:numPr>
        <w:spacing w:after="0"/>
        <w:contextualSpacing w:val="0"/>
        <w:rPr>
          <w:sz w:val="22"/>
        </w:rPr>
      </w:pPr>
      <w:r>
        <w:rPr>
          <w:sz w:val="22"/>
        </w:rPr>
        <w:t xml:space="preserve">Thorsten Wolff </w:t>
      </w:r>
    </w:p>
    <w:p>
      <w:pPr>
        <w:pStyle w:val="Listenabsatz"/>
        <w:numPr>
          <w:ilvl w:val="0"/>
          <w:numId w:val="18"/>
        </w:numPr>
        <w:spacing w:after="0"/>
        <w:contextualSpacing w:val="0"/>
        <w:rPr>
          <w:sz w:val="22"/>
        </w:rPr>
      </w:pPr>
      <w:r>
        <w:rPr>
          <w:sz w:val="22"/>
        </w:rPr>
        <w:t>FG 32</w:t>
      </w:r>
    </w:p>
    <w:p>
      <w:pPr>
        <w:pStyle w:val="Listenabsatz"/>
        <w:numPr>
          <w:ilvl w:val="1"/>
          <w:numId w:val="7"/>
        </w:numPr>
        <w:spacing w:after="0"/>
        <w:contextualSpacing w:val="0"/>
        <w:rPr>
          <w:sz w:val="22"/>
        </w:rPr>
      </w:pPr>
      <w:r>
        <w:rPr>
          <w:sz w:val="22"/>
        </w:rPr>
        <w:t>Ute Rexroth</w:t>
      </w:r>
    </w:p>
    <w:p>
      <w:pPr>
        <w:pStyle w:val="Listenabsatz"/>
        <w:numPr>
          <w:ilvl w:val="1"/>
          <w:numId w:val="7"/>
        </w:numPr>
        <w:spacing w:after="0"/>
        <w:contextualSpacing w:val="0"/>
        <w:rPr>
          <w:sz w:val="22"/>
        </w:rPr>
      </w:pPr>
      <w:r>
        <w:rPr>
          <w:sz w:val="22"/>
        </w:rPr>
        <w:t xml:space="preserve">Maria an der Heiden </w:t>
      </w:r>
    </w:p>
    <w:p>
      <w:pPr>
        <w:pStyle w:val="Listenabsatz"/>
        <w:numPr>
          <w:ilvl w:val="1"/>
          <w:numId w:val="7"/>
        </w:numPr>
        <w:spacing w:after="0"/>
        <w:contextualSpacing w:val="0"/>
        <w:rPr>
          <w:sz w:val="22"/>
        </w:rPr>
      </w:pPr>
      <w:r>
        <w:rPr>
          <w:sz w:val="22"/>
        </w:rPr>
        <w:t>Inessa Markus (Protokoll)</w:t>
      </w:r>
    </w:p>
    <w:p>
      <w:pPr>
        <w:pStyle w:val="Listenabsatz"/>
        <w:numPr>
          <w:ilvl w:val="0"/>
          <w:numId w:val="7"/>
        </w:numPr>
        <w:spacing w:after="0"/>
        <w:contextualSpacing w:val="0"/>
        <w:rPr>
          <w:sz w:val="22"/>
        </w:rPr>
      </w:pPr>
      <w:r>
        <w:rPr>
          <w:sz w:val="22"/>
        </w:rPr>
        <w:t>FG 33</w:t>
      </w:r>
    </w:p>
    <w:p>
      <w:pPr>
        <w:pStyle w:val="Listenabsatz"/>
        <w:numPr>
          <w:ilvl w:val="1"/>
          <w:numId w:val="7"/>
        </w:numPr>
        <w:spacing w:after="0"/>
        <w:contextualSpacing w:val="0"/>
        <w:rPr>
          <w:sz w:val="22"/>
        </w:rPr>
      </w:pPr>
      <w:r>
        <w:rPr>
          <w:sz w:val="22"/>
        </w:rPr>
        <w:t>Anette Siedler</w:t>
      </w:r>
    </w:p>
    <w:p>
      <w:pPr>
        <w:pStyle w:val="Listenabsatz"/>
        <w:numPr>
          <w:ilvl w:val="0"/>
          <w:numId w:val="7"/>
        </w:numPr>
        <w:spacing w:after="0"/>
        <w:contextualSpacing w:val="0"/>
        <w:rPr>
          <w:sz w:val="22"/>
        </w:rPr>
      </w:pPr>
      <w:r>
        <w:rPr>
          <w:sz w:val="22"/>
        </w:rPr>
        <w:t>FG 37</w:t>
      </w:r>
    </w:p>
    <w:p>
      <w:pPr>
        <w:pStyle w:val="Listenabsatz"/>
        <w:numPr>
          <w:ilvl w:val="1"/>
          <w:numId w:val="7"/>
        </w:numPr>
        <w:spacing w:after="0"/>
        <w:contextualSpacing w:val="0"/>
        <w:rPr>
          <w:sz w:val="22"/>
        </w:rPr>
      </w:pPr>
      <w:r>
        <w:rPr>
          <w:sz w:val="22"/>
        </w:rPr>
        <w:t xml:space="preserve">Muna Abu Sin </w:t>
      </w:r>
    </w:p>
    <w:p>
      <w:pPr>
        <w:pStyle w:val="Listenabsatz"/>
        <w:numPr>
          <w:ilvl w:val="0"/>
          <w:numId w:val="7"/>
        </w:numPr>
        <w:spacing w:after="0"/>
        <w:contextualSpacing w:val="0"/>
        <w:rPr>
          <w:sz w:val="22"/>
        </w:rPr>
      </w:pPr>
      <w:r>
        <w:rPr>
          <w:sz w:val="22"/>
        </w:rPr>
        <w:t>FG36</w:t>
      </w:r>
    </w:p>
    <w:p>
      <w:pPr>
        <w:pStyle w:val="Listenabsatz"/>
        <w:numPr>
          <w:ilvl w:val="1"/>
          <w:numId w:val="7"/>
        </w:numPr>
        <w:spacing w:after="0"/>
        <w:contextualSpacing w:val="0"/>
        <w:rPr>
          <w:sz w:val="22"/>
        </w:rPr>
      </w:pPr>
      <w:r>
        <w:rPr>
          <w:sz w:val="22"/>
        </w:rPr>
        <w:t>Walter Haas</w:t>
      </w:r>
    </w:p>
    <w:p>
      <w:pPr>
        <w:pStyle w:val="Listenabsatz"/>
        <w:numPr>
          <w:ilvl w:val="0"/>
          <w:numId w:val="17"/>
        </w:numPr>
        <w:spacing w:after="0"/>
        <w:contextualSpacing w:val="0"/>
        <w:rPr>
          <w:sz w:val="22"/>
        </w:rPr>
      </w:pPr>
      <w:r>
        <w:rPr>
          <w:sz w:val="22"/>
        </w:rPr>
        <w:t>IBBS</w:t>
      </w:r>
    </w:p>
    <w:p>
      <w:pPr>
        <w:pStyle w:val="Listenabsatz"/>
        <w:numPr>
          <w:ilvl w:val="1"/>
          <w:numId w:val="17"/>
        </w:numPr>
        <w:spacing w:after="0"/>
        <w:contextualSpacing w:val="0"/>
        <w:rPr>
          <w:sz w:val="22"/>
        </w:rPr>
      </w:pPr>
      <w:r>
        <w:rPr>
          <w:sz w:val="22"/>
        </w:rPr>
        <w:t>Bettina Ruehe</w:t>
      </w:r>
    </w:p>
    <w:p>
      <w:pPr>
        <w:pStyle w:val="Listenabsatz"/>
        <w:numPr>
          <w:ilvl w:val="0"/>
          <w:numId w:val="17"/>
        </w:numPr>
        <w:spacing w:after="0"/>
        <w:contextualSpacing w:val="0"/>
        <w:rPr>
          <w:sz w:val="22"/>
        </w:rPr>
      </w:pPr>
      <w:r>
        <w:rPr>
          <w:sz w:val="22"/>
        </w:rPr>
        <w:t>L1 Rechtsreferat</w:t>
      </w:r>
    </w:p>
    <w:p>
      <w:pPr>
        <w:pStyle w:val="Listenabsatz"/>
        <w:numPr>
          <w:ilvl w:val="1"/>
          <w:numId w:val="17"/>
        </w:numPr>
        <w:spacing w:after="0"/>
        <w:contextualSpacing w:val="0"/>
        <w:rPr>
          <w:sz w:val="22"/>
        </w:rPr>
      </w:pPr>
      <w:r>
        <w:rPr>
          <w:sz w:val="22"/>
        </w:rPr>
        <w:t>Mehlitz (per Telefon)</w:t>
      </w:r>
    </w:p>
    <w:p>
      <w:pPr>
        <w:pStyle w:val="Listenabsatz"/>
        <w:numPr>
          <w:ilvl w:val="1"/>
          <w:numId w:val="17"/>
        </w:numPr>
        <w:spacing w:after="0"/>
        <w:contextualSpacing w:val="0"/>
        <w:rPr>
          <w:sz w:val="22"/>
        </w:rPr>
      </w:pPr>
      <w:r>
        <w:rPr>
          <w:sz w:val="22"/>
        </w:rPr>
        <w:t>Fouquet</w:t>
      </w:r>
    </w:p>
    <w:p>
      <w:pPr>
        <w:pStyle w:val="Listenabsatz"/>
        <w:numPr>
          <w:ilvl w:val="0"/>
          <w:numId w:val="17"/>
        </w:numPr>
        <w:spacing w:after="0"/>
        <w:contextualSpacing w:val="0"/>
        <w:rPr>
          <w:sz w:val="22"/>
        </w:rPr>
      </w:pPr>
      <w:r>
        <w:rPr>
          <w:sz w:val="22"/>
        </w:rPr>
        <w:t>Presse</w:t>
      </w:r>
    </w:p>
    <w:p>
      <w:pPr>
        <w:pStyle w:val="Listenabsatz"/>
        <w:numPr>
          <w:ilvl w:val="1"/>
          <w:numId w:val="7"/>
        </w:numPr>
        <w:spacing w:after="0"/>
        <w:contextualSpacing w:val="0"/>
        <w:rPr>
          <w:sz w:val="22"/>
        </w:rPr>
      </w:pPr>
      <w:r>
        <w:rPr>
          <w:sz w:val="22"/>
        </w:rPr>
        <w:t>Susanne Glasmacher</w:t>
      </w:r>
    </w:p>
    <w:p>
      <w:pPr>
        <w:pStyle w:val="Listenabsatz"/>
        <w:numPr>
          <w:ilvl w:val="0"/>
          <w:numId w:val="22"/>
        </w:numPr>
        <w:spacing w:after="0"/>
        <w:contextualSpacing w:val="0"/>
        <w:rPr>
          <w:sz w:val="22"/>
        </w:rPr>
      </w:pPr>
      <w:r>
        <w:rPr>
          <w:sz w:val="22"/>
        </w:rPr>
        <w:t>ZBS1</w:t>
      </w:r>
    </w:p>
    <w:p>
      <w:pPr>
        <w:pStyle w:val="Listenabsatz"/>
        <w:numPr>
          <w:ilvl w:val="1"/>
          <w:numId w:val="7"/>
        </w:numPr>
        <w:spacing w:after="0"/>
        <w:contextualSpacing w:val="0"/>
        <w:rPr>
          <w:sz w:val="22"/>
        </w:rPr>
      </w:pPr>
      <w:r>
        <w:rPr>
          <w:sz w:val="22"/>
        </w:rPr>
        <w:t>Janine Michel</w:t>
      </w:r>
    </w:p>
    <w:p>
      <w:pPr>
        <w:pStyle w:val="Listenabsatz"/>
        <w:numPr>
          <w:ilvl w:val="0"/>
          <w:numId w:val="7"/>
        </w:numPr>
        <w:spacing w:after="0"/>
        <w:contextualSpacing w:val="0"/>
        <w:rPr>
          <w:sz w:val="22"/>
        </w:rPr>
      </w:pPr>
      <w:r>
        <w:rPr>
          <w:sz w:val="22"/>
        </w:rPr>
        <w:t>ZBS2</w:t>
      </w:r>
    </w:p>
    <w:p>
      <w:pPr>
        <w:pStyle w:val="Listenabsatz"/>
        <w:numPr>
          <w:ilvl w:val="1"/>
          <w:numId w:val="7"/>
        </w:numPr>
        <w:spacing w:after="0"/>
        <w:contextualSpacing w:val="0"/>
        <w:rPr>
          <w:sz w:val="22"/>
        </w:rPr>
      </w:pPr>
      <w:r>
        <w:rPr>
          <w:sz w:val="22"/>
        </w:rPr>
        <w:t xml:space="preserve">Daniela Jacob </w:t>
      </w:r>
    </w:p>
    <w:p>
      <w:pPr>
        <w:pStyle w:val="Listenabsatz"/>
        <w:numPr>
          <w:ilvl w:val="0"/>
          <w:numId w:val="7"/>
        </w:numPr>
        <w:spacing w:after="0"/>
        <w:contextualSpacing w:val="0"/>
        <w:rPr>
          <w:sz w:val="22"/>
        </w:rPr>
      </w:pPr>
      <w:r>
        <w:rPr>
          <w:sz w:val="22"/>
        </w:rPr>
        <w:lastRenderedPageBreak/>
        <w:t>INIG</w:t>
      </w:r>
    </w:p>
    <w:p>
      <w:pPr>
        <w:pStyle w:val="Listenabsatz"/>
        <w:numPr>
          <w:ilvl w:val="1"/>
          <w:numId w:val="7"/>
        </w:numPr>
        <w:spacing w:after="0"/>
        <w:contextualSpacing w:val="0"/>
        <w:rPr>
          <w:sz w:val="22"/>
        </w:rPr>
      </w:pPr>
      <w:r>
        <w:rPr>
          <w:sz w:val="22"/>
        </w:rPr>
        <w:t>Basel Karo</w:t>
      </w:r>
    </w:p>
    <w:p>
      <w:pPr>
        <w:pStyle w:val="Listenabsatz"/>
        <w:numPr>
          <w:ilvl w:val="0"/>
          <w:numId w:val="7"/>
        </w:numPr>
        <w:spacing w:after="0"/>
        <w:contextualSpacing w:val="0"/>
        <w:rPr>
          <w:sz w:val="22"/>
        </w:rPr>
      </w:pPr>
      <w:r>
        <w:rPr>
          <w:sz w:val="22"/>
        </w:rPr>
        <w:t>Datenschutz</w:t>
      </w:r>
    </w:p>
    <w:p>
      <w:pPr>
        <w:pStyle w:val="Listenabsatz"/>
        <w:numPr>
          <w:ilvl w:val="1"/>
          <w:numId w:val="7"/>
        </w:numPr>
        <w:spacing w:after="0"/>
        <w:contextualSpacing w:val="0"/>
        <w:rPr>
          <w:sz w:val="22"/>
        </w:rPr>
      </w:pPr>
      <w:r>
        <w:rPr>
          <w:sz w:val="22"/>
        </w:rPr>
        <w:t xml:space="preserve">Marie </w:t>
      </w:r>
      <w:proofErr w:type="spellStart"/>
      <w:r>
        <w:rPr>
          <w:sz w:val="22"/>
        </w:rPr>
        <w:t>Reupke</w:t>
      </w:r>
      <w:proofErr w:type="spellEnd"/>
    </w:p>
    <w:p>
      <w:pPr>
        <w:spacing w:after="0"/>
        <w:rPr>
          <w:sz w:val="22"/>
        </w:rPr>
      </w:pPr>
    </w:p>
    <w:p>
      <w:pPr>
        <w:pStyle w:val="Listenabsatz"/>
        <w:numPr>
          <w:ilvl w:val="0"/>
          <w:numId w:val="7"/>
        </w:numPr>
        <w:spacing w:after="0"/>
        <w:contextualSpacing w:val="0"/>
        <w:rPr>
          <w:sz w:val="22"/>
        </w:rPr>
      </w:pPr>
      <w:r>
        <w:rPr>
          <w:sz w:val="22"/>
        </w:rPr>
        <w:t>BZGA : N/A</w:t>
      </w:r>
    </w:p>
    <w:p>
      <w:pPr>
        <w:pStyle w:val="Listenabsatz"/>
        <w:numPr>
          <w:ilvl w:val="0"/>
          <w:numId w:val="7"/>
        </w:numPr>
        <w:spacing w:after="0"/>
        <w:contextualSpacing w:val="0"/>
        <w:rPr>
          <w:sz w:val="22"/>
        </w:rPr>
      </w:pPr>
      <w:r>
        <w:rPr>
          <w:sz w:val="22"/>
        </w:rPr>
        <w:t xml:space="preserve">Bundeswehr: Thomas </w:t>
      </w:r>
      <w:proofErr w:type="spellStart"/>
      <w:r>
        <w:rPr>
          <w:sz w:val="22"/>
        </w:rPr>
        <w:t>Harbaum</w:t>
      </w:r>
      <w:proofErr w:type="spellEnd"/>
      <w:r>
        <w:rPr>
          <w:sz w:val="22"/>
        </w:rPr>
        <w:t xml:space="preserve"> (per Telefon)</w:t>
      </w:r>
    </w:p>
    <w:p>
      <w:pPr>
        <w:spacing w:after="0"/>
        <w:rPr>
          <w:sz w:val="22"/>
        </w:rPr>
      </w:pPr>
      <w:r>
        <w:rPr>
          <w:sz w:val="22"/>
        </w:rPr>
        <w:t xml:space="preserve"> </w:t>
      </w:r>
    </w:p>
    <w:p>
      <w:r>
        <w:br w:type="page"/>
      </w:r>
    </w:p>
    <w:p/>
    <w:tbl>
      <w:tblPr>
        <w:tblStyle w:val="Tabellenraster"/>
        <w:tblW w:w="8971" w:type="dxa"/>
        <w:tblLayout w:type="fixed"/>
        <w:tblLook w:val="00A0" w:firstRow="1" w:lastRow="0" w:firstColumn="1" w:lastColumn="0" w:noHBand="0" w:noVBand="0"/>
      </w:tblPr>
      <w:tblGrid>
        <w:gridCol w:w="684"/>
        <w:gridCol w:w="7079"/>
        <w:gridCol w:w="1208"/>
      </w:tblGrid>
      <w:tr>
        <w:tc>
          <w:tcPr>
            <w:tcW w:w="684" w:type="dxa"/>
          </w:tcPr>
          <w:p>
            <w:pPr>
              <w:rPr>
                <w:b/>
              </w:rPr>
            </w:pPr>
            <w:r>
              <w:rPr>
                <w:b/>
              </w:rPr>
              <w:t>TOP</w:t>
            </w:r>
          </w:p>
        </w:tc>
        <w:tc>
          <w:tcPr>
            <w:tcW w:w="7079" w:type="dxa"/>
          </w:tcPr>
          <w:p>
            <w:pPr>
              <w:rPr>
                <w:b/>
              </w:rPr>
            </w:pPr>
            <w:r>
              <w:rPr>
                <w:b/>
              </w:rPr>
              <w:t>Beitrag/Thema</w:t>
            </w:r>
          </w:p>
        </w:tc>
        <w:tc>
          <w:tcPr>
            <w:tcW w:w="1208" w:type="dxa"/>
          </w:tcPr>
          <w:p>
            <w:pPr>
              <w:rPr>
                <w:b/>
              </w:rPr>
            </w:pPr>
            <w:r>
              <w:rPr>
                <w:b/>
              </w:rPr>
              <w:t>eingebracht von</w:t>
            </w:r>
          </w:p>
        </w:tc>
      </w:tr>
      <w:tr>
        <w:tc>
          <w:tcPr>
            <w:tcW w:w="684" w:type="dxa"/>
          </w:tcPr>
          <w:p>
            <w:pPr>
              <w:rPr>
                <w:b/>
              </w:rPr>
            </w:pPr>
            <w:r>
              <w:rPr>
                <w:b/>
              </w:rPr>
              <w:t>1</w:t>
            </w:r>
          </w:p>
        </w:tc>
        <w:tc>
          <w:tcPr>
            <w:tcW w:w="7079" w:type="dxa"/>
          </w:tcPr>
          <w:p>
            <w:pPr>
              <w:rPr>
                <w:b/>
                <w:sz w:val="28"/>
              </w:rPr>
            </w:pPr>
            <w:r>
              <w:rPr>
                <w:b/>
                <w:sz w:val="28"/>
              </w:rPr>
              <w:t xml:space="preserve">Aktuelle Lage </w:t>
            </w:r>
          </w:p>
          <w:p>
            <w:pPr>
              <w:rPr>
                <w:b/>
                <w:sz w:val="28"/>
              </w:rPr>
            </w:pPr>
          </w:p>
          <w:p>
            <w:pPr>
              <w:rPr>
                <w:b/>
                <w:sz w:val="22"/>
                <w:szCs w:val="22"/>
              </w:rPr>
            </w:pPr>
            <w:r>
              <w:rPr>
                <w:b/>
                <w:sz w:val="22"/>
                <w:szCs w:val="22"/>
              </w:rPr>
              <w:t xml:space="preserve">Aktuelle Lage – International </w:t>
            </w:r>
          </w:p>
          <w:p>
            <w:pPr>
              <w:pStyle w:val="Listenabsatz"/>
              <w:numPr>
                <w:ilvl w:val="0"/>
                <w:numId w:val="31"/>
              </w:numPr>
              <w:rPr>
                <w:sz w:val="22"/>
                <w:szCs w:val="22"/>
              </w:rPr>
            </w:pPr>
            <w:r>
              <w:rPr>
                <w:sz w:val="22"/>
                <w:szCs w:val="22"/>
              </w:rPr>
              <w:t>Weltweit 20.639 Fälle</w:t>
            </w:r>
          </w:p>
          <w:p>
            <w:pPr>
              <w:pStyle w:val="Listenabsatz"/>
              <w:numPr>
                <w:ilvl w:val="0"/>
                <w:numId w:val="31"/>
              </w:numPr>
              <w:rPr>
                <w:sz w:val="22"/>
                <w:szCs w:val="22"/>
              </w:rPr>
            </w:pPr>
            <w:r>
              <w:rPr>
                <w:sz w:val="22"/>
                <w:szCs w:val="22"/>
              </w:rPr>
              <w:t>China: 20.480 Fälle (von Gestern + 3.240 Fälle), davon 11.177 (60%) in der Provinz Hubei (inkl. Wuhan).</w:t>
            </w:r>
          </w:p>
          <w:p>
            <w:pPr>
              <w:pStyle w:val="Listenabsatz"/>
              <w:numPr>
                <w:ilvl w:val="0"/>
                <w:numId w:val="31"/>
              </w:numPr>
              <w:rPr>
                <w:sz w:val="22"/>
                <w:szCs w:val="22"/>
              </w:rPr>
            </w:pPr>
            <w:r>
              <w:rPr>
                <w:sz w:val="22"/>
                <w:szCs w:val="22"/>
              </w:rPr>
              <w:t>426 Todesfälle (alle in China bis auf einen auf den Philippinen)</w:t>
            </w:r>
          </w:p>
          <w:p>
            <w:pPr>
              <w:pStyle w:val="Listenabsatz"/>
              <w:numPr>
                <w:ilvl w:val="0"/>
                <w:numId w:val="42"/>
              </w:numPr>
              <w:rPr>
                <w:sz w:val="22"/>
                <w:szCs w:val="22"/>
              </w:rPr>
            </w:pPr>
            <w:r>
              <w:rPr>
                <w:sz w:val="22"/>
                <w:szCs w:val="22"/>
              </w:rPr>
              <w:t xml:space="preserve">   Todesfall in Hongkong: 39 jähriger Mann mit einer Vorerkrankung</w:t>
            </w:r>
          </w:p>
          <w:p>
            <w:pPr>
              <w:pStyle w:val="Listenabsatz"/>
              <w:numPr>
                <w:ilvl w:val="0"/>
                <w:numId w:val="47"/>
              </w:numPr>
              <w:rPr>
                <w:sz w:val="22"/>
                <w:szCs w:val="22"/>
              </w:rPr>
            </w:pPr>
            <w:r>
              <w:rPr>
                <w:sz w:val="22"/>
                <w:szCs w:val="22"/>
              </w:rPr>
              <w:t>2.788 mit schwerem Krankheitsverlauf</w:t>
            </w:r>
          </w:p>
          <w:p>
            <w:pPr>
              <w:pStyle w:val="Listenabsatz"/>
              <w:numPr>
                <w:ilvl w:val="0"/>
                <w:numId w:val="47"/>
              </w:numPr>
              <w:rPr>
                <w:sz w:val="22"/>
                <w:szCs w:val="22"/>
              </w:rPr>
            </w:pPr>
            <w:r>
              <w:rPr>
                <w:sz w:val="22"/>
                <w:szCs w:val="22"/>
              </w:rPr>
              <w:t>632 sind genesen</w:t>
            </w:r>
          </w:p>
          <w:p>
            <w:pPr>
              <w:pStyle w:val="Listenabsatz"/>
              <w:rPr>
                <w:sz w:val="22"/>
                <w:szCs w:val="22"/>
              </w:rPr>
            </w:pPr>
          </w:p>
          <w:p>
            <w:pPr>
              <w:pStyle w:val="Listenabsatz"/>
              <w:numPr>
                <w:ilvl w:val="0"/>
                <w:numId w:val="31"/>
              </w:numPr>
              <w:rPr>
                <w:sz w:val="22"/>
                <w:szCs w:val="22"/>
              </w:rPr>
            </w:pPr>
            <w:r>
              <w:rPr>
                <w:sz w:val="22"/>
                <w:szCs w:val="22"/>
              </w:rPr>
              <w:t>25 Länder verzeichnen 159 Fälle, davon:</w:t>
            </w:r>
          </w:p>
          <w:p>
            <w:pPr>
              <w:pStyle w:val="Listenabsatz"/>
              <w:numPr>
                <w:ilvl w:val="0"/>
                <w:numId w:val="41"/>
              </w:numPr>
              <w:rPr>
                <w:sz w:val="22"/>
                <w:szCs w:val="22"/>
              </w:rPr>
            </w:pPr>
            <w:r>
              <w:rPr>
                <w:sz w:val="22"/>
                <w:szCs w:val="22"/>
              </w:rPr>
              <w:t xml:space="preserve">   1 Todesfall (Philippinen)</w:t>
            </w:r>
          </w:p>
          <w:p>
            <w:pPr>
              <w:pStyle w:val="Listenabsatz"/>
              <w:numPr>
                <w:ilvl w:val="0"/>
                <w:numId w:val="41"/>
              </w:numPr>
              <w:rPr>
                <w:sz w:val="22"/>
                <w:szCs w:val="22"/>
                <w:lang w:val="nl-NL"/>
              </w:rPr>
            </w:pPr>
            <w:r>
              <w:rPr>
                <w:sz w:val="22"/>
                <w:szCs w:val="22"/>
                <w:lang w:val="nl-NL"/>
              </w:rPr>
              <w:t xml:space="preserve">  25 Fälle in Europa (FR, DE, IT, SP, SE, UK, FI)</w:t>
            </w:r>
          </w:p>
          <w:p>
            <w:pPr>
              <w:pStyle w:val="Listenabsatz"/>
              <w:numPr>
                <w:ilvl w:val="0"/>
                <w:numId w:val="41"/>
              </w:numPr>
              <w:rPr>
                <w:sz w:val="22"/>
                <w:szCs w:val="22"/>
              </w:rPr>
            </w:pPr>
            <w:r>
              <w:rPr>
                <w:sz w:val="22"/>
                <w:szCs w:val="22"/>
                <w:lang w:val="nl-NL"/>
              </w:rPr>
              <w:t xml:space="preserve">  </w:t>
            </w:r>
            <w:r>
              <w:rPr>
                <w:sz w:val="22"/>
                <w:szCs w:val="22"/>
              </w:rPr>
              <w:t>1 schwerer Krankheitsfall (Frankreich)</w:t>
            </w:r>
          </w:p>
          <w:p>
            <w:pPr>
              <w:pStyle w:val="Listenabsatz"/>
              <w:rPr>
                <w:sz w:val="22"/>
                <w:szCs w:val="22"/>
              </w:rPr>
            </w:pPr>
            <w:r>
              <w:rPr>
                <w:sz w:val="22"/>
                <w:szCs w:val="22"/>
              </w:rPr>
              <w:t xml:space="preserve"> </w:t>
            </w:r>
          </w:p>
          <w:p>
            <w:pPr>
              <w:rPr>
                <w:b/>
                <w:i/>
                <w:sz w:val="22"/>
                <w:szCs w:val="22"/>
              </w:rPr>
            </w:pPr>
          </w:p>
          <w:p>
            <w:pPr>
              <w:rPr>
                <w:b/>
                <w:sz w:val="22"/>
                <w:szCs w:val="22"/>
              </w:rPr>
            </w:pPr>
            <w:r>
              <w:rPr>
                <w:b/>
                <w:sz w:val="22"/>
                <w:szCs w:val="22"/>
              </w:rPr>
              <w:t xml:space="preserve">Aktuelle Lage – National </w:t>
            </w:r>
          </w:p>
          <w:p>
            <w:pPr>
              <w:pStyle w:val="Listenabsatz"/>
              <w:numPr>
                <w:ilvl w:val="0"/>
                <w:numId w:val="29"/>
              </w:numPr>
              <w:rPr>
                <w:sz w:val="22"/>
                <w:szCs w:val="22"/>
              </w:rPr>
            </w:pPr>
            <w:commentRangeStart w:id="0"/>
            <w:r>
              <w:rPr>
                <w:sz w:val="22"/>
                <w:szCs w:val="22"/>
              </w:rPr>
              <w:t>13 Fälle in Deutschland, davon 9 in Bayern und 4 in Rheinland-Pfalz (</w:t>
            </w:r>
            <w:r>
              <w:rPr>
                <w:color w:val="FF0000"/>
                <w:sz w:val="22"/>
                <w:szCs w:val="22"/>
              </w:rPr>
              <w:t>derzeit hospitalisiert in Frankfurt</w:t>
            </w:r>
            <w:r>
              <w:rPr>
                <w:sz w:val="22"/>
                <w:szCs w:val="22"/>
              </w:rPr>
              <w:t xml:space="preserve">). </w:t>
            </w:r>
            <w:commentRangeEnd w:id="0"/>
            <w:r>
              <w:rPr>
                <w:rStyle w:val="Kommentarzeichen"/>
                <w:rFonts w:ascii="Scala Sans OT" w:hAnsi="Scala Sans OT"/>
                <w:lang w:eastAsia="de-DE"/>
              </w:rPr>
              <w:commentReference w:id="0"/>
            </w:r>
          </w:p>
          <w:p>
            <w:pPr>
              <w:pStyle w:val="Listenabsatz"/>
              <w:numPr>
                <w:ilvl w:val="0"/>
                <w:numId w:val="29"/>
              </w:numPr>
              <w:rPr>
                <w:sz w:val="22"/>
                <w:szCs w:val="22"/>
              </w:rPr>
            </w:pPr>
            <w:r>
              <w:rPr>
                <w:sz w:val="22"/>
                <w:szCs w:val="22"/>
              </w:rPr>
              <w:t xml:space="preserve">Ein neuer Fall in Bayern war bereits als Person 1. Grades im Rahmen der Kontaktnachverfolgung der Firma Webasto bekannt. Symptome sind nicht bekannt. Kontaktnachverfolgung ist eingeleitet. </w:t>
            </w:r>
          </w:p>
          <w:p>
            <w:pPr>
              <w:pStyle w:val="Listenabsatz"/>
              <w:numPr>
                <w:ilvl w:val="0"/>
                <w:numId w:val="29"/>
              </w:numPr>
              <w:rPr>
                <w:sz w:val="22"/>
                <w:szCs w:val="22"/>
              </w:rPr>
            </w:pPr>
            <w:r>
              <w:rPr>
                <w:sz w:val="22"/>
                <w:szCs w:val="22"/>
              </w:rPr>
              <w:t xml:space="preserve">2 weitere Fälle innerhalb der </w:t>
            </w:r>
            <w:proofErr w:type="spellStart"/>
            <w:r>
              <w:rPr>
                <w:sz w:val="22"/>
                <w:szCs w:val="22"/>
              </w:rPr>
              <w:t>kohortierten</w:t>
            </w:r>
            <w:proofErr w:type="spellEnd"/>
            <w:r>
              <w:rPr>
                <w:sz w:val="22"/>
                <w:szCs w:val="22"/>
              </w:rPr>
              <w:t xml:space="preserve"> Repatriierten in RLP. Die neuen Fälle gehören der bereits betroffenen Familie, sind symptomatisch und </w:t>
            </w:r>
            <w:commentRangeStart w:id="1"/>
            <w:r>
              <w:rPr>
                <w:sz w:val="22"/>
                <w:szCs w:val="22"/>
              </w:rPr>
              <w:t>wurden bereist isoliert</w:t>
            </w:r>
            <w:commentRangeEnd w:id="1"/>
            <w:r>
              <w:rPr>
                <w:rStyle w:val="Kommentarzeichen"/>
                <w:rFonts w:ascii="Scala Sans OT" w:hAnsi="Scala Sans OT"/>
                <w:lang w:eastAsia="de-DE"/>
              </w:rPr>
              <w:commentReference w:id="1"/>
            </w:r>
            <w:r>
              <w:rPr>
                <w:sz w:val="22"/>
                <w:szCs w:val="22"/>
              </w:rPr>
              <w:t xml:space="preserve">. </w:t>
            </w:r>
          </w:p>
          <w:p>
            <w:pPr>
              <w:pStyle w:val="Listenabsatz"/>
              <w:rPr>
                <w:i/>
                <w:sz w:val="22"/>
                <w:szCs w:val="22"/>
              </w:rPr>
            </w:pPr>
          </w:p>
          <w:p>
            <w:pPr>
              <w:rPr>
                <w:b/>
                <w:sz w:val="22"/>
                <w:szCs w:val="22"/>
              </w:rPr>
            </w:pPr>
            <w:r>
              <w:rPr>
                <w:b/>
                <w:sz w:val="22"/>
                <w:szCs w:val="22"/>
              </w:rPr>
              <w:t xml:space="preserve">RLP Germersheim </w:t>
            </w:r>
          </w:p>
          <w:p>
            <w:pPr>
              <w:pStyle w:val="Listenabsatz"/>
              <w:numPr>
                <w:ilvl w:val="0"/>
                <w:numId w:val="29"/>
              </w:numPr>
              <w:rPr>
                <w:sz w:val="22"/>
                <w:szCs w:val="22"/>
              </w:rPr>
            </w:pPr>
            <w:r>
              <w:rPr>
                <w:sz w:val="22"/>
                <w:szCs w:val="22"/>
              </w:rPr>
              <w:t xml:space="preserve">Amtshilfegesuch des zuständigen GA zur Umsetzung der Maßnahmen in der Liegenschaft Germersheim wurde an die Bundeswehr gestellt </w:t>
            </w:r>
          </w:p>
          <w:p>
            <w:pPr>
              <w:pStyle w:val="Listenabsatz"/>
              <w:numPr>
                <w:ilvl w:val="0"/>
                <w:numId w:val="29"/>
              </w:numPr>
              <w:rPr>
                <w:sz w:val="22"/>
                <w:szCs w:val="22"/>
              </w:rPr>
            </w:pPr>
            <w:r>
              <w:rPr>
                <w:sz w:val="22"/>
                <w:szCs w:val="22"/>
              </w:rPr>
              <w:t>Aktuell wird ein abgestimmter Aufgabenkatalog erstellt, der mit dem RKI geteilt werden kann, und die Bundeswehr plant v.a. personell mit einem Facharzt für ÖGD und einer Hygienefachkraft die Arbeit vor Ort unterstützen.</w:t>
            </w:r>
          </w:p>
          <w:p>
            <w:pPr>
              <w:pStyle w:val="Listenabsatz"/>
              <w:numPr>
                <w:ilvl w:val="0"/>
                <w:numId w:val="29"/>
              </w:numPr>
              <w:rPr>
                <w:sz w:val="22"/>
                <w:szCs w:val="22"/>
              </w:rPr>
            </w:pPr>
            <w:r>
              <w:rPr>
                <w:sz w:val="22"/>
                <w:szCs w:val="22"/>
              </w:rPr>
              <w:t xml:space="preserve">Die Verantwortlichkeit liegt weiterhin beim zuständigen GA. Es wurde gebeten alle zuständigen Akteure auf Landesebene (Seuchenreferenten und Landesamt) einzubeziehen und zu informieren. </w:t>
            </w:r>
          </w:p>
          <w:p/>
        </w:tc>
        <w:tc>
          <w:tcPr>
            <w:tcW w:w="1208" w:type="dxa"/>
          </w:tcPr>
          <w:p/>
          <w:p/>
          <w:p/>
          <w:p/>
          <w:p>
            <w:r>
              <w:t>INIG</w:t>
            </w:r>
          </w:p>
          <w:p/>
          <w:p/>
          <w:p/>
          <w:p/>
          <w:p/>
          <w:p/>
          <w:p/>
          <w:p/>
          <w:p/>
          <w:p/>
          <w:p/>
          <w:p/>
          <w:p/>
          <w:p>
            <w:r>
              <w:t xml:space="preserve">FG36 </w:t>
            </w:r>
          </w:p>
          <w:p/>
          <w:p/>
          <w:p/>
          <w:p/>
          <w:p/>
          <w:p/>
          <w:p/>
          <w:p/>
          <w:p/>
          <w:p/>
          <w:p>
            <w:r>
              <w:t>Bundeswehr/FG 32</w:t>
            </w:r>
          </w:p>
          <w:p/>
          <w:p/>
          <w:p/>
          <w:p/>
          <w:p/>
          <w:p/>
          <w:p/>
          <w:p/>
        </w:tc>
      </w:tr>
      <w:tr>
        <w:tc>
          <w:tcPr>
            <w:tcW w:w="684" w:type="dxa"/>
          </w:tcPr>
          <w:p>
            <w:pPr>
              <w:rPr>
                <w:b/>
              </w:rPr>
            </w:pPr>
            <w:r>
              <w:rPr>
                <w:b/>
              </w:rPr>
              <w:t>2</w:t>
            </w:r>
          </w:p>
        </w:tc>
        <w:tc>
          <w:tcPr>
            <w:tcW w:w="7079" w:type="dxa"/>
          </w:tcPr>
          <w:p>
            <w:pPr>
              <w:rPr>
                <w:b/>
                <w:sz w:val="28"/>
              </w:rPr>
            </w:pPr>
            <w:r>
              <w:rPr>
                <w:b/>
                <w:sz w:val="28"/>
              </w:rPr>
              <w:t>Erkenntnisse über Erreger</w:t>
            </w:r>
          </w:p>
          <w:p>
            <w:pPr>
              <w:rPr>
                <w:b/>
              </w:rPr>
            </w:pPr>
          </w:p>
          <w:p>
            <w:pPr>
              <w:rPr>
                <w:b/>
              </w:rPr>
            </w:pPr>
            <w:r>
              <w:rPr>
                <w:b/>
              </w:rPr>
              <w:t xml:space="preserve">Erreger Steckbrief </w:t>
            </w:r>
          </w:p>
          <w:p>
            <w:pPr>
              <w:pStyle w:val="Listenabsatz"/>
              <w:numPr>
                <w:ilvl w:val="0"/>
                <w:numId w:val="29"/>
              </w:numPr>
            </w:pPr>
            <w:r>
              <w:rPr>
                <w:sz w:val="22"/>
                <w:szCs w:val="22"/>
              </w:rPr>
              <w:lastRenderedPageBreak/>
              <w:t xml:space="preserve">Ist in Bearbeitung </w:t>
            </w:r>
          </w:p>
          <w:p>
            <w:pPr>
              <w:pStyle w:val="Listenabsatz"/>
            </w:pPr>
          </w:p>
          <w:p>
            <w:pPr>
              <w:rPr>
                <w:b/>
              </w:rPr>
            </w:pPr>
            <w:r>
              <w:rPr>
                <w:b/>
              </w:rPr>
              <w:t xml:space="preserve">Literatur </w:t>
            </w:r>
          </w:p>
          <w:p>
            <w:pPr>
              <w:pStyle w:val="Listenabsatz"/>
              <w:numPr>
                <w:ilvl w:val="0"/>
                <w:numId w:val="34"/>
              </w:numPr>
              <w:rPr>
                <w:i/>
                <w:sz w:val="22"/>
                <w:szCs w:val="22"/>
              </w:rPr>
            </w:pPr>
            <w:r>
              <w:rPr>
                <w:sz w:val="22"/>
                <w:szCs w:val="22"/>
              </w:rPr>
              <w:t>Es wurde angeregt eine zentrale Literatursuche bzw. Abfrage zum Thema „</w:t>
            </w:r>
            <w:proofErr w:type="spellStart"/>
            <w:r>
              <w:rPr>
                <w:sz w:val="22"/>
                <w:szCs w:val="22"/>
              </w:rPr>
              <w:t>nCOV</w:t>
            </w:r>
            <w:proofErr w:type="spellEnd"/>
            <w:r>
              <w:rPr>
                <w:sz w:val="22"/>
                <w:szCs w:val="22"/>
              </w:rPr>
              <w:t xml:space="preserve">“ beispielsweise durch die Bibliothek zu erstellen und zu aktualisieren. </w:t>
            </w:r>
          </w:p>
          <w:p>
            <w:pPr>
              <w:pStyle w:val="Listenabsatz"/>
              <w:rPr>
                <w:i/>
                <w:sz w:val="22"/>
                <w:szCs w:val="22"/>
              </w:rPr>
            </w:pPr>
          </w:p>
        </w:tc>
        <w:tc>
          <w:tcPr>
            <w:tcW w:w="1208" w:type="dxa"/>
          </w:tcPr>
          <w:p/>
          <w:p/>
          <w:p/>
          <w:p>
            <w:r>
              <w:lastRenderedPageBreak/>
              <w:t>FG36</w:t>
            </w:r>
          </w:p>
          <w:p/>
          <w:p/>
          <w:p>
            <w:r>
              <w:t>FG 36</w:t>
            </w:r>
          </w:p>
          <w:p/>
        </w:tc>
      </w:tr>
      <w:tr>
        <w:tc>
          <w:tcPr>
            <w:tcW w:w="684" w:type="dxa"/>
          </w:tcPr>
          <w:p>
            <w:pPr>
              <w:rPr>
                <w:b/>
              </w:rPr>
            </w:pPr>
            <w:r>
              <w:rPr>
                <w:b/>
              </w:rPr>
              <w:lastRenderedPageBreak/>
              <w:t>3</w:t>
            </w:r>
          </w:p>
        </w:tc>
        <w:tc>
          <w:tcPr>
            <w:tcW w:w="7079" w:type="dxa"/>
          </w:tcPr>
          <w:p>
            <w:pPr>
              <w:rPr>
                <w:b/>
              </w:rPr>
            </w:pPr>
            <w:r>
              <w:rPr>
                <w:b/>
              </w:rPr>
              <w:t>Aktuelle Risikobewertung</w:t>
            </w:r>
          </w:p>
          <w:p>
            <w:pPr>
              <w:rPr>
                <w:b/>
              </w:rPr>
            </w:pPr>
          </w:p>
          <w:p>
            <w:pPr>
              <w:rPr>
                <w:b/>
              </w:rPr>
            </w:pPr>
            <w:r>
              <w:rPr>
                <w:b/>
              </w:rPr>
              <w:t xml:space="preserve">Erweiterung um andere Provinzen, </w:t>
            </w:r>
            <w:proofErr w:type="spellStart"/>
            <w:r>
              <w:rPr>
                <w:b/>
              </w:rPr>
              <w:t>z.B</w:t>
            </w:r>
            <w:proofErr w:type="spellEnd"/>
            <w:r>
              <w:rPr>
                <w:b/>
              </w:rPr>
              <w:t>: Zhenjiang; Chengdu, Kanton (AA)</w:t>
            </w:r>
          </w:p>
          <w:p>
            <w:pPr>
              <w:rPr>
                <w:b/>
                <w:i/>
                <w:sz w:val="22"/>
                <w:szCs w:val="22"/>
              </w:rPr>
            </w:pPr>
          </w:p>
          <w:p>
            <w:pPr>
              <w:pStyle w:val="Listenabsatz"/>
              <w:numPr>
                <w:ilvl w:val="0"/>
                <w:numId w:val="29"/>
              </w:numPr>
              <w:ind w:left="360"/>
              <w:rPr>
                <w:sz w:val="22"/>
                <w:szCs w:val="22"/>
              </w:rPr>
            </w:pPr>
            <w:r>
              <w:rPr>
                <w:sz w:val="22"/>
                <w:szCs w:val="22"/>
              </w:rPr>
              <w:t>Die Erweiterung der Risikogebiete bedarf einer differenzierten Bewertung unterschiedlicher Faktoren (geographische Lage, aktuelle Inzidenz, den Trend, die durchgeführten Maßnahmen vor Ort, Vernetzung (Transport) lokal (</w:t>
            </w:r>
            <w:proofErr w:type="spellStart"/>
            <w:r>
              <w:rPr>
                <w:sz w:val="22"/>
                <w:szCs w:val="22"/>
              </w:rPr>
              <w:t>bsp.</w:t>
            </w:r>
            <w:proofErr w:type="spellEnd"/>
            <w:r>
              <w:rPr>
                <w:sz w:val="22"/>
                <w:szCs w:val="22"/>
              </w:rPr>
              <w:t xml:space="preserve"> Nach Hubei) und Vernetzung nach Deutschland (direkte Flugverbindungen)). Ein weiteres Kriterium sind die Implikation für die resultierenden Maßnahmen bzw. deren Umsetzung. Eine Erweiterung würde mit Maßnahmen in Deutschland einhergehen, eine schrittweise Erweiterung (einzelne Regionen) ist schwer zu begründen/kommunizieren. </w:t>
            </w:r>
          </w:p>
          <w:p>
            <w:pPr>
              <w:rPr>
                <w:sz w:val="22"/>
                <w:szCs w:val="22"/>
              </w:rPr>
            </w:pPr>
          </w:p>
        </w:tc>
        <w:tc>
          <w:tcPr>
            <w:tcW w:w="1208" w:type="dxa"/>
          </w:tcPr>
          <w:p>
            <w:r>
              <w:t>Alle</w:t>
            </w:r>
          </w:p>
        </w:tc>
      </w:tr>
      <w:tr>
        <w:trPr>
          <w:trHeight w:val="518"/>
        </w:trPr>
        <w:tc>
          <w:tcPr>
            <w:tcW w:w="684" w:type="dxa"/>
          </w:tcPr>
          <w:p>
            <w:pPr>
              <w:rPr>
                <w:b/>
              </w:rPr>
            </w:pPr>
            <w:r>
              <w:rPr>
                <w:b/>
              </w:rPr>
              <w:t>4</w:t>
            </w:r>
          </w:p>
        </w:tc>
        <w:tc>
          <w:tcPr>
            <w:tcW w:w="7079" w:type="dxa"/>
          </w:tcPr>
          <w:p>
            <w:pPr>
              <w:rPr>
                <w:b/>
                <w:sz w:val="28"/>
                <w:szCs w:val="28"/>
              </w:rPr>
            </w:pPr>
            <w:r>
              <w:rPr>
                <w:b/>
                <w:sz w:val="28"/>
                <w:szCs w:val="28"/>
              </w:rPr>
              <w:t>Kommunikation</w:t>
            </w:r>
          </w:p>
          <w:p>
            <w:pPr>
              <w:rPr>
                <w:b/>
                <w:i/>
                <w:sz w:val="22"/>
                <w:szCs w:val="22"/>
              </w:rPr>
            </w:pPr>
          </w:p>
          <w:p>
            <w:pPr>
              <w:rPr>
                <w:b/>
                <w:sz w:val="22"/>
                <w:szCs w:val="22"/>
              </w:rPr>
            </w:pPr>
            <w:r>
              <w:rPr>
                <w:b/>
                <w:sz w:val="22"/>
                <w:szCs w:val="22"/>
              </w:rPr>
              <w:t xml:space="preserve">Presseanfrage zu Quarantäne bei Reiserückkehrern aus Risikogebieten </w:t>
            </w:r>
          </w:p>
          <w:p>
            <w:pPr>
              <w:pStyle w:val="Listenabsatz"/>
              <w:numPr>
                <w:ilvl w:val="0"/>
                <w:numId w:val="44"/>
              </w:numPr>
              <w:rPr>
                <w:sz w:val="22"/>
                <w:szCs w:val="22"/>
              </w:rPr>
            </w:pPr>
            <w:r>
              <w:rPr>
                <w:sz w:val="22"/>
                <w:szCs w:val="22"/>
              </w:rPr>
              <w:t xml:space="preserve">Hierzu soll das Ergebnis der heutigen AGI </w:t>
            </w:r>
            <w:proofErr w:type="spellStart"/>
            <w:r>
              <w:rPr>
                <w:sz w:val="22"/>
                <w:szCs w:val="22"/>
              </w:rPr>
              <w:t>Tk</w:t>
            </w:r>
            <w:proofErr w:type="spellEnd"/>
            <w:r>
              <w:rPr>
                <w:sz w:val="22"/>
                <w:szCs w:val="22"/>
              </w:rPr>
              <w:t xml:space="preserve"> abgewartet werden Von Seiten des RKI wird eine zwischen Bund- und Ländern abgestimmte Empfehlung favorisiert, die eine freiwillige 14-tägige häusliche Absonderung vorsieht</w:t>
            </w:r>
          </w:p>
          <w:p>
            <w:pPr>
              <w:pStyle w:val="Listenabsatz"/>
              <w:numPr>
                <w:ilvl w:val="0"/>
                <w:numId w:val="44"/>
              </w:numPr>
              <w:rPr>
                <w:sz w:val="22"/>
                <w:szCs w:val="22"/>
              </w:rPr>
            </w:pPr>
          </w:p>
          <w:p>
            <w:pPr>
              <w:rPr>
                <w:sz w:val="22"/>
                <w:szCs w:val="22"/>
              </w:rPr>
            </w:pPr>
          </w:p>
          <w:p>
            <w:pPr>
              <w:rPr>
                <w:b/>
                <w:sz w:val="22"/>
                <w:szCs w:val="22"/>
              </w:rPr>
            </w:pPr>
            <w:r>
              <w:rPr>
                <w:b/>
                <w:sz w:val="22"/>
                <w:szCs w:val="22"/>
              </w:rPr>
              <w:t>Empfehlungen zur Händedesinfektion/externe Kommunikation</w:t>
            </w:r>
          </w:p>
          <w:p>
            <w:pPr>
              <w:ind w:left="360"/>
              <w:rPr>
                <w:b/>
                <w:szCs w:val="22"/>
              </w:rPr>
            </w:pPr>
          </w:p>
          <w:p>
            <w:pPr>
              <w:pStyle w:val="Listenabsatz"/>
              <w:numPr>
                <w:ilvl w:val="0"/>
                <w:numId w:val="32"/>
              </w:numPr>
              <w:rPr>
                <w:sz w:val="22"/>
                <w:szCs w:val="22"/>
              </w:rPr>
            </w:pPr>
            <w:r>
              <w:rPr>
                <w:sz w:val="22"/>
                <w:szCs w:val="22"/>
              </w:rPr>
              <w:t xml:space="preserve">Händedesinfektion soll nicht aufgenommen werden. Fokus soll auf Nies- und Hustenhygiene gelegt werden. </w:t>
            </w:r>
          </w:p>
          <w:p>
            <w:pPr>
              <w:pStyle w:val="Listenabsatz"/>
              <w:rPr>
                <w:sz w:val="22"/>
                <w:szCs w:val="22"/>
              </w:rPr>
            </w:pPr>
          </w:p>
          <w:p>
            <w:pPr>
              <w:pStyle w:val="Listenabsatz"/>
              <w:rPr>
                <w:sz w:val="22"/>
                <w:szCs w:val="22"/>
              </w:rPr>
            </w:pPr>
          </w:p>
          <w:p>
            <w:pPr>
              <w:ind w:left="360"/>
              <w:rPr>
                <w:sz w:val="22"/>
                <w:szCs w:val="22"/>
              </w:rPr>
            </w:pPr>
          </w:p>
          <w:p>
            <w:pPr>
              <w:rPr>
                <w:sz w:val="22"/>
                <w:szCs w:val="22"/>
              </w:rPr>
            </w:pPr>
            <w:r>
              <w:rPr>
                <w:b/>
                <w:i/>
                <w:sz w:val="22"/>
                <w:szCs w:val="22"/>
              </w:rPr>
              <w:t xml:space="preserve">  </w:t>
            </w:r>
          </w:p>
        </w:tc>
        <w:tc>
          <w:tcPr>
            <w:tcW w:w="1208" w:type="dxa"/>
          </w:tcPr>
          <w:p>
            <w:r>
              <w:t>Presse/Bundeswehr</w:t>
            </w:r>
          </w:p>
          <w:p/>
          <w:p/>
          <w:p/>
          <w:p/>
          <w:p/>
          <w:p/>
          <w:p/>
          <w:p/>
          <w:p/>
          <w:p/>
          <w:p/>
          <w:p/>
          <w:p/>
          <w:p/>
          <w:p/>
          <w:p>
            <w:r>
              <w:t>FG14/FG36</w:t>
            </w:r>
          </w:p>
        </w:tc>
      </w:tr>
      <w:tr>
        <w:tc>
          <w:tcPr>
            <w:tcW w:w="684" w:type="dxa"/>
          </w:tcPr>
          <w:p>
            <w:pPr>
              <w:rPr>
                <w:b/>
              </w:rPr>
            </w:pPr>
            <w:r>
              <w:rPr>
                <w:b/>
              </w:rPr>
              <w:t>5</w:t>
            </w:r>
          </w:p>
        </w:tc>
        <w:tc>
          <w:tcPr>
            <w:tcW w:w="7079" w:type="dxa"/>
          </w:tcPr>
          <w:p>
            <w:pPr>
              <w:rPr>
                <w:b/>
                <w:sz w:val="28"/>
              </w:rPr>
            </w:pPr>
            <w:r>
              <w:rPr>
                <w:b/>
                <w:sz w:val="28"/>
              </w:rPr>
              <w:t>Labordiagnostik</w:t>
            </w:r>
          </w:p>
          <w:p>
            <w:pPr>
              <w:rPr>
                <w:b/>
                <w:sz w:val="28"/>
              </w:rPr>
            </w:pPr>
          </w:p>
          <w:p>
            <w:pPr>
              <w:pStyle w:val="Listenabsatz"/>
              <w:numPr>
                <w:ilvl w:val="0"/>
                <w:numId w:val="29"/>
              </w:numPr>
              <w:rPr>
                <w:b/>
              </w:rPr>
            </w:pPr>
            <w:r>
              <w:rPr>
                <w:sz w:val="22"/>
                <w:szCs w:val="22"/>
              </w:rPr>
              <w:t xml:space="preserve">Eine Unterscheidung zwischen </w:t>
            </w:r>
            <w:proofErr w:type="spellStart"/>
            <w:r>
              <w:rPr>
                <w:sz w:val="22"/>
                <w:szCs w:val="22"/>
              </w:rPr>
              <w:t>nCoV</w:t>
            </w:r>
            <w:proofErr w:type="spellEnd"/>
            <w:r>
              <w:rPr>
                <w:sz w:val="22"/>
                <w:szCs w:val="22"/>
              </w:rPr>
              <w:t xml:space="preserve"> und SARS ist mit der PCR möglich. </w:t>
            </w:r>
          </w:p>
          <w:p>
            <w:pPr>
              <w:pStyle w:val="Listenabsatz"/>
              <w:numPr>
                <w:ilvl w:val="0"/>
                <w:numId w:val="29"/>
              </w:numPr>
              <w:rPr>
                <w:b/>
              </w:rPr>
            </w:pPr>
            <w:r>
              <w:rPr>
                <w:sz w:val="22"/>
                <w:szCs w:val="22"/>
              </w:rPr>
              <w:t xml:space="preserve">ABAS-Treffen findet am 06.02.2020 statt: Die Bewertung zur Einstufung des </w:t>
            </w:r>
            <w:proofErr w:type="spellStart"/>
            <w:r>
              <w:rPr>
                <w:sz w:val="22"/>
                <w:szCs w:val="22"/>
              </w:rPr>
              <w:t>nCoV</w:t>
            </w:r>
            <w:proofErr w:type="spellEnd"/>
            <w:r>
              <w:rPr>
                <w:sz w:val="22"/>
                <w:szCs w:val="22"/>
              </w:rPr>
              <w:t xml:space="preserve"> </w:t>
            </w:r>
          </w:p>
          <w:p>
            <w:pPr>
              <w:pStyle w:val="Listenabsatz"/>
              <w:rPr>
                <w:b/>
              </w:rPr>
            </w:pPr>
          </w:p>
        </w:tc>
        <w:tc>
          <w:tcPr>
            <w:tcW w:w="1208" w:type="dxa"/>
          </w:tcPr>
          <w:p/>
          <w:p/>
          <w:p>
            <w:r>
              <w:t>FG17, ZBS1</w:t>
            </w:r>
          </w:p>
        </w:tc>
      </w:tr>
      <w:tr>
        <w:tc>
          <w:tcPr>
            <w:tcW w:w="684" w:type="dxa"/>
          </w:tcPr>
          <w:p>
            <w:pPr>
              <w:rPr>
                <w:b/>
              </w:rPr>
            </w:pPr>
            <w:r>
              <w:rPr>
                <w:b/>
              </w:rPr>
              <w:t>6</w:t>
            </w:r>
          </w:p>
        </w:tc>
        <w:tc>
          <w:tcPr>
            <w:tcW w:w="7079" w:type="dxa"/>
          </w:tcPr>
          <w:p>
            <w:pPr>
              <w:rPr>
                <w:b/>
                <w:sz w:val="28"/>
                <w:lang w:val="fr-FR"/>
              </w:rPr>
            </w:pPr>
            <w:r>
              <w:rPr>
                <w:b/>
                <w:sz w:val="28"/>
                <w:lang w:val="fr-FR"/>
              </w:rPr>
              <w:t>Surveillance-</w:t>
            </w:r>
            <w:proofErr w:type="spellStart"/>
            <w:r>
              <w:rPr>
                <w:b/>
                <w:sz w:val="28"/>
                <w:lang w:val="fr-FR"/>
              </w:rPr>
              <w:t>Anforderungen</w:t>
            </w:r>
            <w:proofErr w:type="spellEnd"/>
          </w:p>
          <w:p>
            <w:pPr>
              <w:rPr>
                <w:b/>
                <w:sz w:val="28"/>
                <w:lang w:val="fr-FR"/>
              </w:rPr>
            </w:pPr>
          </w:p>
          <w:p>
            <w:pPr>
              <w:rPr>
                <w:b/>
                <w:lang w:val="fr-FR"/>
              </w:rPr>
            </w:pPr>
            <w:proofErr w:type="spellStart"/>
            <w:r>
              <w:rPr>
                <w:b/>
                <w:lang w:val="fr-FR"/>
              </w:rPr>
              <w:t>Integration</w:t>
            </w:r>
            <w:proofErr w:type="spellEnd"/>
            <w:r>
              <w:rPr>
                <w:b/>
                <w:lang w:val="fr-FR"/>
              </w:rPr>
              <w:t xml:space="preserve"> </w:t>
            </w:r>
            <w:proofErr w:type="spellStart"/>
            <w:r>
              <w:rPr>
                <w:b/>
                <w:lang w:val="fr-FR"/>
              </w:rPr>
              <w:t>nCoV</w:t>
            </w:r>
            <w:proofErr w:type="spellEnd"/>
            <w:r>
              <w:rPr>
                <w:b/>
                <w:lang w:val="fr-FR"/>
              </w:rPr>
              <w:t xml:space="preserve"> in </w:t>
            </w:r>
            <w:proofErr w:type="spellStart"/>
            <w:r>
              <w:rPr>
                <w:b/>
                <w:lang w:val="fr-FR"/>
              </w:rPr>
              <w:t>virologische</w:t>
            </w:r>
            <w:proofErr w:type="spellEnd"/>
            <w:r>
              <w:rPr>
                <w:b/>
                <w:lang w:val="fr-FR"/>
              </w:rPr>
              <w:t xml:space="preserve"> Influenza Surveillance </w:t>
            </w:r>
          </w:p>
          <w:p>
            <w:pPr>
              <w:pStyle w:val="Listenabsatz"/>
              <w:numPr>
                <w:ilvl w:val="0"/>
                <w:numId w:val="38"/>
              </w:numPr>
              <w:rPr>
                <w:sz w:val="22"/>
              </w:rPr>
            </w:pPr>
            <w:r>
              <w:rPr>
                <w:sz w:val="22"/>
              </w:rPr>
              <w:t xml:space="preserve">Am 07.02.2020 findet eine Besprechung zum Thema während der Lage-AG statt. Aktuelle Probleme zeigen sich vor allem im Datenschutz. Die Übermittlung von positiven Influenza-Fällen findet aus datenschutzrechtlichen Gründen und Mangels an Alternativen per Brief statt. Diese zeitliche Verzögerung ist bei der aktuellen Lage nicht angezeigt. </w:t>
            </w:r>
          </w:p>
          <w:p>
            <w:pPr>
              <w:rPr>
                <w:sz w:val="22"/>
              </w:rPr>
            </w:pPr>
            <w:r>
              <w:rPr>
                <w:sz w:val="22"/>
                <w:highlight w:val="yellow"/>
              </w:rPr>
              <w:t>TO DO Datenschutz und rechtliche Grundlagen bis 07.02.2020 klären.</w:t>
            </w:r>
            <w:r>
              <w:rPr>
                <w:sz w:val="22"/>
              </w:rPr>
              <w:t xml:space="preserve"> </w:t>
            </w:r>
          </w:p>
          <w:p/>
        </w:tc>
        <w:tc>
          <w:tcPr>
            <w:tcW w:w="1208" w:type="dxa"/>
          </w:tcPr>
          <w:p/>
          <w:p/>
          <w:p>
            <w:r>
              <w:t>FG 17/</w:t>
            </w:r>
          </w:p>
          <w:p>
            <w:r>
              <w:t>FG36</w:t>
            </w:r>
          </w:p>
          <w:p/>
        </w:tc>
      </w:tr>
      <w:tr>
        <w:tc>
          <w:tcPr>
            <w:tcW w:w="684" w:type="dxa"/>
          </w:tcPr>
          <w:p>
            <w:pPr>
              <w:rPr>
                <w:b/>
              </w:rPr>
            </w:pPr>
            <w:r>
              <w:rPr>
                <w:b/>
              </w:rPr>
              <w:t>7</w:t>
            </w:r>
          </w:p>
        </w:tc>
        <w:tc>
          <w:tcPr>
            <w:tcW w:w="7079" w:type="dxa"/>
          </w:tcPr>
          <w:p>
            <w:pPr>
              <w:rPr>
                <w:b/>
                <w:sz w:val="28"/>
              </w:rPr>
            </w:pPr>
            <w:r>
              <w:rPr>
                <w:b/>
                <w:sz w:val="28"/>
              </w:rPr>
              <w:t>Maßnahmen zum Infektionsschutz</w:t>
            </w:r>
          </w:p>
          <w:p>
            <w:pPr>
              <w:pStyle w:val="Listenabsatz"/>
              <w:rPr>
                <w:b/>
                <w:sz w:val="28"/>
              </w:rPr>
            </w:pPr>
          </w:p>
        </w:tc>
        <w:tc>
          <w:tcPr>
            <w:tcW w:w="1208" w:type="dxa"/>
          </w:tcPr>
          <w:p/>
          <w:p/>
        </w:tc>
      </w:tr>
      <w:tr>
        <w:tc>
          <w:tcPr>
            <w:tcW w:w="684" w:type="dxa"/>
          </w:tcPr>
          <w:p>
            <w:pPr>
              <w:rPr>
                <w:b/>
              </w:rPr>
            </w:pPr>
            <w:r>
              <w:rPr>
                <w:b/>
              </w:rPr>
              <w:t>8</w:t>
            </w:r>
          </w:p>
        </w:tc>
        <w:tc>
          <w:tcPr>
            <w:tcW w:w="7079" w:type="dxa"/>
          </w:tcPr>
          <w:p>
            <w:pPr>
              <w:rPr>
                <w:b/>
                <w:sz w:val="28"/>
              </w:rPr>
            </w:pPr>
            <w:r>
              <w:rPr>
                <w:b/>
                <w:sz w:val="28"/>
              </w:rPr>
              <w:t>Klinisches Management</w:t>
            </w:r>
          </w:p>
          <w:p>
            <w:pPr>
              <w:rPr>
                <w:b/>
                <w:sz w:val="28"/>
              </w:rPr>
            </w:pPr>
          </w:p>
          <w:p>
            <w:pPr>
              <w:rPr>
                <w:b/>
                <w:sz w:val="22"/>
              </w:rPr>
            </w:pPr>
            <w:r>
              <w:rPr>
                <w:b/>
                <w:sz w:val="22"/>
              </w:rPr>
              <w:t xml:space="preserve">Empfehlungen zu Abfallentsorgung </w:t>
            </w:r>
          </w:p>
          <w:p>
            <w:pPr>
              <w:pStyle w:val="Listenabsatz"/>
              <w:numPr>
                <w:ilvl w:val="0"/>
                <w:numId w:val="35"/>
              </w:numPr>
              <w:rPr>
                <w:sz w:val="22"/>
              </w:rPr>
            </w:pPr>
            <w:r>
              <w:rPr>
                <w:sz w:val="22"/>
              </w:rPr>
              <w:t>Abfallentsorgung im Labor ist geklärt durch bestehende Vorgaben</w:t>
            </w:r>
          </w:p>
          <w:p>
            <w:pPr>
              <w:pStyle w:val="Listenabsatz"/>
              <w:numPr>
                <w:ilvl w:val="0"/>
                <w:numId w:val="35"/>
              </w:numPr>
              <w:rPr>
                <w:sz w:val="22"/>
              </w:rPr>
            </w:pPr>
            <w:r>
              <w:rPr>
                <w:sz w:val="22"/>
              </w:rPr>
              <w:t xml:space="preserve">Im klinischen Kontext besteht bereits eine Verlinkung zu Dokumenten für SARS, eine Anpassung/Überarbeitung für </w:t>
            </w:r>
            <w:proofErr w:type="spellStart"/>
            <w:r>
              <w:rPr>
                <w:sz w:val="22"/>
              </w:rPr>
              <w:t>nCoV</w:t>
            </w:r>
            <w:proofErr w:type="spellEnd"/>
            <w:r>
              <w:rPr>
                <w:sz w:val="22"/>
              </w:rPr>
              <w:t xml:space="preserve"> ist geplant.  </w:t>
            </w:r>
          </w:p>
          <w:p>
            <w:pPr>
              <w:pStyle w:val="Listenabsatz"/>
              <w:numPr>
                <w:ilvl w:val="0"/>
                <w:numId w:val="35"/>
              </w:numPr>
              <w:rPr>
                <w:sz w:val="22"/>
              </w:rPr>
            </w:pPr>
            <w:r>
              <w:rPr>
                <w:sz w:val="22"/>
              </w:rPr>
              <w:t>IBBS bringt das Thema in der internen Seuchenhygienegruppe ein.</w:t>
            </w:r>
          </w:p>
          <w:p>
            <w:pPr>
              <w:rPr>
                <w:sz w:val="22"/>
              </w:rPr>
            </w:pPr>
            <w:r>
              <w:rPr>
                <w:sz w:val="22"/>
                <w:highlight w:val="yellow"/>
              </w:rPr>
              <w:t>TO DO Thema Empfehlungen zu Abfallentsorgung soll morgen erneut auf die Agenda</w:t>
            </w:r>
            <w:r>
              <w:rPr>
                <w:sz w:val="22"/>
              </w:rPr>
              <w:t xml:space="preserve"> </w:t>
            </w:r>
          </w:p>
          <w:p>
            <w:pPr>
              <w:pStyle w:val="Listenabsatz"/>
              <w:rPr>
                <w:sz w:val="22"/>
              </w:rPr>
            </w:pPr>
          </w:p>
          <w:p>
            <w:pPr>
              <w:rPr>
                <w:b/>
                <w:sz w:val="22"/>
              </w:rPr>
            </w:pPr>
            <w:r>
              <w:rPr>
                <w:b/>
                <w:sz w:val="22"/>
              </w:rPr>
              <w:t>Flussschema zum klinischen Management</w:t>
            </w:r>
          </w:p>
          <w:p>
            <w:pPr>
              <w:pStyle w:val="Listenabsatz"/>
              <w:numPr>
                <w:ilvl w:val="0"/>
                <w:numId w:val="45"/>
              </w:numPr>
              <w:rPr>
                <w:sz w:val="22"/>
              </w:rPr>
            </w:pPr>
            <w:r>
              <w:rPr>
                <w:sz w:val="22"/>
              </w:rPr>
              <w:t>IBBS hat nach Abstimmung mit der DEGAM das Flussschema überarbeitet und wird noch heute Abend veröffentlicht.</w:t>
            </w:r>
          </w:p>
          <w:p>
            <w:pPr>
              <w:rPr>
                <w:b/>
                <w:sz w:val="22"/>
              </w:rPr>
            </w:pPr>
          </w:p>
          <w:p>
            <w:pPr>
              <w:rPr>
                <w:sz w:val="22"/>
              </w:rPr>
            </w:pPr>
            <w:r>
              <w:rPr>
                <w:b/>
                <w:sz w:val="22"/>
              </w:rPr>
              <w:t xml:space="preserve">Entlassungsmanagement/Vorgehen bei hospitalisierten </w:t>
            </w:r>
            <w:proofErr w:type="spellStart"/>
            <w:r>
              <w:rPr>
                <w:b/>
                <w:sz w:val="22"/>
              </w:rPr>
              <w:t>nCoV</w:t>
            </w:r>
            <w:proofErr w:type="spellEnd"/>
            <w:r>
              <w:rPr>
                <w:b/>
                <w:sz w:val="22"/>
              </w:rPr>
              <w:t xml:space="preserve">-Fällen/Aufhebung der Isolierungsmaßnahmen </w:t>
            </w:r>
          </w:p>
          <w:p>
            <w:pPr>
              <w:pStyle w:val="Listenabsatz"/>
              <w:numPr>
                <w:ilvl w:val="0"/>
                <w:numId w:val="45"/>
              </w:numPr>
              <w:rPr>
                <w:i/>
                <w:sz w:val="22"/>
              </w:rPr>
            </w:pPr>
            <w:r>
              <w:rPr>
                <w:sz w:val="22"/>
              </w:rPr>
              <w:t xml:space="preserve">Hierzu fand am 03.02. eine TK innerhalb der STAKOB statt,  bisher liegen keine ausreichenden Daten, auf die sich Empfehlungen stützen könnten. Geplant ist eine engmaschige virologische Verlaufsuntersuchung der aktuellen Fälle, um hieraus in Zusammenschau mit den klinischen Befunden Empfehlungen ableiten zu können, wann die Patienten </w:t>
            </w:r>
            <w:proofErr w:type="spellStart"/>
            <w:r>
              <w:rPr>
                <w:sz w:val="22"/>
              </w:rPr>
              <w:t>entisoliert</w:t>
            </w:r>
            <w:proofErr w:type="spellEnd"/>
            <w:r>
              <w:rPr>
                <w:sz w:val="22"/>
              </w:rPr>
              <w:t xml:space="preserve"> bzw. entlassen werden können.  Zusätzlich zur Untersuchung respiratorischer Materialien sind auch Untersuchungen von Stuhlproben vorgesehen.  </w:t>
            </w:r>
          </w:p>
          <w:p/>
        </w:tc>
        <w:tc>
          <w:tcPr>
            <w:tcW w:w="1208" w:type="dxa"/>
          </w:tcPr>
          <w:p/>
          <w:p>
            <w:r>
              <w:t>ZBS2</w:t>
            </w:r>
          </w:p>
          <w:p/>
          <w:p/>
          <w:p/>
          <w:p>
            <w:r>
              <w:t>FG14</w:t>
            </w:r>
          </w:p>
          <w:p/>
          <w:p/>
          <w:p/>
          <w:p>
            <w:r>
              <w:t>IBBS</w:t>
            </w:r>
          </w:p>
          <w:p/>
          <w:p/>
          <w:p/>
          <w:p/>
          <w:p/>
          <w:p/>
          <w:p>
            <w:r>
              <w:t>FG37/IBBS</w:t>
            </w:r>
          </w:p>
        </w:tc>
      </w:tr>
      <w:tr>
        <w:tc>
          <w:tcPr>
            <w:tcW w:w="684" w:type="dxa"/>
          </w:tcPr>
          <w:p>
            <w:pPr>
              <w:rPr>
                <w:b/>
              </w:rPr>
            </w:pPr>
            <w:r>
              <w:rPr>
                <w:b/>
              </w:rPr>
              <w:t>9</w:t>
            </w:r>
          </w:p>
        </w:tc>
        <w:tc>
          <w:tcPr>
            <w:tcW w:w="7079" w:type="dxa"/>
          </w:tcPr>
          <w:p>
            <w:pPr>
              <w:rPr>
                <w:b/>
                <w:sz w:val="28"/>
              </w:rPr>
            </w:pPr>
            <w:r>
              <w:rPr>
                <w:b/>
                <w:sz w:val="28"/>
              </w:rPr>
              <w:t xml:space="preserve">Transport </w:t>
            </w:r>
          </w:p>
          <w:p>
            <w:pPr>
              <w:rPr>
                <w:b/>
                <w:i/>
              </w:rPr>
            </w:pPr>
          </w:p>
          <w:p>
            <w:pPr>
              <w:rPr>
                <w:b/>
                <w:sz w:val="22"/>
              </w:rPr>
            </w:pPr>
            <w:r>
              <w:rPr>
                <w:b/>
                <w:sz w:val="22"/>
              </w:rPr>
              <w:t xml:space="preserve">Kontaktnachverfolgung(KONA) Flüge </w:t>
            </w:r>
          </w:p>
          <w:p>
            <w:pPr>
              <w:pStyle w:val="Listenabsatz"/>
              <w:numPr>
                <w:ilvl w:val="0"/>
                <w:numId w:val="45"/>
              </w:numPr>
              <w:rPr>
                <w:sz w:val="22"/>
              </w:rPr>
            </w:pPr>
            <w:r>
              <w:rPr>
                <w:sz w:val="22"/>
              </w:rPr>
              <w:t xml:space="preserve">Aktuell laufen zwei KONA (Flug LH München-Shanghai/Amtshilfeersuchen aus Bayern; TUI nach Spanien/ </w:t>
            </w:r>
            <w:r>
              <w:rPr>
                <w:sz w:val="22"/>
              </w:rPr>
              <w:lastRenderedPageBreak/>
              <w:t xml:space="preserve">Bitte um Hilfe seitens der spanischen Kollegen). In beiden Fällen sind die Zielländer für die KONA zuständig. Das aktuelle Vorgehen stuft alle Passagiere, die mehr als zwei Reihen vor und nach dem Sitzplatz des Falls sowie die Crew als Kategorie II Kontakte ein und würde konsequenterweise bedeuten, dass man alle Passagiere informieren müsste. Das ist auf Grund von unvollständigen Listen, restriktiver Informationspolitik seitens der Airlines und unklarem Aufenthaltsortes der Passagiere nach Landung schwer umsetzbar. Crew müsste Kontaktreduktion umsetzen und damit gar nicht oder nur eingeschränkt tätig sein können. Hier müsste ggf. eine Anpassung der Formulierung für Flugpersonal erfolgen. Ein Musterschreibens für die Gesundheitsämter für Anfragen bei Fluggesellschaften bezüglich Kontaktdaten zur Kontaktpersonen-Nachverfolgung nach Exposition zum neuartigen Coronavirus (2019-nCoV) im Flugzeug wird vom Rechtsreferat geteilt. </w:t>
            </w:r>
          </w:p>
          <w:p>
            <w:pPr>
              <w:rPr>
                <w:i/>
                <w:sz w:val="22"/>
                <w:highlight w:val="yellow"/>
              </w:rPr>
            </w:pPr>
          </w:p>
          <w:p>
            <w:pPr>
              <w:rPr>
                <w:b/>
                <w:sz w:val="22"/>
              </w:rPr>
            </w:pPr>
            <w:r>
              <w:rPr>
                <w:b/>
                <w:sz w:val="22"/>
              </w:rPr>
              <w:t xml:space="preserve">Umgang mit Direktflügen aus Risikogebieten am Flughafen </w:t>
            </w:r>
          </w:p>
          <w:p>
            <w:pPr>
              <w:pStyle w:val="Listenabsatz"/>
              <w:numPr>
                <w:ilvl w:val="0"/>
                <w:numId w:val="48"/>
              </w:numPr>
              <w:rPr>
                <w:sz w:val="22"/>
              </w:rPr>
            </w:pPr>
            <w:r>
              <w:rPr>
                <w:sz w:val="22"/>
              </w:rPr>
              <w:t xml:space="preserve">Auf Länderebene wurde Maßnahmen für Direktflüge an Flughäfen diskutiert. Im Hinblick auf die Umsetzbarkeit wurde ein erweitertes Exit-Screening vorgeschlagen. Es wird eine aktive Fallsuche im Flieger anhand von Platzkarten mit weiteren Fragen (Aufenthalt im Risikogebiet, Symptome etc. /zum Ankreuzen) eingeleitet. Das </w:t>
            </w:r>
            <w:proofErr w:type="spellStart"/>
            <w:r>
              <w:rPr>
                <w:sz w:val="22"/>
              </w:rPr>
              <w:t>Boardpersonal</w:t>
            </w:r>
            <w:proofErr w:type="spellEnd"/>
            <w:r>
              <w:rPr>
                <w:sz w:val="22"/>
              </w:rPr>
              <w:t xml:space="preserve"> würde noch vor der Landung auffällige Passagiere (aus Risikogebiet/symptomatisch) an den medizinischen Dienst melden, damit diese direkt am Flughafen versorgt/isoliert werden können. Weiterhin soll Informationsmaterial verteilt werden und besorgte Passagiere ohne Symptome durch die Mitarbeiter vor Ort beraten werden. </w:t>
            </w:r>
            <w:r>
              <w:rPr>
                <w:b/>
                <w:i/>
                <w:sz w:val="22"/>
              </w:rPr>
              <w:t xml:space="preserve"> </w:t>
            </w:r>
            <w:r>
              <w:rPr>
                <w:i/>
                <w:sz w:val="22"/>
              </w:rPr>
              <w:t xml:space="preserve"> </w:t>
            </w:r>
          </w:p>
          <w:p>
            <w:pPr>
              <w:pStyle w:val="Listenabsatz"/>
              <w:rPr>
                <w:i/>
                <w:sz w:val="22"/>
              </w:rPr>
            </w:pPr>
          </w:p>
          <w:p>
            <w:pPr>
              <w:pStyle w:val="Listenabsatz"/>
            </w:pPr>
            <w:r>
              <w:t xml:space="preserve"> </w:t>
            </w:r>
          </w:p>
        </w:tc>
        <w:tc>
          <w:tcPr>
            <w:tcW w:w="1208" w:type="dxa"/>
          </w:tcPr>
          <w:p/>
          <w:p>
            <w:r>
              <w:t>FG 32</w:t>
            </w:r>
          </w:p>
          <w:p/>
          <w:p/>
          <w:p/>
          <w:p/>
          <w:p/>
          <w:p/>
          <w:p/>
          <w:p/>
          <w:p/>
          <w:p/>
          <w:p/>
          <w:p/>
          <w:p/>
          <w:p/>
          <w:p/>
          <w:p/>
          <w:p/>
          <w:p/>
          <w:p/>
          <w:p/>
          <w:p/>
          <w:p/>
          <w:p/>
          <w:p>
            <w:r>
              <w:t>FG 32</w:t>
            </w:r>
          </w:p>
        </w:tc>
      </w:tr>
      <w:tr>
        <w:tc>
          <w:tcPr>
            <w:tcW w:w="684" w:type="dxa"/>
          </w:tcPr>
          <w:p>
            <w:pPr>
              <w:rPr>
                <w:b/>
              </w:rPr>
            </w:pPr>
            <w:r>
              <w:rPr>
                <w:b/>
              </w:rPr>
              <w:lastRenderedPageBreak/>
              <w:t>10</w:t>
            </w:r>
          </w:p>
        </w:tc>
        <w:tc>
          <w:tcPr>
            <w:tcW w:w="7079" w:type="dxa"/>
          </w:tcPr>
          <w:p>
            <w:pPr>
              <w:rPr>
                <w:b/>
                <w:sz w:val="28"/>
              </w:rPr>
            </w:pPr>
            <w:r>
              <w:rPr>
                <w:b/>
                <w:sz w:val="28"/>
              </w:rPr>
              <w:t>Informationen aus dem Lagezentrum</w:t>
            </w:r>
          </w:p>
          <w:p>
            <w:pPr>
              <w:pStyle w:val="Listenabsatz"/>
              <w:numPr>
                <w:ilvl w:val="0"/>
                <w:numId w:val="29"/>
              </w:numPr>
            </w:pPr>
            <w:r>
              <w:rPr>
                <w:sz w:val="22"/>
              </w:rPr>
              <w:t xml:space="preserve">Gute Unterstützung durch zahlreiche Fachgebiete im Lagezentrum.  </w:t>
            </w:r>
          </w:p>
          <w:p>
            <w:pPr>
              <w:pStyle w:val="Listenabsatz"/>
            </w:pPr>
          </w:p>
        </w:tc>
        <w:tc>
          <w:tcPr>
            <w:tcW w:w="1208" w:type="dxa"/>
          </w:tcPr>
          <w:p>
            <w:r>
              <w:t>FG32</w:t>
            </w:r>
          </w:p>
        </w:tc>
      </w:tr>
      <w:tr>
        <w:tc>
          <w:tcPr>
            <w:tcW w:w="684" w:type="dxa"/>
          </w:tcPr>
          <w:p>
            <w:pPr>
              <w:rPr>
                <w:b/>
              </w:rPr>
            </w:pPr>
            <w:r>
              <w:rPr>
                <w:b/>
              </w:rPr>
              <w:t>11</w:t>
            </w:r>
          </w:p>
        </w:tc>
        <w:tc>
          <w:tcPr>
            <w:tcW w:w="7079" w:type="dxa"/>
          </w:tcPr>
          <w:p>
            <w:pPr>
              <w:rPr>
                <w:b/>
                <w:sz w:val="28"/>
              </w:rPr>
            </w:pPr>
            <w:r>
              <w:rPr>
                <w:b/>
                <w:sz w:val="28"/>
              </w:rPr>
              <w:t>Andere Themen</w:t>
            </w:r>
          </w:p>
          <w:p>
            <w:pPr>
              <w:pStyle w:val="Listenabsatz"/>
              <w:numPr>
                <w:ilvl w:val="0"/>
                <w:numId w:val="14"/>
              </w:numPr>
              <w:rPr>
                <w:sz w:val="22"/>
              </w:rPr>
            </w:pPr>
            <w:r>
              <w:rPr>
                <w:sz w:val="22"/>
              </w:rPr>
              <w:t>Nächste Sitzung: Mittwoch, 05.02.2020, 11:00-12:30 Uhr, Lagezentrum Besprechungsraum</w:t>
            </w:r>
          </w:p>
          <w:p>
            <w:pPr>
              <w:pStyle w:val="Listenabsatz"/>
              <w:rPr>
                <w:i/>
                <w:sz w:val="22"/>
              </w:rPr>
            </w:pPr>
          </w:p>
          <w:p>
            <w:pPr>
              <w:pStyle w:val="Listenabsatz"/>
            </w:pPr>
          </w:p>
        </w:tc>
        <w:tc>
          <w:tcPr>
            <w:tcW w:w="1208" w:type="dxa"/>
          </w:tcPr>
          <w:p/>
        </w:tc>
      </w:tr>
    </w:tbl>
    <w:p>
      <w:pPr>
        <w:spacing w:after="240" w:line="360" w:lineRule="auto"/>
      </w:pPr>
    </w:p>
    <w:sectPr>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kus, Inessa" w:date="2020-02-04T17:17:00Z" w:initials="MI">
    <w:p>
      <w:pPr>
        <w:pStyle w:val="Kommentartext"/>
      </w:pPr>
      <w:r>
        <w:rPr>
          <w:rStyle w:val="Kommentarzeichen"/>
        </w:rPr>
        <w:annotationRef/>
      </w:r>
      <w:r>
        <w:t xml:space="preserve">Das muss noch abgestimmt werden </w:t>
      </w:r>
    </w:p>
  </w:comment>
  <w:comment w:id="1" w:author="Markus, Inessa" w:date="2020-02-04T14:14:00Z" w:initials="MI">
    <w:p>
      <w:pPr>
        <w:pStyle w:val="Kommentartext"/>
      </w:pPr>
      <w:r>
        <w:rPr>
          <w:rStyle w:val="Kommentarzeichen"/>
        </w:rPr>
        <w:annotationRef/>
      </w:r>
      <w:r>
        <w:t>Wo?</w:t>
      </w:r>
    </w:p>
    <w:p>
      <w:pPr>
        <w:pStyle w:val="Kommentartext"/>
      </w:pPr>
      <w:r>
        <w:t>Klinik oder Kaserne?</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t xml:space="preserve">Seite </w:t>
    </w:r>
    <w:r>
      <w:rPr>
        <w:rStyle w:val="Seitenzahl"/>
        <w:b/>
        <w:bCs/>
      </w:rPr>
      <w:fldChar w:fldCharType="begin"/>
    </w:r>
    <w:r>
      <w:rPr>
        <w:rStyle w:val="Seitenzahl"/>
        <w:b/>
        <w:bCs/>
      </w:rPr>
      <w:instrText>PAGE  \* Arabic  \* MERGEFORMAT</w:instrText>
    </w:r>
    <w:r>
      <w:rPr>
        <w:rStyle w:val="Seitenzahl"/>
        <w:b/>
        <w:bCs/>
      </w:rPr>
      <w:fldChar w:fldCharType="separate"/>
    </w:r>
    <w:r>
      <w:rPr>
        <w:rStyle w:val="Seitenzahl"/>
        <w:b/>
        <w:bCs/>
      </w:rPr>
      <w:t>1</w:t>
    </w:r>
    <w:r>
      <w:rPr>
        <w:rStyle w:val="Seitenzahl"/>
        <w:b/>
        <w:bCs/>
      </w:rPr>
      <w:fldChar w:fldCharType="end"/>
    </w:r>
    <w:r>
      <w:rPr>
        <w:rStyle w:val="Seitenzahl"/>
      </w:rPr>
      <w:t xml:space="preserve"> von </w:t>
    </w:r>
    <w:r>
      <w:rPr>
        <w:rStyle w:val="Seitenzahl"/>
        <w:b/>
        <w:bCs/>
      </w:rPr>
      <w:fldChar w:fldCharType="begin"/>
    </w:r>
    <w:r>
      <w:rPr>
        <w:rStyle w:val="Seitenzahl"/>
        <w:b/>
        <w:bCs/>
      </w:rPr>
      <w:instrText>NUMPAGES  \* Arabic  \* MERGEFORMAT</w:instrText>
    </w:r>
    <w:r>
      <w:rPr>
        <w:rStyle w:val="Seitenzahl"/>
        <w:b/>
        <w:bCs/>
      </w:rPr>
      <w:fldChar w:fldCharType="separate"/>
    </w:r>
    <w:r>
      <w:rPr>
        <w:rStyle w:val="Seitenzahl"/>
        <w:b/>
        <w:bCs/>
      </w:rPr>
      <w:t>2</w:t>
    </w:r>
    <w:r>
      <w:rPr>
        <w:rStyle w:val="Seitenzahl"/>
        <w:b/>
        <w:bCs/>
      </w:rPr>
      <w:fldChar w:fldCharType="end"/>
    </w:r>
  </w:p>
  <w:p>
    <w:pPr>
      <w:pStyle w:val="Fuzeile"/>
      <w:ind w:right="360"/>
      <w:rPr>
        <w:i/>
        <w:color w:val="7F7F7F" w:themeColor="text1" w:themeTint="80"/>
      </w:rPr>
    </w:pPr>
    <w:r>
      <w:rPr>
        <w:i/>
        <w:color w:val="7F7F7F" w:themeColor="text1" w:themeTint="80"/>
      </w:rPr>
      <w:tab/>
    </w:r>
    <w:bookmarkStart w:id="2" w:name="_GoBack"/>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Agenda der 2019nCoV-Lage-AG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00C0"/>
    <w:multiLevelType w:val="hybridMultilevel"/>
    <w:tmpl w:val="C4E40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0A790A"/>
    <w:multiLevelType w:val="hybridMultilevel"/>
    <w:tmpl w:val="86C012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D97345"/>
    <w:multiLevelType w:val="hybridMultilevel"/>
    <w:tmpl w:val="2B2C93F2"/>
    <w:lvl w:ilvl="0" w:tplc="04070001">
      <w:start w:val="1"/>
      <w:numFmt w:val="bullet"/>
      <w:lvlText w:val=""/>
      <w:lvlJc w:val="left"/>
      <w:pPr>
        <w:ind w:left="720" w:hanging="360"/>
      </w:pPr>
      <w:rPr>
        <w:rFonts w:ascii="Symbol" w:hAnsi="Symbol"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847066"/>
    <w:multiLevelType w:val="hybridMultilevel"/>
    <w:tmpl w:val="7840A06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766914"/>
    <w:multiLevelType w:val="hybridMultilevel"/>
    <w:tmpl w:val="CA849E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307288A"/>
    <w:multiLevelType w:val="hybridMultilevel"/>
    <w:tmpl w:val="2AE60F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531373A"/>
    <w:multiLevelType w:val="hybridMultilevel"/>
    <w:tmpl w:val="CFE03F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57F64C3"/>
    <w:multiLevelType w:val="hybridMultilevel"/>
    <w:tmpl w:val="D58E4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1605D3"/>
    <w:multiLevelType w:val="hybridMultilevel"/>
    <w:tmpl w:val="5C1CF84C"/>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19174704"/>
    <w:multiLevelType w:val="hybridMultilevel"/>
    <w:tmpl w:val="333E3A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F87485F"/>
    <w:multiLevelType w:val="hybridMultilevel"/>
    <w:tmpl w:val="7090C4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FB216D7"/>
    <w:multiLevelType w:val="hybridMultilevel"/>
    <w:tmpl w:val="B59463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4A75F65"/>
    <w:multiLevelType w:val="hybridMultilevel"/>
    <w:tmpl w:val="76201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5667654"/>
    <w:multiLevelType w:val="hybridMultilevel"/>
    <w:tmpl w:val="7AA205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6716D6A"/>
    <w:multiLevelType w:val="hybridMultilevel"/>
    <w:tmpl w:val="47A03198"/>
    <w:lvl w:ilvl="0" w:tplc="04070003">
      <w:start w:val="1"/>
      <w:numFmt w:val="bullet"/>
      <w:lvlText w:val="o"/>
      <w:lvlJc w:val="left"/>
      <w:pPr>
        <w:ind w:left="1440" w:hanging="360"/>
      </w:pPr>
      <w:rPr>
        <w:rFonts w:ascii="Courier New" w:hAnsi="Courier New" w:cs="Courier New" w:hint="default"/>
      </w:rPr>
    </w:lvl>
    <w:lvl w:ilvl="1" w:tplc="FD764B78">
      <w:numFmt w:val="bullet"/>
      <w:lvlText w:val="-"/>
      <w:lvlJc w:val="left"/>
      <w:pPr>
        <w:ind w:left="2160" w:hanging="360"/>
      </w:pPr>
      <w:rPr>
        <w:rFonts w:ascii="Calibri" w:eastAsiaTheme="minorHAnsi" w:hAnsi="Calibri" w:cstheme="minorBidi"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15:restartNumberingAfterBreak="0">
    <w:nsid w:val="29026B72"/>
    <w:multiLevelType w:val="hybridMultilevel"/>
    <w:tmpl w:val="99E8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A012E2D"/>
    <w:multiLevelType w:val="hybridMultilevel"/>
    <w:tmpl w:val="6E3C72D4"/>
    <w:lvl w:ilvl="0" w:tplc="04070001">
      <w:start w:val="1"/>
      <w:numFmt w:val="bullet"/>
      <w:lvlText w:val=""/>
      <w:lvlJc w:val="left"/>
      <w:pPr>
        <w:ind w:left="817" w:hanging="360"/>
      </w:pPr>
      <w:rPr>
        <w:rFonts w:ascii="Symbol" w:hAnsi="Symbol" w:hint="default"/>
      </w:rPr>
    </w:lvl>
    <w:lvl w:ilvl="1" w:tplc="04070003" w:tentative="1">
      <w:start w:val="1"/>
      <w:numFmt w:val="bullet"/>
      <w:lvlText w:val="o"/>
      <w:lvlJc w:val="left"/>
      <w:pPr>
        <w:ind w:left="1537" w:hanging="360"/>
      </w:pPr>
      <w:rPr>
        <w:rFonts w:ascii="Courier New" w:hAnsi="Courier New" w:cs="Courier New" w:hint="default"/>
      </w:rPr>
    </w:lvl>
    <w:lvl w:ilvl="2" w:tplc="04070005" w:tentative="1">
      <w:start w:val="1"/>
      <w:numFmt w:val="bullet"/>
      <w:lvlText w:val=""/>
      <w:lvlJc w:val="left"/>
      <w:pPr>
        <w:ind w:left="2257" w:hanging="360"/>
      </w:pPr>
      <w:rPr>
        <w:rFonts w:ascii="Wingdings" w:hAnsi="Wingdings" w:hint="default"/>
      </w:rPr>
    </w:lvl>
    <w:lvl w:ilvl="3" w:tplc="04070001" w:tentative="1">
      <w:start w:val="1"/>
      <w:numFmt w:val="bullet"/>
      <w:lvlText w:val=""/>
      <w:lvlJc w:val="left"/>
      <w:pPr>
        <w:ind w:left="2977" w:hanging="360"/>
      </w:pPr>
      <w:rPr>
        <w:rFonts w:ascii="Symbol" w:hAnsi="Symbol" w:hint="default"/>
      </w:rPr>
    </w:lvl>
    <w:lvl w:ilvl="4" w:tplc="04070003" w:tentative="1">
      <w:start w:val="1"/>
      <w:numFmt w:val="bullet"/>
      <w:lvlText w:val="o"/>
      <w:lvlJc w:val="left"/>
      <w:pPr>
        <w:ind w:left="3697" w:hanging="360"/>
      </w:pPr>
      <w:rPr>
        <w:rFonts w:ascii="Courier New" w:hAnsi="Courier New" w:cs="Courier New" w:hint="default"/>
      </w:rPr>
    </w:lvl>
    <w:lvl w:ilvl="5" w:tplc="04070005" w:tentative="1">
      <w:start w:val="1"/>
      <w:numFmt w:val="bullet"/>
      <w:lvlText w:val=""/>
      <w:lvlJc w:val="left"/>
      <w:pPr>
        <w:ind w:left="4417" w:hanging="360"/>
      </w:pPr>
      <w:rPr>
        <w:rFonts w:ascii="Wingdings" w:hAnsi="Wingdings" w:hint="default"/>
      </w:rPr>
    </w:lvl>
    <w:lvl w:ilvl="6" w:tplc="04070001" w:tentative="1">
      <w:start w:val="1"/>
      <w:numFmt w:val="bullet"/>
      <w:lvlText w:val=""/>
      <w:lvlJc w:val="left"/>
      <w:pPr>
        <w:ind w:left="5137" w:hanging="360"/>
      </w:pPr>
      <w:rPr>
        <w:rFonts w:ascii="Symbol" w:hAnsi="Symbol" w:hint="default"/>
      </w:rPr>
    </w:lvl>
    <w:lvl w:ilvl="7" w:tplc="04070003" w:tentative="1">
      <w:start w:val="1"/>
      <w:numFmt w:val="bullet"/>
      <w:lvlText w:val="o"/>
      <w:lvlJc w:val="left"/>
      <w:pPr>
        <w:ind w:left="5857" w:hanging="360"/>
      </w:pPr>
      <w:rPr>
        <w:rFonts w:ascii="Courier New" w:hAnsi="Courier New" w:cs="Courier New" w:hint="default"/>
      </w:rPr>
    </w:lvl>
    <w:lvl w:ilvl="8" w:tplc="04070005" w:tentative="1">
      <w:start w:val="1"/>
      <w:numFmt w:val="bullet"/>
      <w:lvlText w:val=""/>
      <w:lvlJc w:val="left"/>
      <w:pPr>
        <w:ind w:left="6577" w:hanging="360"/>
      </w:pPr>
      <w:rPr>
        <w:rFonts w:ascii="Wingdings" w:hAnsi="Wingdings" w:hint="default"/>
      </w:rPr>
    </w:lvl>
  </w:abstractNum>
  <w:abstractNum w:abstractNumId="20" w15:restartNumberingAfterBreak="0">
    <w:nsid w:val="2A181420"/>
    <w:multiLevelType w:val="hybridMultilevel"/>
    <w:tmpl w:val="70AE5C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DCF07D6"/>
    <w:multiLevelType w:val="hybridMultilevel"/>
    <w:tmpl w:val="C220FC7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2F063F26"/>
    <w:multiLevelType w:val="hybridMultilevel"/>
    <w:tmpl w:val="305A6A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2F691A89"/>
    <w:multiLevelType w:val="hybridMultilevel"/>
    <w:tmpl w:val="780A93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19A2DB7"/>
    <w:multiLevelType w:val="hybridMultilevel"/>
    <w:tmpl w:val="DDC4215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E2E245F"/>
    <w:multiLevelType w:val="hybridMultilevel"/>
    <w:tmpl w:val="09685A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2E32DD3"/>
    <w:multiLevelType w:val="hybridMultilevel"/>
    <w:tmpl w:val="84341DB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5162501"/>
    <w:multiLevelType w:val="hybridMultilevel"/>
    <w:tmpl w:val="A01494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5F21567"/>
    <w:multiLevelType w:val="hybridMultilevel"/>
    <w:tmpl w:val="132A7F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8C56FF7"/>
    <w:multiLevelType w:val="hybridMultilevel"/>
    <w:tmpl w:val="6C42A976"/>
    <w:lvl w:ilvl="0" w:tplc="587A9762">
      <w:start w:val="6"/>
      <w:numFmt w:val="bullet"/>
      <w:lvlText w:val="-"/>
      <w:lvlJc w:val="left"/>
      <w:pPr>
        <w:ind w:left="720" w:hanging="360"/>
      </w:pPr>
      <w:rPr>
        <w:rFonts w:ascii="Cambria" w:eastAsiaTheme="minorHAnsi" w:hAnsi="Cambria" w:cstheme="minorBidi"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593020"/>
    <w:multiLevelType w:val="hybridMultilevel"/>
    <w:tmpl w:val="0AD27E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96456F5"/>
    <w:multiLevelType w:val="hybridMultilevel"/>
    <w:tmpl w:val="6EC4D3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4D08035B"/>
    <w:multiLevelType w:val="hybridMultilevel"/>
    <w:tmpl w:val="24CAD36E"/>
    <w:lvl w:ilvl="0" w:tplc="59C40AEA">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1DF13A1"/>
    <w:multiLevelType w:val="hybridMultilevel"/>
    <w:tmpl w:val="39E21C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3FD59C2"/>
    <w:multiLevelType w:val="hybridMultilevel"/>
    <w:tmpl w:val="06E6E6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D4909FA"/>
    <w:multiLevelType w:val="hybridMultilevel"/>
    <w:tmpl w:val="EE0AB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FE064A8"/>
    <w:multiLevelType w:val="hybridMultilevel"/>
    <w:tmpl w:val="B85631E4"/>
    <w:lvl w:ilvl="0" w:tplc="04070003">
      <w:start w:val="1"/>
      <w:numFmt w:val="bullet"/>
      <w:lvlText w:val="o"/>
      <w:lvlJc w:val="left"/>
      <w:pPr>
        <w:ind w:left="360" w:hanging="360"/>
      </w:pPr>
      <w:rPr>
        <w:rFonts w:ascii="Courier New" w:hAnsi="Courier New" w:cs="Courier New"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0" w15:restartNumberingAfterBreak="0">
    <w:nsid w:val="62FD57F3"/>
    <w:multiLevelType w:val="hybridMultilevel"/>
    <w:tmpl w:val="0CA0907E"/>
    <w:lvl w:ilvl="0" w:tplc="587A9762">
      <w:start w:val="6"/>
      <w:numFmt w:val="bullet"/>
      <w:lvlText w:val="-"/>
      <w:lvlJc w:val="left"/>
      <w:pPr>
        <w:ind w:left="720" w:hanging="360"/>
      </w:pPr>
      <w:rPr>
        <w:rFonts w:ascii="Cambria" w:eastAsiaTheme="minorHAnsi" w:hAnsi="Cambria" w:cstheme="minorBidi"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B666D8F"/>
    <w:multiLevelType w:val="hybridMultilevel"/>
    <w:tmpl w:val="A6A6A9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B7C5482"/>
    <w:multiLevelType w:val="hybridMultilevel"/>
    <w:tmpl w:val="B0DEDC5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C3B61A3"/>
    <w:multiLevelType w:val="hybridMultilevel"/>
    <w:tmpl w:val="D742A67E"/>
    <w:lvl w:ilvl="0" w:tplc="04070003">
      <w:start w:val="1"/>
      <w:numFmt w:val="bullet"/>
      <w:lvlText w:val="o"/>
      <w:lvlJc w:val="left"/>
      <w:pPr>
        <w:ind w:left="360" w:hanging="360"/>
      </w:pPr>
      <w:rPr>
        <w:rFonts w:ascii="Courier New" w:hAnsi="Courier New" w:cs="Courier New" w:hint="default"/>
      </w:rPr>
    </w:lvl>
    <w:lvl w:ilvl="1" w:tplc="04070001">
      <w:start w:val="1"/>
      <w:numFmt w:val="bullet"/>
      <w:lvlText w:val=""/>
      <w:lvlJc w:val="left"/>
      <w:pPr>
        <w:ind w:left="1080" w:hanging="360"/>
      </w:pPr>
      <w:rPr>
        <w:rFonts w:ascii="Symbol" w:hAnsi="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4" w15:restartNumberingAfterBreak="0">
    <w:nsid w:val="6DCB4AC2"/>
    <w:multiLevelType w:val="hybridMultilevel"/>
    <w:tmpl w:val="D58E4A5C"/>
    <w:lvl w:ilvl="0" w:tplc="04090001">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14C3351"/>
    <w:multiLevelType w:val="hybridMultilevel"/>
    <w:tmpl w:val="D58E4A5C"/>
    <w:lvl w:ilvl="0" w:tplc="04090001">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C41CD6"/>
    <w:multiLevelType w:val="hybridMultilevel"/>
    <w:tmpl w:val="06E83D0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9"/>
  </w:num>
  <w:num w:numId="2">
    <w:abstractNumId w:val="46"/>
  </w:num>
  <w:num w:numId="3">
    <w:abstractNumId w:val="44"/>
  </w:num>
  <w:num w:numId="4">
    <w:abstractNumId w:val="26"/>
  </w:num>
  <w:num w:numId="5">
    <w:abstractNumId w:val="30"/>
  </w:num>
  <w:num w:numId="6">
    <w:abstractNumId w:val="15"/>
  </w:num>
  <w:num w:numId="7">
    <w:abstractNumId w:val="6"/>
  </w:num>
  <w:num w:numId="8">
    <w:abstractNumId w:val="24"/>
  </w:num>
  <w:num w:numId="9">
    <w:abstractNumId w:val="17"/>
  </w:num>
  <w:num w:numId="10">
    <w:abstractNumId w:val="29"/>
  </w:num>
  <w:num w:numId="11">
    <w:abstractNumId w:val="11"/>
  </w:num>
  <w:num w:numId="12">
    <w:abstractNumId w:val="27"/>
  </w:num>
  <w:num w:numId="13">
    <w:abstractNumId w:val="43"/>
  </w:num>
  <w:num w:numId="14">
    <w:abstractNumId w:val="36"/>
  </w:num>
  <w:num w:numId="15">
    <w:abstractNumId w:val="39"/>
  </w:num>
  <w:num w:numId="16">
    <w:abstractNumId w:val="41"/>
  </w:num>
  <w:num w:numId="17">
    <w:abstractNumId w:val="5"/>
  </w:num>
  <w:num w:numId="18">
    <w:abstractNumId w:val="34"/>
  </w:num>
  <w:num w:numId="19">
    <w:abstractNumId w:val="1"/>
  </w:num>
  <w:num w:numId="20">
    <w:abstractNumId w:val="16"/>
  </w:num>
  <w:num w:numId="21">
    <w:abstractNumId w:val="32"/>
  </w:num>
  <w:num w:numId="22">
    <w:abstractNumId w:val="12"/>
  </w:num>
  <w:num w:numId="23">
    <w:abstractNumId w:val="22"/>
  </w:num>
  <w:num w:numId="24">
    <w:abstractNumId w:val="21"/>
  </w:num>
  <w:num w:numId="25">
    <w:abstractNumId w:val="40"/>
  </w:num>
  <w:num w:numId="26">
    <w:abstractNumId w:val="31"/>
  </w:num>
  <w:num w:numId="27">
    <w:abstractNumId w:val="2"/>
  </w:num>
  <w:num w:numId="28">
    <w:abstractNumId w:val="25"/>
  </w:num>
  <w:num w:numId="29">
    <w:abstractNumId w:val="37"/>
  </w:num>
  <w:num w:numId="30">
    <w:abstractNumId w:val="35"/>
  </w:num>
  <w:num w:numId="31">
    <w:abstractNumId w:val="7"/>
  </w:num>
  <w:num w:numId="32">
    <w:abstractNumId w:val="33"/>
  </w:num>
  <w:num w:numId="33">
    <w:abstractNumId w:val="47"/>
  </w:num>
  <w:num w:numId="34">
    <w:abstractNumId w:val="45"/>
  </w:num>
  <w:num w:numId="35">
    <w:abstractNumId w:val="20"/>
  </w:num>
  <w:num w:numId="36">
    <w:abstractNumId w:val="0"/>
  </w:num>
  <w:num w:numId="37">
    <w:abstractNumId w:val="13"/>
  </w:num>
  <w:num w:numId="38">
    <w:abstractNumId w:val="18"/>
  </w:num>
  <w:num w:numId="39">
    <w:abstractNumId w:val="8"/>
  </w:num>
  <w:num w:numId="40">
    <w:abstractNumId w:val="23"/>
  </w:num>
  <w:num w:numId="41">
    <w:abstractNumId w:val="3"/>
  </w:num>
  <w:num w:numId="42">
    <w:abstractNumId w:val="28"/>
  </w:num>
  <w:num w:numId="43">
    <w:abstractNumId w:val="19"/>
  </w:num>
  <w:num w:numId="44">
    <w:abstractNumId w:val="38"/>
  </w:num>
  <w:num w:numId="45">
    <w:abstractNumId w:val="4"/>
  </w:num>
  <w:num w:numId="46">
    <w:abstractNumId w:val="10"/>
  </w:num>
  <w:num w:numId="47">
    <w:abstractNumId w:val="42"/>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37459D31-BE92-4B61-A6D2-878DD87CF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4"/>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C0D11-BC62-4A2A-A054-5680A9FDE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1075</Words>
  <Characters>6778</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5</cp:revision>
  <dcterms:created xsi:type="dcterms:W3CDTF">2020-02-04T17:37:00Z</dcterms:created>
  <dcterms:modified xsi:type="dcterms:W3CDTF">2021-04-12T13:51:00Z</dcterms:modified>
</cp:coreProperties>
</file>