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rPr>
          <w:rFonts w:ascii="Scala OT" w:hAnsi="Scala OT"/>
          <w:sz w:val="22"/>
          <w:szCs w:val="22"/>
        </w:rPr>
      </w:pPr>
      <w:r>
        <w:rPr>
          <w:rFonts w:ascii="Scala OT" w:hAnsi="Scala OT"/>
          <w:sz w:val="22"/>
          <w:szCs w:val="22"/>
        </w:rPr>
        <w:t>AG-Sitzung „Neuartiges Coronavirus (2019nCoV)-Lage“</w:t>
      </w:r>
    </w:p>
    <w:p>
      <w:pPr>
        <w:rPr>
          <w:rFonts w:ascii="Scala OT" w:hAnsi="Scala OT"/>
          <w:sz w:val="22"/>
          <w:szCs w:val="22"/>
        </w:rPr>
      </w:pPr>
      <w:r>
        <w:rPr>
          <w:rFonts w:ascii="Scala OT" w:hAnsi="Scala OT"/>
          <w:sz w:val="22"/>
          <w:szCs w:val="22"/>
        </w:rPr>
        <w:t>Ergebnisprotokoll</w:t>
      </w:r>
    </w:p>
    <w:p>
      <w:pPr>
        <w:rPr>
          <w:rFonts w:ascii="Scala OT" w:hAnsi="Scala OT"/>
          <w:sz w:val="22"/>
          <w:szCs w:val="22"/>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Scala OT" w:hAnsi="Scala OT"/>
          <w:i/>
          <w:sz w:val="22"/>
          <w:szCs w:val="22"/>
          <w:lang w:val="en-GB"/>
        </w:rPr>
      </w:pPr>
      <w:r>
        <w:rPr>
          <w:rFonts w:ascii="Scala OT" w:hAnsi="Scala OT"/>
          <w:b/>
          <w:i/>
          <w:sz w:val="22"/>
          <w:szCs w:val="22"/>
          <w:lang w:val="en-GB"/>
        </w:rPr>
        <w:t>Anlass:</w:t>
      </w:r>
      <w:r>
        <w:rPr>
          <w:rFonts w:ascii="Scala OT" w:hAnsi="Scala OT"/>
          <w:i/>
          <w:sz w:val="22"/>
          <w:szCs w:val="22"/>
          <w:lang w:val="en-GB"/>
        </w:rPr>
        <w:t xml:space="preserve"> </w:t>
      </w:r>
      <w:r>
        <w:rPr>
          <w:rFonts w:ascii="Scala OT" w:hAnsi="Scala OT"/>
          <w:i/>
          <w:sz w:val="22"/>
          <w:szCs w:val="22"/>
          <w:lang w:val="en-GB"/>
        </w:rPr>
        <w:tab/>
      </w:r>
      <w:r>
        <w:rPr>
          <w:rFonts w:ascii="Scala OT" w:hAnsi="Scala OT"/>
          <w:i/>
          <w:sz w:val="22"/>
          <w:szCs w:val="22"/>
          <w:lang w:val="en-GB"/>
        </w:rPr>
        <w:tab/>
      </w:r>
      <w:sdt>
        <w:sdtPr>
          <w:rPr>
            <w:rFonts w:ascii="Scala OT" w:hAnsi="Scala OT"/>
            <w:i/>
            <w:sz w:val="22"/>
            <w:szCs w:val="22"/>
          </w:rPr>
          <w:id w:val="-1069258484"/>
          <w:placeholder>
            <w:docPart w:val="DefaultPlaceholder_1082065158"/>
          </w:placeholder>
        </w:sdtPr>
        <w:sdtContent>
          <w:sdt>
            <w:sdtPr>
              <w:rPr>
                <w:rFonts w:ascii="Scala OT" w:hAnsi="Scala OT"/>
                <w:i/>
                <w:sz w:val="22"/>
                <w:szCs w:val="22"/>
              </w:rPr>
              <w:id w:val="334350100"/>
              <w:placeholder>
                <w:docPart w:val="0A67EC378ADB4363968F76466F3994ED"/>
              </w:placeholder>
            </w:sdtPr>
            <w:sdtContent>
              <w:r>
                <w:rPr>
                  <w:rFonts w:ascii="Scala OT" w:hAnsi="Scala OT"/>
                  <w:sz w:val="22"/>
                  <w:szCs w:val="22"/>
                  <w:lang w:val="en-GB"/>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Scala OT" w:hAnsi="Scala OT"/>
          <w:b/>
          <w:sz w:val="22"/>
          <w:szCs w:val="22"/>
        </w:rPr>
      </w:pPr>
      <w:r>
        <w:rPr>
          <w:rFonts w:ascii="Scala OT" w:hAnsi="Scala OT"/>
          <w:b/>
          <w:i/>
          <w:sz w:val="22"/>
          <w:szCs w:val="22"/>
        </w:rPr>
        <w:t>Datum:</w:t>
      </w:r>
      <w:r>
        <w:rPr>
          <w:rFonts w:ascii="Scala OT" w:hAnsi="Scala OT"/>
          <w:i/>
          <w:sz w:val="22"/>
          <w:szCs w:val="22"/>
        </w:rPr>
        <w:t xml:space="preserve"> </w:t>
      </w:r>
      <w:r>
        <w:rPr>
          <w:rFonts w:ascii="Scala OT" w:hAnsi="Scala OT"/>
          <w:i/>
          <w:sz w:val="22"/>
          <w:szCs w:val="22"/>
        </w:rPr>
        <w:tab/>
      </w:r>
      <w:r>
        <w:rPr>
          <w:rFonts w:ascii="Scala OT" w:hAnsi="Scala OT"/>
          <w:i/>
          <w:sz w:val="22"/>
          <w:szCs w:val="22"/>
        </w:rPr>
        <w:tab/>
      </w:r>
      <w:sdt>
        <w:sdtPr>
          <w:rPr>
            <w:rFonts w:ascii="Scala OT" w:hAnsi="Scala OT"/>
            <w:i/>
            <w:sz w:val="22"/>
            <w:szCs w:val="22"/>
          </w:rPr>
          <w:id w:val="1092433924"/>
          <w:placeholder>
            <w:docPart w:val="DefaultPlaceholder_1082065158"/>
          </w:placeholder>
        </w:sdtPr>
        <w:sdtContent>
          <w:r>
            <w:rPr>
              <w:rFonts w:ascii="Scala OT" w:hAnsi="Scala OT"/>
              <w:i/>
              <w:sz w:val="22"/>
              <w:szCs w:val="22"/>
            </w:rPr>
            <w:t>11.02.2020, 11:00-12:15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rFonts w:ascii="Scala OT" w:hAnsi="Scala OT"/>
          <w:sz w:val="22"/>
          <w:szCs w:val="22"/>
        </w:rPr>
      </w:pPr>
      <w:r>
        <w:rPr>
          <w:rFonts w:ascii="Scala OT" w:hAnsi="Scala OT"/>
          <w:b/>
          <w:i/>
          <w:sz w:val="22"/>
          <w:szCs w:val="22"/>
        </w:rPr>
        <w:t>Sitzungsort:</w:t>
      </w:r>
      <w:r>
        <w:rPr>
          <w:rFonts w:ascii="Scala OT" w:hAnsi="Scala OT"/>
          <w:b/>
          <w:i/>
          <w:sz w:val="22"/>
          <w:szCs w:val="22"/>
        </w:rPr>
        <w:tab/>
      </w:r>
      <w:r>
        <w:rPr>
          <w:rFonts w:ascii="Scala OT" w:hAnsi="Scala OT"/>
          <w:b/>
          <w:i/>
          <w:sz w:val="22"/>
          <w:szCs w:val="22"/>
        </w:rPr>
        <w:tab/>
      </w:r>
      <w:sdt>
        <w:sdtPr>
          <w:rPr>
            <w:rFonts w:ascii="Scala OT" w:hAnsi="Scala OT"/>
            <w:sz w:val="22"/>
            <w:szCs w:val="22"/>
          </w:rPr>
          <w:id w:val="1344203332"/>
          <w:placeholder>
            <w:docPart w:val="0F773A1FCB61483A80E8B309D8E6A01A"/>
          </w:placeholder>
        </w:sdtPr>
        <w:sdtContent>
          <w:r>
            <w:rPr>
              <w:rFonts w:ascii="Scala OT" w:hAnsi="Scala OT" w:cs="Arial"/>
              <w:sz w:val="22"/>
              <w:szCs w:val="22"/>
            </w:rPr>
            <w:t>RKI, Lagezentrum Besprechungsraum</w:t>
          </w:r>
        </w:sdtContent>
      </w:sdt>
    </w:p>
    <w:p>
      <w:pPr>
        <w:rPr>
          <w:rFonts w:ascii="Scala OT" w:hAnsi="Scala OT"/>
          <w:b/>
          <w:sz w:val="22"/>
          <w:szCs w:val="22"/>
        </w:rPr>
      </w:pPr>
      <w:r>
        <w:rPr>
          <w:rFonts w:ascii="Scala OT" w:hAnsi="Scala OT"/>
          <w:b/>
          <w:sz w:val="22"/>
          <w:szCs w:val="22"/>
        </w:rPr>
        <w:t>Moderation:  Lars Schaade</w:t>
      </w:r>
    </w:p>
    <w:p>
      <w:pPr>
        <w:rPr>
          <w:rFonts w:ascii="Scala OT" w:hAnsi="Scala OT"/>
          <w:b/>
          <w:sz w:val="22"/>
          <w:szCs w:val="22"/>
        </w:rPr>
      </w:pPr>
      <w:r>
        <w:rPr>
          <w:rFonts w:ascii="Scala OT" w:hAnsi="Scala OT"/>
          <w:b/>
          <w:sz w:val="22"/>
          <w:szCs w:val="22"/>
        </w:rPr>
        <w:t xml:space="preserve">Teilnehmende: </w:t>
      </w:r>
    </w:p>
    <w:p>
      <w:pPr>
        <w:pStyle w:val="Listenabsatz"/>
        <w:numPr>
          <w:ilvl w:val="0"/>
          <w:numId w:val="4"/>
        </w:numPr>
        <w:spacing w:after="0"/>
        <w:contextualSpacing w:val="0"/>
        <w:rPr>
          <w:rFonts w:ascii="Scala OT" w:hAnsi="Scala OT"/>
          <w:sz w:val="22"/>
          <w:szCs w:val="22"/>
        </w:rPr>
      </w:pPr>
      <w:r>
        <w:rPr>
          <w:rFonts w:ascii="Scala OT" w:hAnsi="Scala OT"/>
          <w:sz w:val="22"/>
          <w:szCs w:val="22"/>
        </w:rPr>
        <w:t>Institutsleitung</w:t>
      </w:r>
    </w:p>
    <w:p>
      <w:pPr>
        <w:pStyle w:val="Listenabsatz"/>
        <w:numPr>
          <w:ilvl w:val="1"/>
          <w:numId w:val="2"/>
        </w:numPr>
        <w:spacing w:after="0"/>
        <w:contextualSpacing w:val="0"/>
        <w:rPr>
          <w:rFonts w:ascii="Scala OT" w:hAnsi="Scala OT"/>
          <w:sz w:val="22"/>
          <w:szCs w:val="22"/>
        </w:rPr>
      </w:pPr>
      <w:r>
        <w:rPr>
          <w:rFonts w:ascii="Scala OT" w:hAnsi="Scala OT"/>
          <w:sz w:val="22"/>
          <w:szCs w:val="22"/>
        </w:rPr>
        <w:t xml:space="preserve">Lars Schaade </w:t>
      </w:r>
    </w:p>
    <w:p>
      <w:pPr>
        <w:pStyle w:val="Listenabsatz"/>
        <w:numPr>
          <w:ilvl w:val="0"/>
          <w:numId w:val="2"/>
        </w:numPr>
        <w:spacing w:after="0"/>
        <w:contextualSpacing w:val="0"/>
        <w:rPr>
          <w:rFonts w:ascii="Scala OT" w:hAnsi="Scala OT"/>
          <w:sz w:val="22"/>
          <w:szCs w:val="22"/>
        </w:rPr>
      </w:pPr>
      <w:r>
        <w:rPr>
          <w:rFonts w:ascii="Scala OT" w:hAnsi="Scala OT"/>
          <w:sz w:val="22"/>
          <w:szCs w:val="22"/>
        </w:rPr>
        <w:t>Abt. 1 Leitung</w:t>
      </w:r>
    </w:p>
    <w:p>
      <w:pPr>
        <w:pStyle w:val="Listenabsatz"/>
        <w:numPr>
          <w:ilvl w:val="1"/>
          <w:numId w:val="2"/>
        </w:numPr>
        <w:spacing w:after="0"/>
        <w:contextualSpacing w:val="0"/>
        <w:rPr>
          <w:rFonts w:ascii="Scala OT" w:hAnsi="Scala OT"/>
          <w:sz w:val="22"/>
          <w:szCs w:val="22"/>
        </w:rPr>
      </w:pPr>
      <w:r>
        <w:rPr>
          <w:rFonts w:ascii="Scala OT" w:hAnsi="Scala OT"/>
          <w:sz w:val="22"/>
          <w:szCs w:val="22"/>
        </w:rPr>
        <w:t xml:space="preserve">Martin Mielke </w:t>
      </w:r>
    </w:p>
    <w:p>
      <w:pPr>
        <w:pStyle w:val="Listenabsatz"/>
        <w:numPr>
          <w:ilvl w:val="0"/>
          <w:numId w:val="2"/>
        </w:numPr>
        <w:spacing w:after="0"/>
        <w:contextualSpacing w:val="0"/>
        <w:rPr>
          <w:rFonts w:ascii="Scala OT" w:hAnsi="Scala OT"/>
          <w:sz w:val="22"/>
          <w:szCs w:val="22"/>
        </w:rPr>
      </w:pPr>
      <w:r>
        <w:rPr>
          <w:rFonts w:ascii="Scala OT" w:hAnsi="Scala OT"/>
          <w:sz w:val="22"/>
          <w:szCs w:val="22"/>
        </w:rPr>
        <w:t>Abt. 3 Leitung</w:t>
      </w:r>
    </w:p>
    <w:p>
      <w:pPr>
        <w:pStyle w:val="Listenabsatz"/>
        <w:numPr>
          <w:ilvl w:val="1"/>
          <w:numId w:val="2"/>
        </w:numPr>
        <w:spacing w:after="0"/>
        <w:contextualSpacing w:val="0"/>
        <w:rPr>
          <w:rFonts w:ascii="Scala OT" w:hAnsi="Scala OT"/>
          <w:sz w:val="22"/>
          <w:szCs w:val="22"/>
        </w:rPr>
      </w:pPr>
      <w:r>
        <w:rPr>
          <w:rFonts w:ascii="Scala OT" w:hAnsi="Scala OT"/>
          <w:sz w:val="22"/>
          <w:szCs w:val="22"/>
        </w:rPr>
        <w:t>Osamah Hamouda</w:t>
      </w:r>
    </w:p>
    <w:p>
      <w:pPr>
        <w:pStyle w:val="Listenabsatz"/>
        <w:numPr>
          <w:ilvl w:val="0"/>
          <w:numId w:val="4"/>
        </w:numPr>
        <w:spacing w:after="0"/>
        <w:contextualSpacing w:val="0"/>
        <w:rPr>
          <w:rFonts w:ascii="Scala OT" w:hAnsi="Scala OT"/>
          <w:sz w:val="22"/>
          <w:szCs w:val="22"/>
        </w:rPr>
      </w:pPr>
      <w:r>
        <w:rPr>
          <w:rFonts w:ascii="Scala OT" w:hAnsi="Scala OT"/>
          <w:sz w:val="22"/>
          <w:szCs w:val="22"/>
        </w:rPr>
        <w:t>FG14</w:t>
      </w:r>
    </w:p>
    <w:p>
      <w:pPr>
        <w:pStyle w:val="Listenabsatz"/>
        <w:numPr>
          <w:ilvl w:val="1"/>
          <w:numId w:val="2"/>
        </w:numPr>
        <w:spacing w:after="0"/>
        <w:contextualSpacing w:val="0"/>
        <w:rPr>
          <w:rFonts w:ascii="Scala OT" w:hAnsi="Scala OT"/>
          <w:sz w:val="22"/>
          <w:szCs w:val="22"/>
        </w:rPr>
      </w:pPr>
      <w:r>
        <w:rPr>
          <w:rFonts w:ascii="Scala OT" w:hAnsi="Scala OT"/>
          <w:sz w:val="22"/>
          <w:szCs w:val="22"/>
        </w:rPr>
        <w:t xml:space="preserve">Melanie Brunke </w:t>
      </w:r>
    </w:p>
    <w:p>
      <w:pPr>
        <w:pStyle w:val="Listenabsatz"/>
        <w:numPr>
          <w:ilvl w:val="1"/>
          <w:numId w:val="2"/>
        </w:numPr>
        <w:spacing w:after="0"/>
        <w:contextualSpacing w:val="0"/>
        <w:rPr>
          <w:rFonts w:ascii="Scala OT" w:hAnsi="Scala OT"/>
          <w:sz w:val="22"/>
          <w:szCs w:val="22"/>
        </w:rPr>
      </w:pPr>
      <w:r>
        <w:rPr>
          <w:rFonts w:ascii="Scala OT" w:hAnsi="Scala OT"/>
          <w:sz w:val="22"/>
          <w:szCs w:val="22"/>
        </w:rPr>
        <w:t>Marc Thanheiser</w:t>
      </w:r>
    </w:p>
    <w:p>
      <w:pPr>
        <w:pStyle w:val="Listenabsatz"/>
        <w:numPr>
          <w:ilvl w:val="0"/>
          <w:numId w:val="4"/>
        </w:numPr>
        <w:spacing w:after="0"/>
        <w:contextualSpacing w:val="0"/>
        <w:rPr>
          <w:rFonts w:ascii="Scala OT" w:hAnsi="Scala OT"/>
          <w:sz w:val="22"/>
          <w:szCs w:val="22"/>
        </w:rPr>
      </w:pPr>
      <w:r>
        <w:rPr>
          <w:rFonts w:ascii="Scala OT" w:hAnsi="Scala OT"/>
          <w:sz w:val="22"/>
          <w:szCs w:val="22"/>
        </w:rPr>
        <w:t>FG17</w:t>
      </w:r>
    </w:p>
    <w:p>
      <w:pPr>
        <w:pStyle w:val="Listenabsatz"/>
        <w:numPr>
          <w:ilvl w:val="1"/>
          <w:numId w:val="4"/>
        </w:numPr>
        <w:spacing w:after="0"/>
        <w:contextualSpacing w:val="0"/>
        <w:rPr>
          <w:rFonts w:ascii="Scala OT" w:hAnsi="Scala OT"/>
          <w:sz w:val="22"/>
          <w:szCs w:val="22"/>
        </w:rPr>
      </w:pPr>
      <w:r>
        <w:rPr>
          <w:rFonts w:ascii="Scala OT" w:hAnsi="Scala OT"/>
          <w:sz w:val="22"/>
          <w:szCs w:val="22"/>
        </w:rPr>
        <w:t xml:space="preserve">Thorsten Wolff </w:t>
      </w:r>
    </w:p>
    <w:p>
      <w:pPr>
        <w:pStyle w:val="Listenabsatz"/>
        <w:numPr>
          <w:ilvl w:val="0"/>
          <w:numId w:val="5"/>
        </w:numPr>
        <w:spacing w:after="0"/>
        <w:contextualSpacing w:val="0"/>
        <w:rPr>
          <w:rFonts w:ascii="Scala OT" w:hAnsi="Scala OT"/>
          <w:sz w:val="22"/>
          <w:szCs w:val="22"/>
        </w:rPr>
      </w:pPr>
      <w:r>
        <w:rPr>
          <w:rFonts w:ascii="Scala OT" w:hAnsi="Scala OT"/>
          <w:sz w:val="22"/>
          <w:szCs w:val="22"/>
        </w:rPr>
        <w:t>FG 32</w:t>
      </w:r>
    </w:p>
    <w:p>
      <w:pPr>
        <w:pStyle w:val="Listenabsatz"/>
        <w:numPr>
          <w:ilvl w:val="1"/>
          <w:numId w:val="2"/>
        </w:numPr>
        <w:spacing w:after="0"/>
        <w:contextualSpacing w:val="0"/>
        <w:rPr>
          <w:rFonts w:ascii="Scala OT" w:hAnsi="Scala OT"/>
          <w:sz w:val="22"/>
          <w:szCs w:val="22"/>
          <w:lang w:val="en-GB"/>
        </w:rPr>
      </w:pPr>
      <w:r>
        <w:rPr>
          <w:rFonts w:ascii="Scala OT" w:hAnsi="Scala OT"/>
          <w:sz w:val="22"/>
          <w:szCs w:val="22"/>
          <w:lang w:val="en-GB"/>
        </w:rPr>
        <w:t>Ute Rexroth</w:t>
      </w:r>
    </w:p>
    <w:p>
      <w:pPr>
        <w:pStyle w:val="Listenabsatz"/>
        <w:numPr>
          <w:ilvl w:val="1"/>
          <w:numId w:val="2"/>
        </w:numPr>
        <w:spacing w:after="0"/>
        <w:contextualSpacing w:val="0"/>
        <w:rPr>
          <w:rFonts w:ascii="Scala OT" w:hAnsi="Scala OT"/>
          <w:sz w:val="22"/>
          <w:szCs w:val="22"/>
          <w:lang w:val="en-GB"/>
        </w:rPr>
      </w:pPr>
      <w:r>
        <w:rPr>
          <w:rFonts w:ascii="Scala OT" w:hAnsi="Scala OT"/>
          <w:sz w:val="22"/>
          <w:szCs w:val="22"/>
          <w:lang w:val="en-GB"/>
        </w:rPr>
        <w:t>Juliane Seidel (</w:t>
      </w:r>
      <w:r>
        <w:rPr>
          <w:rFonts w:ascii="Scala OT" w:hAnsi="Scala OT"/>
          <w:sz w:val="22"/>
          <w:szCs w:val="22"/>
        </w:rPr>
        <w:t>Protokoll</w:t>
      </w:r>
      <w:r>
        <w:rPr>
          <w:rFonts w:ascii="Scala OT" w:hAnsi="Scala OT"/>
          <w:sz w:val="22"/>
          <w:szCs w:val="22"/>
          <w:lang w:val="en-GB"/>
        </w:rPr>
        <w:t>)</w:t>
      </w:r>
    </w:p>
    <w:p>
      <w:pPr>
        <w:pStyle w:val="Listenabsatz"/>
        <w:numPr>
          <w:ilvl w:val="0"/>
          <w:numId w:val="2"/>
        </w:numPr>
        <w:spacing w:after="0"/>
        <w:contextualSpacing w:val="0"/>
        <w:rPr>
          <w:rFonts w:ascii="Scala OT" w:hAnsi="Scala OT"/>
          <w:sz w:val="22"/>
          <w:szCs w:val="22"/>
        </w:rPr>
      </w:pPr>
      <w:r>
        <w:rPr>
          <w:rFonts w:ascii="Scala OT" w:hAnsi="Scala OT"/>
          <w:sz w:val="22"/>
          <w:szCs w:val="22"/>
        </w:rPr>
        <w:t>FG 37</w:t>
      </w:r>
    </w:p>
    <w:p>
      <w:pPr>
        <w:pStyle w:val="Listenabsatz"/>
        <w:numPr>
          <w:ilvl w:val="1"/>
          <w:numId w:val="2"/>
        </w:numPr>
        <w:spacing w:after="0"/>
        <w:contextualSpacing w:val="0"/>
        <w:rPr>
          <w:rFonts w:ascii="Scala OT" w:hAnsi="Scala OT"/>
          <w:sz w:val="22"/>
          <w:szCs w:val="22"/>
        </w:rPr>
      </w:pPr>
      <w:r>
        <w:rPr>
          <w:rFonts w:ascii="Scala OT" w:hAnsi="Scala OT"/>
          <w:sz w:val="22"/>
          <w:szCs w:val="22"/>
        </w:rPr>
        <w:t>Muna  Abu Sin</w:t>
      </w:r>
    </w:p>
    <w:p>
      <w:pPr>
        <w:pStyle w:val="Listenabsatz"/>
        <w:numPr>
          <w:ilvl w:val="0"/>
          <w:numId w:val="2"/>
        </w:numPr>
        <w:spacing w:after="0"/>
        <w:contextualSpacing w:val="0"/>
        <w:rPr>
          <w:rFonts w:ascii="Scala OT" w:hAnsi="Scala OT"/>
          <w:sz w:val="22"/>
          <w:szCs w:val="22"/>
        </w:rPr>
      </w:pPr>
      <w:r>
        <w:rPr>
          <w:rFonts w:ascii="Scala OT" w:hAnsi="Scala OT"/>
          <w:sz w:val="22"/>
          <w:szCs w:val="22"/>
        </w:rPr>
        <w:t>FG36</w:t>
      </w:r>
    </w:p>
    <w:p>
      <w:pPr>
        <w:pStyle w:val="Listenabsatz"/>
        <w:numPr>
          <w:ilvl w:val="1"/>
          <w:numId w:val="2"/>
        </w:numPr>
        <w:spacing w:after="0"/>
        <w:contextualSpacing w:val="0"/>
        <w:rPr>
          <w:rFonts w:ascii="Scala OT" w:hAnsi="Scala OT"/>
          <w:sz w:val="22"/>
          <w:szCs w:val="22"/>
        </w:rPr>
      </w:pPr>
      <w:r>
        <w:rPr>
          <w:rFonts w:ascii="Scala OT" w:hAnsi="Scala OT"/>
          <w:sz w:val="22"/>
          <w:szCs w:val="22"/>
        </w:rPr>
        <w:t>Walter Haas</w:t>
      </w:r>
    </w:p>
    <w:p>
      <w:pPr>
        <w:pStyle w:val="Listenabsatz"/>
        <w:numPr>
          <w:ilvl w:val="0"/>
          <w:numId w:val="4"/>
        </w:numPr>
        <w:spacing w:after="0"/>
        <w:contextualSpacing w:val="0"/>
        <w:rPr>
          <w:rFonts w:ascii="Scala OT" w:hAnsi="Scala OT"/>
          <w:sz w:val="22"/>
          <w:szCs w:val="22"/>
        </w:rPr>
      </w:pPr>
      <w:r>
        <w:rPr>
          <w:rFonts w:ascii="Scala OT" w:hAnsi="Scala OT"/>
          <w:sz w:val="22"/>
          <w:szCs w:val="22"/>
        </w:rPr>
        <w:t>IBBS</w:t>
      </w:r>
    </w:p>
    <w:p>
      <w:pPr>
        <w:pStyle w:val="Listenabsatz"/>
        <w:numPr>
          <w:ilvl w:val="1"/>
          <w:numId w:val="4"/>
        </w:numPr>
        <w:spacing w:after="0"/>
        <w:contextualSpacing w:val="0"/>
        <w:rPr>
          <w:rFonts w:ascii="Scala OT" w:hAnsi="Scala OT"/>
          <w:sz w:val="22"/>
          <w:szCs w:val="22"/>
        </w:rPr>
      </w:pPr>
      <w:r>
        <w:rPr>
          <w:rFonts w:ascii="Scala OT" w:hAnsi="Scala OT"/>
          <w:sz w:val="22"/>
          <w:szCs w:val="22"/>
        </w:rPr>
        <w:t>Bettina Ruehe</w:t>
      </w:r>
    </w:p>
    <w:p>
      <w:pPr>
        <w:pStyle w:val="Listenabsatz"/>
        <w:numPr>
          <w:ilvl w:val="0"/>
          <w:numId w:val="4"/>
        </w:numPr>
        <w:spacing w:after="0"/>
        <w:contextualSpacing w:val="0"/>
        <w:rPr>
          <w:rFonts w:ascii="Scala OT" w:hAnsi="Scala OT"/>
          <w:sz w:val="22"/>
          <w:szCs w:val="22"/>
        </w:rPr>
      </w:pPr>
      <w:r>
        <w:rPr>
          <w:rFonts w:ascii="Scala OT" w:hAnsi="Scala OT"/>
          <w:sz w:val="22"/>
          <w:szCs w:val="22"/>
        </w:rPr>
        <w:t>L1 Rechtsreferat</w:t>
      </w:r>
    </w:p>
    <w:p>
      <w:pPr>
        <w:pStyle w:val="Listenabsatz"/>
        <w:numPr>
          <w:ilvl w:val="1"/>
          <w:numId w:val="4"/>
        </w:numPr>
        <w:spacing w:after="0"/>
        <w:contextualSpacing w:val="0"/>
        <w:rPr>
          <w:rFonts w:ascii="Scala OT" w:hAnsi="Scala OT"/>
          <w:sz w:val="22"/>
          <w:szCs w:val="22"/>
        </w:rPr>
      </w:pPr>
      <w:r>
        <w:rPr>
          <w:rFonts w:ascii="Scala OT" w:hAnsi="Scala OT"/>
          <w:sz w:val="22"/>
          <w:szCs w:val="22"/>
        </w:rPr>
        <w:t xml:space="preserve">Helmut Fouquet </w:t>
      </w:r>
    </w:p>
    <w:p>
      <w:pPr>
        <w:pStyle w:val="Listenabsatz"/>
        <w:numPr>
          <w:ilvl w:val="0"/>
          <w:numId w:val="4"/>
        </w:numPr>
        <w:spacing w:after="0"/>
        <w:contextualSpacing w:val="0"/>
        <w:rPr>
          <w:rFonts w:ascii="Scala OT" w:hAnsi="Scala OT"/>
          <w:sz w:val="22"/>
          <w:szCs w:val="22"/>
        </w:rPr>
      </w:pPr>
      <w:r>
        <w:rPr>
          <w:rFonts w:ascii="Scala OT" w:hAnsi="Scala OT"/>
          <w:sz w:val="22"/>
          <w:szCs w:val="22"/>
        </w:rPr>
        <w:t>Presse</w:t>
      </w:r>
    </w:p>
    <w:p>
      <w:pPr>
        <w:pStyle w:val="Listenabsatz"/>
        <w:numPr>
          <w:ilvl w:val="1"/>
          <w:numId w:val="2"/>
        </w:numPr>
        <w:spacing w:after="0"/>
        <w:contextualSpacing w:val="0"/>
        <w:rPr>
          <w:rFonts w:ascii="Scala OT" w:hAnsi="Scala OT"/>
          <w:sz w:val="22"/>
          <w:szCs w:val="22"/>
        </w:rPr>
      </w:pPr>
      <w:r>
        <w:rPr>
          <w:rFonts w:ascii="Scala OT" w:hAnsi="Scala OT"/>
          <w:sz w:val="22"/>
          <w:szCs w:val="22"/>
        </w:rPr>
        <w:t>Susanne Glasmacher</w:t>
      </w:r>
    </w:p>
    <w:p>
      <w:pPr>
        <w:pStyle w:val="Listenabsatz"/>
        <w:numPr>
          <w:ilvl w:val="0"/>
          <w:numId w:val="6"/>
        </w:numPr>
        <w:spacing w:after="0"/>
        <w:contextualSpacing w:val="0"/>
        <w:rPr>
          <w:rFonts w:ascii="Scala OT" w:hAnsi="Scala OT"/>
          <w:sz w:val="22"/>
          <w:szCs w:val="22"/>
        </w:rPr>
      </w:pPr>
      <w:r>
        <w:rPr>
          <w:rFonts w:ascii="Scala OT" w:hAnsi="Scala OT"/>
          <w:sz w:val="22"/>
          <w:szCs w:val="22"/>
        </w:rPr>
        <w:t>ZBS1</w:t>
      </w:r>
    </w:p>
    <w:p>
      <w:pPr>
        <w:pStyle w:val="Listenabsatz"/>
        <w:numPr>
          <w:ilvl w:val="1"/>
          <w:numId w:val="2"/>
        </w:numPr>
        <w:spacing w:after="0"/>
        <w:contextualSpacing w:val="0"/>
        <w:rPr>
          <w:rFonts w:ascii="Scala OT" w:hAnsi="Scala OT"/>
          <w:sz w:val="22"/>
          <w:szCs w:val="22"/>
        </w:rPr>
      </w:pPr>
      <w:r>
        <w:rPr>
          <w:rFonts w:ascii="Scala OT" w:hAnsi="Scala OT"/>
          <w:sz w:val="22"/>
          <w:szCs w:val="22"/>
        </w:rPr>
        <w:t xml:space="preserve">Livia Schrick </w:t>
      </w:r>
    </w:p>
    <w:p>
      <w:pPr>
        <w:pStyle w:val="Listenabsatz"/>
        <w:numPr>
          <w:ilvl w:val="0"/>
          <w:numId w:val="2"/>
        </w:numPr>
        <w:spacing w:after="0"/>
        <w:contextualSpacing w:val="0"/>
        <w:rPr>
          <w:rFonts w:ascii="Scala OT" w:hAnsi="Scala OT"/>
          <w:sz w:val="22"/>
          <w:szCs w:val="22"/>
        </w:rPr>
      </w:pPr>
      <w:r>
        <w:rPr>
          <w:rFonts w:ascii="Scala OT" w:hAnsi="Scala OT"/>
          <w:sz w:val="22"/>
          <w:szCs w:val="22"/>
        </w:rPr>
        <w:t>INIG</w:t>
      </w:r>
    </w:p>
    <w:p>
      <w:pPr>
        <w:pStyle w:val="Listenabsatz"/>
        <w:numPr>
          <w:ilvl w:val="1"/>
          <w:numId w:val="2"/>
        </w:numPr>
        <w:spacing w:after="0"/>
        <w:contextualSpacing w:val="0"/>
        <w:rPr>
          <w:rFonts w:ascii="Scala OT" w:hAnsi="Scala OT"/>
          <w:sz w:val="22"/>
          <w:szCs w:val="22"/>
        </w:rPr>
      </w:pPr>
      <w:r>
        <w:rPr>
          <w:rFonts w:ascii="Scala OT" w:hAnsi="Scala OT"/>
          <w:sz w:val="22"/>
          <w:szCs w:val="22"/>
        </w:rPr>
        <w:t>Sarah Esquevin</w:t>
      </w:r>
    </w:p>
    <w:p>
      <w:pPr>
        <w:pStyle w:val="Listenabsatz"/>
        <w:numPr>
          <w:ilvl w:val="0"/>
          <w:numId w:val="2"/>
        </w:numPr>
        <w:spacing w:after="0"/>
        <w:contextualSpacing w:val="0"/>
        <w:rPr>
          <w:rFonts w:ascii="Scala OT" w:hAnsi="Scala OT"/>
          <w:sz w:val="22"/>
          <w:szCs w:val="22"/>
        </w:rPr>
      </w:pPr>
      <w:r>
        <w:rPr>
          <w:rFonts w:ascii="Scala OT" w:hAnsi="Scala OT"/>
          <w:sz w:val="22"/>
          <w:szCs w:val="22"/>
        </w:rPr>
        <w:t>BZgA</w:t>
      </w:r>
    </w:p>
    <w:p>
      <w:pPr>
        <w:pStyle w:val="Listenabsatz"/>
        <w:numPr>
          <w:ilvl w:val="1"/>
          <w:numId w:val="2"/>
        </w:numPr>
        <w:spacing w:after="0"/>
        <w:contextualSpacing w:val="0"/>
        <w:rPr>
          <w:rFonts w:ascii="Scala OT" w:hAnsi="Scala OT"/>
          <w:sz w:val="22"/>
          <w:szCs w:val="22"/>
        </w:rPr>
      </w:pPr>
      <w:r>
        <w:rPr>
          <w:rFonts w:ascii="Scala OT" w:hAnsi="Scala OT"/>
          <w:sz w:val="22"/>
          <w:szCs w:val="22"/>
        </w:rPr>
        <w:t>Peter Lang (per Telefon)</w:t>
      </w:r>
    </w:p>
    <w:p>
      <w:pPr>
        <w:pStyle w:val="Listenabsatz"/>
        <w:numPr>
          <w:ilvl w:val="0"/>
          <w:numId w:val="2"/>
        </w:numPr>
        <w:spacing w:after="0"/>
        <w:contextualSpacing w:val="0"/>
        <w:rPr>
          <w:rFonts w:ascii="Scala OT" w:hAnsi="Scala OT"/>
          <w:sz w:val="22"/>
          <w:szCs w:val="22"/>
        </w:rPr>
      </w:pPr>
      <w:r>
        <w:rPr>
          <w:rFonts w:ascii="Scala OT" w:hAnsi="Scala OT"/>
          <w:sz w:val="22"/>
          <w:szCs w:val="22"/>
        </w:rPr>
        <w:t xml:space="preserve">Bundeswehr </w:t>
      </w:r>
    </w:p>
    <w:p>
      <w:pPr>
        <w:pStyle w:val="Listenabsatz"/>
        <w:numPr>
          <w:ilvl w:val="1"/>
          <w:numId w:val="2"/>
        </w:numPr>
        <w:spacing w:after="0"/>
        <w:contextualSpacing w:val="0"/>
        <w:rPr>
          <w:rFonts w:ascii="Scala OT" w:hAnsi="Scala OT"/>
          <w:sz w:val="22"/>
          <w:szCs w:val="22"/>
        </w:rPr>
      </w:pPr>
      <w:r>
        <w:rPr>
          <w:rFonts w:ascii="Scala OT" w:hAnsi="Scala OT"/>
          <w:sz w:val="22"/>
          <w:szCs w:val="22"/>
        </w:rPr>
        <w:t xml:space="preserve">Herr </w:t>
      </w:r>
      <w:proofErr w:type="spellStart"/>
      <w:r>
        <w:rPr>
          <w:rFonts w:ascii="Scala OT" w:hAnsi="Scala OT"/>
          <w:sz w:val="22"/>
          <w:szCs w:val="22"/>
        </w:rPr>
        <w:t>Harbaum</w:t>
      </w:r>
      <w:proofErr w:type="spellEnd"/>
      <w:r>
        <w:rPr>
          <w:rFonts w:ascii="Scala OT" w:hAnsi="Scala OT"/>
          <w:sz w:val="22"/>
          <w:szCs w:val="22"/>
        </w:rPr>
        <w:t xml:space="preserve"> (per Telefon)</w:t>
      </w:r>
      <w:r>
        <w:rPr>
          <w:rFonts w:ascii="Scala OT" w:hAnsi="Scala OT"/>
          <w:sz w:val="22"/>
          <w:szCs w:val="22"/>
        </w:rPr>
        <w:br w:type="page"/>
      </w:r>
      <w:r>
        <w:rPr>
          <w:rFonts w:ascii="Scala OT" w:hAnsi="Scala OT"/>
          <w:sz w:val="22"/>
          <w:szCs w:val="22"/>
        </w:rPr>
        <w:lastRenderedPageBreak/>
        <w:t xml:space="preserve"> </w:t>
      </w:r>
    </w:p>
    <w:tbl>
      <w:tblPr>
        <w:tblStyle w:val="Tabellenraster"/>
        <w:tblW w:w="8613" w:type="dxa"/>
        <w:tblLayout w:type="fixed"/>
        <w:tblLook w:val="00A0" w:firstRow="1" w:lastRow="0" w:firstColumn="1" w:lastColumn="0" w:noHBand="0" w:noVBand="0"/>
      </w:tblPr>
      <w:tblGrid>
        <w:gridCol w:w="684"/>
        <w:gridCol w:w="7929"/>
      </w:tblGrid>
      <w:tr>
        <w:tc>
          <w:tcPr>
            <w:tcW w:w="684" w:type="dxa"/>
          </w:tcPr>
          <w:p>
            <w:pPr>
              <w:rPr>
                <w:rFonts w:ascii="Scala OT" w:hAnsi="Scala OT"/>
                <w:b/>
                <w:sz w:val="22"/>
                <w:szCs w:val="22"/>
              </w:rPr>
            </w:pPr>
            <w:r>
              <w:rPr>
                <w:rFonts w:ascii="Scala OT" w:hAnsi="Scala OT"/>
                <w:b/>
                <w:sz w:val="22"/>
                <w:szCs w:val="22"/>
              </w:rPr>
              <w:t>TOP</w:t>
            </w:r>
          </w:p>
        </w:tc>
        <w:tc>
          <w:tcPr>
            <w:tcW w:w="7929" w:type="dxa"/>
          </w:tcPr>
          <w:p>
            <w:pPr>
              <w:rPr>
                <w:rFonts w:ascii="Scala OT" w:hAnsi="Scala OT"/>
                <w:b/>
                <w:sz w:val="22"/>
                <w:szCs w:val="22"/>
              </w:rPr>
            </w:pPr>
            <w:r>
              <w:rPr>
                <w:rFonts w:ascii="Scala OT" w:hAnsi="Scala OT"/>
                <w:b/>
                <w:sz w:val="22"/>
                <w:szCs w:val="22"/>
              </w:rPr>
              <w:t>Beitrag/Thema</w:t>
            </w:r>
          </w:p>
        </w:tc>
      </w:tr>
      <w:tr>
        <w:tc>
          <w:tcPr>
            <w:tcW w:w="684" w:type="dxa"/>
          </w:tcPr>
          <w:p>
            <w:pPr>
              <w:rPr>
                <w:rFonts w:ascii="Scala OT" w:hAnsi="Scala OT"/>
                <w:b/>
                <w:sz w:val="22"/>
                <w:szCs w:val="22"/>
              </w:rPr>
            </w:pPr>
            <w:r>
              <w:rPr>
                <w:rFonts w:ascii="Scala OT" w:hAnsi="Scala OT"/>
                <w:b/>
                <w:sz w:val="22"/>
                <w:szCs w:val="22"/>
              </w:rPr>
              <w:t>1</w:t>
            </w:r>
          </w:p>
        </w:tc>
        <w:tc>
          <w:tcPr>
            <w:tcW w:w="7929" w:type="dxa"/>
          </w:tcPr>
          <w:p>
            <w:pPr>
              <w:pStyle w:val="Listenabsatz"/>
              <w:ind w:left="0"/>
              <w:rPr>
                <w:rFonts w:ascii="Scala OT" w:hAnsi="Scala OT"/>
                <w:b/>
                <w:sz w:val="22"/>
                <w:szCs w:val="22"/>
              </w:rPr>
            </w:pPr>
            <w:r>
              <w:rPr>
                <w:rFonts w:ascii="Scala OT" w:hAnsi="Scala OT"/>
                <w:b/>
                <w:sz w:val="22"/>
                <w:szCs w:val="22"/>
              </w:rPr>
              <w:t xml:space="preserve">Aktuelle Lage </w:t>
            </w:r>
          </w:p>
          <w:p>
            <w:pPr>
              <w:pStyle w:val="Listenabsatz"/>
              <w:ind w:left="0"/>
              <w:rPr>
                <w:rFonts w:ascii="Scala OT" w:hAnsi="Scala OT"/>
                <w:b/>
                <w:sz w:val="22"/>
                <w:szCs w:val="22"/>
              </w:rPr>
            </w:pPr>
            <w:r>
              <w:rPr>
                <w:rFonts w:ascii="Scala OT" w:hAnsi="Scala OT"/>
                <w:b/>
                <w:sz w:val="22"/>
                <w:szCs w:val="22"/>
              </w:rPr>
              <w:t xml:space="preserve">International </w:t>
            </w:r>
          </w:p>
          <w:p>
            <w:pPr>
              <w:pStyle w:val="Listenabsatz"/>
              <w:numPr>
                <w:ilvl w:val="0"/>
                <w:numId w:val="8"/>
              </w:numPr>
              <w:rPr>
                <w:rFonts w:ascii="Scala OT" w:hAnsi="Scala OT"/>
                <w:sz w:val="22"/>
                <w:szCs w:val="22"/>
              </w:rPr>
            </w:pPr>
            <w:r>
              <w:rPr>
                <w:rFonts w:ascii="Scala OT" w:hAnsi="Scala OT"/>
                <w:sz w:val="22"/>
                <w:szCs w:val="22"/>
              </w:rPr>
              <w:t>Weltweit insgesamt 43.104 Fälle, 2.484 Fälle mehr seit gestern, davon 1018 Todesfälle (2,4% Letalität);</w:t>
            </w:r>
          </w:p>
          <w:p>
            <w:pPr>
              <w:pStyle w:val="Listenabsatz"/>
              <w:numPr>
                <w:ilvl w:val="0"/>
                <w:numId w:val="8"/>
              </w:numPr>
              <w:rPr>
                <w:rFonts w:ascii="Scala OT" w:hAnsi="Scala OT"/>
                <w:sz w:val="22"/>
                <w:szCs w:val="22"/>
              </w:rPr>
            </w:pPr>
            <w:r>
              <w:rPr>
                <w:rFonts w:ascii="Scala OT" w:hAnsi="Scala OT"/>
                <w:sz w:val="22"/>
                <w:szCs w:val="22"/>
              </w:rPr>
              <w:t xml:space="preserve"> Provinz Hubei 31.728 (74% von Gesamtanzahl), 974 Todesfälle (96% aller Todesfälle);</w:t>
            </w:r>
          </w:p>
          <w:p>
            <w:pPr>
              <w:pStyle w:val="Listenabsatz"/>
              <w:numPr>
                <w:ilvl w:val="0"/>
                <w:numId w:val="8"/>
              </w:numPr>
              <w:rPr>
                <w:rFonts w:ascii="Scala OT" w:hAnsi="Scala OT"/>
                <w:sz w:val="22"/>
                <w:szCs w:val="22"/>
              </w:rPr>
            </w:pPr>
            <w:r>
              <w:rPr>
                <w:rFonts w:ascii="Scala OT" w:hAnsi="Scala OT"/>
                <w:sz w:val="22"/>
                <w:szCs w:val="22"/>
              </w:rPr>
              <w:t xml:space="preserve">16% ernste Fälle, 4% kritisch Zustand, </w:t>
            </w:r>
          </w:p>
          <w:p>
            <w:pPr>
              <w:pStyle w:val="Listenabsatz"/>
              <w:numPr>
                <w:ilvl w:val="0"/>
                <w:numId w:val="8"/>
              </w:numPr>
              <w:rPr>
                <w:rFonts w:ascii="Scala OT" w:hAnsi="Scala OT"/>
                <w:sz w:val="22"/>
                <w:szCs w:val="22"/>
              </w:rPr>
            </w:pPr>
            <w:r>
              <w:rPr>
                <w:rFonts w:ascii="Scala OT" w:hAnsi="Scala OT"/>
                <w:sz w:val="22"/>
                <w:szCs w:val="22"/>
              </w:rPr>
              <w:t>396 Fälle außerhalb Chinas  in 24 Ländern (135 Fälle auf dem Kreuzfahrtschiff, aktuell Japan zugerechnet), in WHO Europa Region 43 Fälle in 9 Ländern (FR, DE, IT, SP, SE, UK, FI, BE, RU), 14 in Deutschland (Bayern–Cluster:12, Germersheim:2)</w:t>
            </w:r>
          </w:p>
          <w:p>
            <w:pPr>
              <w:rPr>
                <w:rFonts w:ascii="Scala OT" w:hAnsi="Scala OT"/>
                <w:b/>
                <w:sz w:val="22"/>
                <w:szCs w:val="22"/>
              </w:rPr>
            </w:pPr>
            <w:r>
              <w:rPr>
                <w:rFonts w:ascii="Scala OT" w:hAnsi="Scala OT"/>
                <w:b/>
                <w:sz w:val="22"/>
                <w:szCs w:val="22"/>
              </w:rPr>
              <w:t xml:space="preserve">National </w:t>
            </w:r>
          </w:p>
          <w:p>
            <w:pPr>
              <w:pStyle w:val="Listenabsatz"/>
              <w:numPr>
                <w:ilvl w:val="0"/>
                <w:numId w:val="8"/>
              </w:numPr>
              <w:rPr>
                <w:rFonts w:ascii="Scala OT" w:hAnsi="Scala OT"/>
                <w:sz w:val="22"/>
                <w:szCs w:val="22"/>
              </w:rPr>
            </w:pPr>
            <w:r>
              <w:rPr>
                <w:rFonts w:ascii="Scala OT" w:hAnsi="Scala OT"/>
                <w:sz w:val="22"/>
                <w:szCs w:val="22"/>
              </w:rPr>
              <w:t>In Germersheim wurden alle Personen inkl. Betreuungspersonal erneut abgestrichen. Bundeswehr gibt Informationen zum Ergebnis weiter sobald vorhanden.</w:t>
            </w:r>
          </w:p>
          <w:p>
            <w:pPr>
              <w:pStyle w:val="Listenabsatz"/>
              <w:numPr>
                <w:ilvl w:val="0"/>
                <w:numId w:val="8"/>
              </w:numPr>
              <w:rPr>
                <w:rFonts w:ascii="Scala OT" w:hAnsi="Scala OT"/>
                <w:sz w:val="22"/>
                <w:szCs w:val="22"/>
              </w:rPr>
            </w:pPr>
            <w:r>
              <w:rPr>
                <w:rFonts w:ascii="Scala OT" w:hAnsi="Scala OT"/>
                <w:sz w:val="22"/>
                <w:szCs w:val="22"/>
              </w:rPr>
              <w:t>Die 20 Repatriierten Personen in Köpenick wurden alle abgestrichen (Ergebnis: bisher negativ), nach Kenntnisstand des RKI wurde die Quarantäne behördlich angeordnet</w:t>
            </w:r>
          </w:p>
          <w:p>
            <w:pPr>
              <w:pStyle w:val="Listenabsatz"/>
              <w:numPr>
                <w:ilvl w:val="0"/>
                <w:numId w:val="8"/>
              </w:numPr>
              <w:rPr>
                <w:rFonts w:ascii="Scala OT" w:hAnsi="Scala OT"/>
                <w:sz w:val="22"/>
                <w:szCs w:val="22"/>
              </w:rPr>
            </w:pPr>
            <w:r>
              <w:rPr>
                <w:rFonts w:ascii="Scala OT" w:hAnsi="Scala OT"/>
                <w:sz w:val="22"/>
                <w:szCs w:val="22"/>
              </w:rPr>
              <w:t>Bayern: Alle 12 Fälle sind derzeit noch im Krankenhaus isoliert, Kriterien zum Entlassungsmanagement werden in Zusammenarbeit mit den Klinikern und Virologen erarbeitet. Die 14-tägige Inkubationszeit und Zeit der häuslichen Absonderung ist für einen Teil der Kontaktpersonen der Kategorie 1. Mitte letzter Woche abgelaufen. Alle Kontaktpersonen werden am Ende der Inkubationszeit, sofern keine Symptome aufgetreten sind, nochmal abgestrichen, auf 2019-nCoV untersucht und dann aus der häuslichen Absonderung entlassen. Das RKI-</w:t>
            </w:r>
            <w:proofErr w:type="spellStart"/>
            <w:r>
              <w:rPr>
                <w:rFonts w:ascii="Scala OT" w:hAnsi="Scala OT"/>
                <w:sz w:val="22"/>
                <w:szCs w:val="22"/>
              </w:rPr>
              <w:t>Feldteam</w:t>
            </w:r>
            <w:proofErr w:type="spellEnd"/>
            <w:r>
              <w:rPr>
                <w:rFonts w:ascii="Scala OT" w:hAnsi="Scala OT"/>
                <w:sz w:val="22"/>
                <w:szCs w:val="22"/>
              </w:rPr>
              <w:t xml:space="preserve"> ist wieder zurück, steht aber noch in engem Kontakt mit dem LGL.</w:t>
            </w:r>
          </w:p>
          <w:p>
            <w:pPr>
              <w:pStyle w:val="Listenabsatz"/>
              <w:ind w:left="0"/>
              <w:rPr>
                <w:rFonts w:ascii="Scala OT" w:hAnsi="Scala OT"/>
                <w:b/>
                <w:sz w:val="22"/>
                <w:szCs w:val="22"/>
              </w:rPr>
            </w:pPr>
            <w:r>
              <w:rPr>
                <w:rFonts w:ascii="Scala OT" w:hAnsi="Scala OT"/>
                <w:b/>
                <w:sz w:val="22"/>
                <w:szCs w:val="22"/>
              </w:rPr>
              <w:t>Risikobewertung</w:t>
            </w:r>
          </w:p>
          <w:p>
            <w:pPr>
              <w:pStyle w:val="Listenabsatz"/>
              <w:numPr>
                <w:ilvl w:val="0"/>
                <w:numId w:val="8"/>
              </w:numPr>
              <w:rPr>
                <w:rFonts w:ascii="Scala OT" w:hAnsi="Scala OT"/>
                <w:sz w:val="22"/>
                <w:szCs w:val="22"/>
              </w:rPr>
            </w:pPr>
            <w:r>
              <w:rPr>
                <w:rFonts w:ascii="Scala OT" w:hAnsi="Scala OT"/>
                <w:sz w:val="22"/>
                <w:szCs w:val="22"/>
              </w:rPr>
              <w:t>Aktuelle Risikobewertung bleibt bestehen und ist auf der RKI-Webpage veröffentlicht.</w:t>
            </w:r>
          </w:p>
          <w:p>
            <w:pPr>
              <w:pStyle w:val="Listenabsatz"/>
              <w:numPr>
                <w:ilvl w:val="0"/>
                <w:numId w:val="8"/>
              </w:numPr>
              <w:rPr>
                <w:rFonts w:ascii="Scala OT" w:hAnsi="Scala OT"/>
                <w:sz w:val="22"/>
                <w:szCs w:val="22"/>
              </w:rPr>
            </w:pPr>
            <w:r>
              <w:rPr>
                <w:rFonts w:ascii="Scala OT" w:hAnsi="Scala OT"/>
                <w:sz w:val="22"/>
                <w:szCs w:val="22"/>
              </w:rPr>
              <w:t>WHO Lageeinschätzung wird vom RKI regelmäßig an BMG und BZgA kommuniziert.</w:t>
            </w:r>
          </w:p>
        </w:tc>
      </w:tr>
      <w:tr>
        <w:tc>
          <w:tcPr>
            <w:tcW w:w="684" w:type="dxa"/>
          </w:tcPr>
          <w:p>
            <w:pPr>
              <w:rPr>
                <w:rFonts w:ascii="Scala OT" w:hAnsi="Scala OT"/>
                <w:b/>
                <w:sz w:val="22"/>
                <w:szCs w:val="22"/>
              </w:rPr>
            </w:pPr>
            <w:r>
              <w:rPr>
                <w:rFonts w:ascii="Scala OT" w:hAnsi="Scala OT"/>
                <w:b/>
                <w:sz w:val="22"/>
                <w:szCs w:val="22"/>
              </w:rPr>
              <w:t>2</w:t>
            </w:r>
          </w:p>
        </w:tc>
        <w:tc>
          <w:tcPr>
            <w:tcW w:w="7929" w:type="dxa"/>
          </w:tcPr>
          <w:p>
            <w:pPr>
              <w:rPr>
                <w:rFonts w:ascii="Scala OT" w:hAnsi="Scala OT"/>
                <w:b/>
                <w:sz w:val="22"/>
                <w:szCs w:val="22"/>
              </w:rPr>
            </w:pPr>
            <w:r>
              <w:rPr>
                <w:rFonts w:ascii="Scala OT" w:hAnsi="Scala OT"/>
                <w:b/>
                <w:sz w:val="22"/>
                <w:szCs w:val="22"/>
              </w:rPr>
              <w:t>Risikogebiete</w:t>
            </w:r>
          </w:p>
          <w:p>
            <w:pPr>
              <w:rPr>
                <w:rFonts w:ascii="Scala OT" w:hAnsi="Scala OT"/>
                <w:sz w:val="22"/>
                <w:szCs w:val="22"/>
              </w:rPr>
            </w:pPr>
            <w:r>
              <w:rPr>
                <w:rFonts w:ascii="Scala OT" w:hAnsi="Scala OT"/>
                <w:sz w:val="22"/>
                <w:szCs w:val="22"/>
              </w:rPr>
              <w:t xml:space="preserve">Siehe Präsentation </w:t>
            </w:r>
            <w:hyperlink r:id="rId8" w:history="1">
              <w:r>
                <w:rPr>
                  <w:rStyle w:val="Hyperlink"/>
                  <w:rFonts w:ascii="Scala OT" w:hAnsi="Scala OT"/>
                  <w:sz w:val="22"/>
                  <w:szCs w:val="22"/>
                </w:rPr>
                <w:t>INIG</w:t>
              </w:r>
            </w:hyperlink>
          </w:p>
          <w:p>
            <w:pPr>
              <w:pStyle w:val="Listenabsatz"/>
              <w:numPr>
                <w:ilvl w:val="0"/>
                <w:numId w:val="8"/>
              </w:numPr>
              <w:rPr>
                <w:rFonts w:ascii="Scala OT" w:hAnsi="Scala OT"/>
                <w:sz w:val="22"/>
                <w:szCs w:val="22"/>
              </w:rPr>
            </w:pPr>
            <w:r>
              <w:rPr>
                <w:rFonts w:ascii="Scala OT" w:hAnsi="Scala OT"/>
                <w:sz w:val="22"/>
                <w:szCs w:val="22"/>
              </w:rPr>
              <w:t>Tendenz (kumulative Zahlen): Provinz Guangdong überholt Zhejiang (Folie 8)</w:t>
            </w:r>
          </w:p>
          <w:p>
            <w:pPr>
              <w:pStyle w:val="Listenabsatz"/>
              <w:numPr>
                <w:ilvl w:val="0"/>
                <w:numId w:val="8"/>
              </w:numPr>
              <w:rPr>
                <w:rFonts w:ascii="Scala OT" w:hAnsi="Scala OT"/>
                <w:sz w:val="22"/>
                <w:szCs w:val="22"/>
              </w:rPr>
            </w:pPr>
            <w:r>
              <w:rPr>
                <w:rFonts w:ascii="Scala OT" w:hAnsi="Scala OT"/>
                <w:sz w:val="22"/>
                <w:szCs w:val="22"/>
              </w:rPr>
              <w:t xml:space="preserve">Maßnahmen in China: Straßensperrungen, Ein- und Ausreisen stark eingeschränkt, Geschäfte geschlossen, alle Bildungseinrichtungen (Universitäten bis Kindergärten) geschlossen (bis Ende Februar), strikte häusliche Quarantäne, etc. </w:t>
            </w:r>
          </w:p>
          <w:p>
            <w:pPr>
              <w:pStyle w:val="Listenabsatz"/>
              <w:numPr>
                <w:ilvl w:val="0"/>
                <w:numId w:val="8"/>
              </w:numPr>
              <w:rPr>
                <w:rFonts w:ascii="Scala OT" w:hAnsi="Scala OT"/>
                <w:sz w:val="22"/>
                <w:szCs w:val="22"/>
              </w:rPr>
            </w:pPr>
            <w:r>
              <w:rPr>
                <w:rFonts w:ascii="Scala OT" w:hAnsi="Scala OT"/>
                <w:sz w:val="22"/>
                <w:szCs w:val="22"/>
              </w:rPr>
              <w:t>Quarantänemaßnahmen der folgenden Städte (nicht alle haben hohe Fallzahlen, sehr heterogen, siehe Folie 10):</w:t>
            </w:r>
          </w:p>
          <w:p>
            <w:pPr>
              <w:spacing w:before="240"/>
              <w:rPr>
                <w:rFonts w:ascii="Scala Sans OT" w:hAnsi="Scala Sans OT"/>
                <w:sz w:val="20"/>
                <w:szCs w:val="20"/>
              </w:rPr>
            </w:pPr>
            <w:r>
              <w:rPr>
                <w:rFonts w:ascii="Scala Sans OT" w:hAnsi="Scala Sans OT"/>
                <w:b/>
                <w:bCs/>
                <w:sz w:val="20"/>
                <w:szCs w:val="20"/>
              </w:rPr>
              <w:t xml:space="preserve">Provinz Hubei </w:t>
            </w:r>
            <w:r>
              <w:rPr>
                <w:rFonts w:ascii="Scala Sans OT" w:hAnsi="Scala Sans OT"/>
                <w:sz w:val="20"/>
                <w:szCs w:val="20"/>
              </w:rPr>
              <w:t>(inkl. Wuhan): Quarantänemaßnahmen seit dem 23.01.2020</w:t>
            </w:r>
          </w:p>
          <w:p>
            <w:pPr>
              <w:rPr>
                <w:rFonts w:ascii="Scala Sans OT" w:hAnsi="Scala Sans OT"/>
                <w:sz w:val="20"/>
                <w:szCs w:val="20"/>
              </w:rPr>
            </w:pPr>
            <w:r>
              <w:rPr>
                <w:rFonts w:ascii="Scala Sans OT" w:hAnsi="Scala Sans OT"/>
                <w:b/>
                <w:bCs/>
                <w:sz w:val="20"/>
                <w:szCs w:val="20"/>
              </w:rPr>
              <w:t>Provinz Zhejiang</w:t>
            </w:r>
            <w:r>
              <w:rPr>
                <w:rFonts w:ascii="Scala Sans OT" w:hAnsi="Scala Sans OT"/>
                <w:sz w:val="20"/>
                <w:szCs w:val="20"/>
              </w:rPr>
              <w:t xml:space="preserve">: Wenzhou (einschl. </w:t>
            </w:r>
            <w:proofErr w:type="spellStart"/>
            <w:r>
              <w:rPr>
                <w:rFonts w:ascii="Scala Sans OT" w:hAnsi="Scala Sans OT"/>
                <w:sz w:val="20"/>
                <w:szCs w:val="20"/>
              </w:rPr>
              <w:t>Leqing</w:t>
            </w:r>
            <w:proofErr w:type="spellEnd"/>
            <w:r>
              <w:rPr>
                <w:rFonts w:ascii="Scala Sans OT" w:hAnsi="Scala Sans OT"/>
                <w:sz w:val="20"/>
                <w:szCs w:val="20"/>
              </w:rPr>
              <w:t>), Hangzhou, Ningbo, Taizhou seit 02.02.2020</w:t>
            </w:r>
          </w:p>
          <w:p>
            <w:pPr>
              <w:rPr>
                <w:rFonts w:ascii="Scala Sans OT" w:hAnsi="Scala Sans OT"/>
                <w:sz w:val="20"/>
                <w:szCs w:val="20"/>
              </w:rPr>
            </w:pPr>
            <w:r>
              <w:rPr>
                <w:rFonts w:ascii="Scala Sans OT" w:hAnsi="Scala Sans OT"/>
                <w:b/>
                <w:bCs/>
                <w:sz w:val="20"/>
                <w:szCs w:val="20"/>
              </w:rPr>
              <w:t xml:space="preserve">Provinz Jiangsu: </w:t>
            </w:r>
            <w:r>
              <w:rPr>
                <w:rFonts w:ascii="Scala Sans OT" w:hAnsi="Scala Sans OT"/>
                <w:sz w:val="20"/>
                <w:szCs w:val="20"/>
              </w:rPr>
              <w:t xml:space="preserve">Nanjing und Xuzhou seit dem 04.02.2020 </w:t>
            </w:r>
          </w:p>
          <w:p>
            <w:pPr>
              <w:rPr>
                <w:rFonts w:ascii="Scala Sans OT" w:hAnsi="Scala Sans OT"/>
                <w:sz w:val="20"/>
                <w:szCs w:val="20"/>
              </w:rPr>
            </w:pPr>
            <w:r>
              <w:rPr>
                <w:rFonts w:ascii="Scala Sans OT" w:hAnsi="Scala Sans OT"/>
                <w:b/>
                <w:bCs/>
                <w:sz w:val="20"/>
                <w:szCs w:val="20"/>
              </w:rPr>
              <w:t>Provinz Heilongjiang:</w:t>
            </w:r>
            <w:r>
              <w:rPr>
                <w:rFonts w:ascii="Scala Sans OT" w:hAnsi="Scala Sans OT"/>
                <w:sz w:val="20"/>
                <w:szCs w:val="20"/>
              </w:rPr>
              <w:t xml:space="preserve"> Harbin seit dem 04.02.2020</w:t>
            </w:r>
          </w:p>
          <w:p>
            <w:pPr>
              <w:rPr>
                <w:rFonts w:ascii="Scala Sans OT" w:hAnsi="Scala Sans OT"/>
                <w:sz w:val="20"/>
                <w:szCs w:val="20"/>
              </w:rPr>
            </w:pPr>
            <w:r>
              <w:rPr>
                <w:rFonts w:ascii="Scala Sans OT" w:hAnsi="Scala Sans OT"/>
                <w:b/>
                <w:bCs/>
                <w:sz w:val="20"/>
                <w:szCs w:val="20"/>
              </w:rPr>
              <w:t xml:space="preserve">Provinz Fujian: </w:t>
            </w:r>
            <w:r>
              <w:rPr>
                <w:rFonts w:ascii="Scala Sans OT" w:hAnsi="Scala Sans OT"/>
                <w:sz w:val="20"/>
                <w:szCs w:val="20"/>
              </w:rPr>
              <w:t>Fuzhou seit dem 04.02.2020</w:t>
            </w:r>
          </w:p>
          <w:p>
            <w:pPr>
              <w:rPr>
                <w:rFonts w:ascii="Scala Sans OT" w:hAnsi="Scala Sans OT"/>
                <w:sz w:val="20"/>
                <w:szCs w:val="20"/>
              </w:rPr>
            </w:pPr>
            <w:r>
              <w:rPr>
                <w:rFonts w:ascii="Scala Sans OT" w:hAnsi="Scala Sans OT"/>
                <w:b/>
                <w:bCs/>
                <w:sz w:val="20"/>
                <w:szCs w:val="20"/>
              </w:rPr>
              <w:lastRenderedPageBreak/>
              <w:t xml:space="preserve">Provinz Jiangxi: </w:t>
            </w:r>
            <w:r>
              <w:rPr>
                <w:rFonts w:ascii="Scala Sans OT" w:hAnsi="Scala Sans OT"/>
                <w:sz w:val="20"/>
                <w:szCs w:val="20"/>
              </w:rPr>
              <w:t>Jingdezhen seit dem 04.02.2020</w:t>
            </w:r>
          </w:p>
          <w:p>
            <w:pPr>
              <w:rPr>
                <w:rFonts w:ascii="Scala Sans OT" w:hAnsi="Scala Sans OT"/>
                <w:sz w:val="20"/>
                <w:szCs w:val="20"/>
              </w:rPr>
            </w:pPr>
            <w:r>
              <w:rPr>
                <w:rFonts w:ascii="Scala Sans OT" w:hAnsi="Scala Sans OT"/>
                <w:b/>
                <w:bCs/>
                <w:sz w:val="20"/>
                <w:szCs w:val="20"/>
              </w:rPr>
              <w:t xml:space="preserve">Provinz Shandong: </w:t>
            </w:r>
            <w:proofErr w:type="spellStart"/>
            <w:r>
              <w:rPr>
                <w:rFonts w:ascii="Scala Sans OT" w:hAnsi="Scala Sans OT"/>
                <w:sz w:val="20"/>
                <w:szCs w:val="20"/>
              </w:rPr>
              <w:t>Linyi</w:t>
            </w:r>
            <w:proofErr w:type="spellEnd"/>
          </w:p>
          <w:p>
            <w:pPr>
              <w:spacing w:after="200"/>
              <w:rPr>
                <w:rFonts w:ascii="Scala Sans OT" w:hAnsi="Scala Sans OT"/>
                <w:sz w:val="20"/>
                <w:szCs w:val="20"/>
              </w:rPr>
            </w:pPr>
            <w:r>
              <w:rPr>
                <w:rFonts w:ascii="Scala Sans OT" w:hAnsi="Scala Sans OT"/>
                <w:b/>
                <w:bCs/>
                <w:sz w:val="20"/>
                <w:szCs w:val="20"/>
              </w:rPr>
              <w:t xml:space="preserve">Provinz Henan: </w:t>
            </w:r>
            <w:r>
              <w:rPr>
                <w:rFonts w:ascii="Scala Sans OT" w:hAnsi="Scala Sans OT"/>
                <w:sz w:val="20"/>
                <w:szCs w:val="20"/>
              </w:rPr>
              <w:t xml:space="preserve">Zhengzhou und </w:t>
            </w:r>
            <w:proofErr w:type="spellStart"/>
            <w:r>
              <w:rPr>
                <w:rFonts w:ascii="Scala Sans OT" w:hAnsi="Scala Sans OT"/>
                <w:sz w:val="20"/>
                <w:szCs w:val="20"/>
              </w:rPr>
              <w:t>Zhumadian</w:t>
            </w:r>
            <w:proofErr w:type="spellEnd"/>
            <w:r>
              <w:rPr>
                <w:rFonts w:ascii="Scala OT" w:hAnsi="Scala OT"/>
                <w:sz w:val="22"/>
                <w:szCs w:val="22"/>
              </w:rPr>
              <w:t xml:space="preserve"> </w:t>
            </w:r>
          </w:p>
          <w:p>
            <w:pPr>
              <w:pStyle w:val="Listenabsatz"/>
              <w:numPr>
                <w:ilvl w:val="0"/>
                <w:numId w:val="8"/>
              </w:numPr>
              <w:rPr>
                <w:rFonts w:ascii="Scala OT" w:hAnsi="Scala OT"/>
                <w:sz w:val="22"/>
                <w:szCs w:val="22"/>
              </w:rPr>
            </w:pPr>
            <w:r>
              <w:rPr>
                <w:rFonts w:ascii="Scala OT" w:hAnsi="Scala OT"/>
                <w:sz w:val="22"/>
                <w:szCs w:val="22"/>
              </w:rPr>
              <w:t>FG36 hat CDC zu deren Risikogebietsdefinition kontaktiert: noch keine Antwort. Ebenso werden die Staaten im PIWIG-Netzwerk (</w:t>
            </w:r>
            <w:proofErr w:type="spellStart"/>
            <w:r>
              <w:rPr>
                <w:rFonts w:ascii="Scala OT" w:hAnsi="Scala OT"/>
                <w:sz w:val="22"/>
                <w:szCs w:val="22"/>
              </w:rPr>
              <w:t>Pandemic</w:t>
            </w:r>
            <w:proofErr w:type="spellEnd"/>
            <w:r>
              <w:rPr>
                <w:rFonts w:ascii="Scala OT" w:hAnsi="Scala OT"/>
                <w:sz w:val="22"/>
                <w:szCs w:val="22"/>
              </w:rPr>
              <w:t xml:space="preserve"> Influenza Working Group: USA, Kanada,) bzgl. Definition der Risikogebiete befragt. In diesem Zusammenhang soll auch nachgefragt werden, welche Maßnahmen die jeweiligen Staaten damit verbinden. </w:t>
            </w:r>
          </w:p>
          <w:p>
            <w:pPr>
              <w:pStyle w:val="Listenabsatz"/>
              <w:numPr>
                <w:ilvl w:val="0"/>
                <w:numId w:val="8"/>
              </w:numPr>
              <w:rPr>
                <w:rFonts w:ascii="Scala OT" w:hAnsi="Scala OT"/>
                <w:sz w:val="22"/>
                <w:szCs w:val="22"/>
              </w:rPr>
            </w:pPr>
            <w:r>
              <w:rPr>
                <w:rFonts w:ascii="Scala OT" w:hAnsi="Scala OT"/>
                <w:sz w:val="22"/>
                <w:szCs w:val="22"/>
              </w:rPr>
              <w:t xml:space="preserve">Rückmeldung aus der EpiLag: bei einigen Teilnehmenden gab es Zweifel an Praktikabilität der Risikogebietsdefinition des RKI. Dies hat jetzt keine Auswirkung, wird aber bei folgenden Diskussionen mitberücksichtigt. </w:t>
            </w:r>
          </w:p>
          <w:p>
            <w:pPr>
              <w:pStyle w:val="Listenabsatz"/>
              <w:numPr>
                <w:ilvl w:val="0"/>
                <w:numId w:val="8"/>
              </w:numPr>
              <w:rPr>
                <w:rFonts w:ascii="Scala OT" w:hAnsi="Scala OT"/>
                <w:sz w:val="22"/>
                <w:szCs w:val="22"/>
              </w:rPr>
            </w:pPr>
            <w:r>
              <w:rPr>
                <w:rFonts w:ascii="Scala OT" w:hAnsi="Scala OT"/>
                <w:sz w:val="22"/>
                <w:szCs w:val="22"/>
              </w:rPr>
              <w:t>Das AA hat nach Kriterien für die Risikogebietsdefinition gefragt und bittet ggf. um eine Vorwarnung, ob und wann Shanghai als Risikogebiet betrachtet wird.</w:t>
            </w:r>
          </w:p>
          <w:p>
            <w:pPr>
              <w:spacing w:before="240" w:after="200"/>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INIG: Bitte Inzidenz (Meldeinzidenz) für Shanghai für morgen bereitstellen (auch, wenn Aussagekraft begrenzt ist).</w:t>
            </w:r>
          </w:p>
          <w:p>
            <w:pPr>
              <w:rPr>
                <w:rFonts w:ascii="Scala OT" w:hAnsi="Scala OT"/>
                <w:b/>
                <w:sz w:val="22"/>
                <w:szCs w:val="22"/>
              </w:rPr>
            </w:pPr>
            <w:r>
              <w:rPr>
                <w:rFonts w:ascii="Scala OT" w:hAnsi="Scala OT"/>
                <w:b/>
                <w:sz w:val="22"/>
                <w:szCs w:val="22"/>
              </w:rPr>
              <w:t>Risikoeinschätzung</w:t>
            </w:r>
          </w:p>
          <w:p>
            <w:pPr>
              <w:pStyle w:val="Listenabsatz"/>
              <w:numPr>
                <w:ilvl w:val="0"/>
                <w:numId w:val="8"/>
              </w:numPr>
              <w:rPr>
                <w:rFonts w:ascii="Scala OT" w:hAnsi="Scala OT"/>
                <w:sz w:val="22"/>
                <w:szCs w:val="22"/>
              </w:rPr>
            </w:pPr>
            <w:r>
              <w:rPr>
                <w:rFonts w:ascii="Scala OT" w:hAnsi="Scala OT"/>
                <w:sz w:val="22"/>
                <w:szCs w:val="22"/>
              </w:rPr>
              <w:t>Laut einiger Quellen gab es am 07.02.2020 eine Änderung der Falldefinitionen seitens der chinesischen Gesundheitsbehörden. Dies ist noch nicht verifiziert.</w:t>
            </w:r>
          </w:p>
          <w:p>
            <w:pPr>
              <w:pStyle w:val="Listenabsatz"/>
              <w:numPr>
                <w:ilvl w:val="0"/>
                <w:numId w:val="8"/>
              </w:numPr>
              <w:rPr>
                <w:rFonts w:ascii="Scala OT" w:hAnsi="Scala OT"/>
                <w:sz w:val="22"/>
                <w:szCs w:val="22"/>
              </w:rPr>
            </w:pPr>
            <w:r>
              <w:rPr>
                <w:rFonts w:ascii="Scala OT" w:hAnsi="Scala OT"/>
                <w:sz w:val="22"/>
                <w:szCs w:val="22"/>
              </w:rPr>
              <w:t>Es sind keine Angaben zu Testungen asymptomatischer Personen in China bekannt. WHO wird dazu angefragt (INIG).</w:t>
            </w:r>
          </w:p>
          <w:p>
            <w:pPr>
              <w:pStyle w:val="Listenabsatz"/>
              <w:numPr>
                <w:ilvl w:val="0"/>
                <w:numId w:val="8"/>
              </w:numPr>
              <w:rPr>
                <w:rFonts w:ascii="Scala OT" w:hAnsi="Scala OT"/>
                <w:sz w:val="22"/>
                <w:szCs w:val="22"/>
              </w:rPr>
            </w:pPr>
            <w:r>
              <w:rPr>
                <w:rFonts w:ascii="Scala OT" w:hAnsi="Scala OT"/>
                <w:sz w:val="22"/>
                <w:szCs w:val="22"/>
              </w:rPr>
              <w:t xml:space="preserve">Wahrscheinlich geben die Zahlen aus Wuhan nur wage Hinweis auf das Ausmaß des Geschehens, da auf Grund mangelnder Laborkapazitäten Erkrankte vorrangig erst bei positiven CT-Befund labordiagnostisch abgeklärt werden. Das unterstützt die Vermutung, dass daher eher die schweren Fälle bekannt sind. </w:t>
            </w:r>
          </w:p>
        </w:tc>
      </w:tr>
      <w:tr>
        <w:tc>
          <w:tcPr>
            <w:tcW w:w="684" w:type="dxa"/>
          </w:tcPr>
          <w:p>
            <w:pPr>
              <w:rPr>
                <w:rFonts w:ascii="Scala OT" w:hAnsi="Scala OT"/>
                <w:b/>
                <w:sz w:val="22"/>
                <w:szCs w:val="22"/>
              </w:rPr>
            </w:pPr>
            <w:r>
              <w:rPr>
                <w:rFonts w:ascii="Scala OT" w:hAnsi="Scala OT"/>
                <w:b/>
                <w:sz w:val="22"/>
                <w:szCs w:val="22"/>
              </w:rPr>
              <w:lastRenderedPageBreak/>
              <w:t>3</w:t>
            </w:r>
          </w:p>
        </w:tc>
        <w:tc>
          <w:tcPr>
            <w:tcW w:w="7929" w:type="dxa"/>
          </w:tcPr>
          <w:p>
            <w:pPr>
              <w:rPr>
                <w:rFonts w:ascii="Scala OT" w:hAnsi="Scala OT"/>
                <w:b/>
                <w:sz w:val="22"/>
                <w:szCs w:val="22"/>
              </w:rPr>
            </w:pPr>
            <w:r>
              <w:rPr>
                <w:rFonts w:ascii="Scala OT" w:hAnsi="Scala OT"/>
                <w:b/>
                <w:sz w:val="22"/>
                <w:szCs w:val="22"/>
              </w:rPr>
              <w:t>Erkenntnisse zum Erreger</w:t>
            </w:r>
          </w:p>
        </w:tc>
      </w:tr>
      <w:tr>
        <w:tc>
          <w:tcPr>
            <w:tcW w:w="684" w:type="dxa"/>
          </w:tcPr>
          <w:p>
            <w:pPr>
              <w:rPr>
                <w:rFonts w:ascii="Scala OT" w:hAnsi="Scala OT"/>
                <w:b/>
                <w:sz w:val="22"/>
                <w:szCs w:val="22"/>
              </w:rPr>
            </w:pPr>
            <w:r>
              <w:rPr>
                <w:rFonts w:ascii="Scala OT" w:hAnsi="Scala OT"/>
                <w:b/>
                <w:sz w:val="22"/>
                <w:szCs w:val="22"/>
              </w:rPr>
              <w:t>4</w:t>
            </w:r>
          </w:p>
        </w:tc>
        <w:tc>
          <w:tcPr>
            <w:tcW w:w="7929" w:type="dxa"/>
          </w:tcPr>
          <w:p>
            <w:pPr>
              <w:rPr>
                <w:rFonts w:ascii="Scala OT" w:hAnsi="Scala OT"/>
                <w:b/>
                <w:sz w:val="22"/>
                <w:szCs w:val="22"/>
              </w:rPr>
            </w:pPr>
            <w:r>
              <w:rPr>
                <w:rFonts w:ascii="Scala OT" w:hAnsi="Scala OT"/>
                <w:b/>
                <w:sz w:val="22"/>
                <w:szCs w:val="22"/>
              </w:rPr>
              <w:t>Aktivitäten und Maßnahmen in Deutschland</w:t>
            </w:r>
          </w:p>
          <w:p>
            <w:pPr>
              <w:rPr>
                <w:rFonts w:ascii="Scala OT" w:hAnsi="Scala OT"/>
                <w:b/>
                <w:sz w:val="22"/>
                <w:szCs w:val="22"/>
              </w:rPr>
            </w:pPr>
            <w:r>
              <w:rPr>
                <w:rFonts w:ascii="Scala OT" w:hAnsi="Scala OT"/>
                <w:b/>
                <w:sz w:val="22"/>
                <w:szCs w:val="22"/>
              </w:rPr>
              <w:t>STAKOB-TK zu Krankenhaus-Entlassungskriterien</w:t>
            </w:r>
          </w:p>
          <w:p>
            <w:pPr>
              <w:pStyle w:val="Listenabsatz"/>
              <w:numPr>
                <w:ilvl w:val="0"/>
                <w:numId w:val="8"/>
              </w:numPr>
              <w:rPr>
                <w:rFonts w:ascii="Scala OT" w:hAnsi="Scala OT"/>
                <w:sz w:val="22"/>
                <w:szCs w:val="22"/>
              </w:rPr>
            </w:pPr>
            <w:r>
              <w:rPr>
                <w:rFonts w:ascii="Scala OT" w:hAnsi="Scala OT"/>
                <w:sz w:val="22"/>
                <w:szCs w:val="22"/>
              </w:rPr>
              <w:t xml:space="preserve">Herr </w:t>
            </w:r>
            <w:proofErr w:type="spellStart"/>
            <w:r>
              <w:rPr>
                <w:rFonts w:ascii="Scala OT" w:hAnsi="Scala OT"/>
                <w:sz w:val="22"/>
                <w:szCs w:val="22"/>
              </w:rPr>
              <w:t>Drosten</w:t>
            </w:r>
            <w:proofErr w:type="spellEnd"/>
            <w:r>
              <w:rPr>
                <w:rFonts w:ascii="Scala OT" w:hAnsi="Scala OT"/>
                <w:sz w:val="22"/>
                <w:szCs w:val="22"/>
              </w:rPr>
              <w:t xml:space="preserve"> stellt demnächst Analysedaten von allen Patienten (alle Probenmaterialien, in Rangfolge der negativ-Werdung) zur Verfügung. Diese Analysen weisen auf die Möglichkeit einer quantifizierten PCR (statt konservativ 2x negative Proben) und damit der Entlassung der Patienten bei einem bestimmten </w:t>
            </w:r>
            <w:proofErr w:type="spellStart"/>
            <w:r>
              <w:rPr>
                <w:rFonts w:ascii="Scala OT" w:hAnsi="Scala OT"/>
                <w:sz w:val="22"/>
                <w:szCs w:val="22"/>
              </w:rPr>
              <w:t>cut</w:t>
            </w:r>
            <w:proofErr w:type="spellEnd"/>
            <w:r>
              <w:rPr>
                <w:rFonts w:ascii="Scala OT" w:hAnsi="Scala OT"/>
                <w:sz w:val="22"/>
                <w:szCs w:val="22"/>
              </w:rPr>
              <w:t>-off (unterhalb dieses 10</w:t>
            </w:r>
            <w:r>
              <w:rPr>
                <w:rFonts w:ascii="Scala OT" w:hAnsi="Scala OT"/>
                <w:sz w:val="22"/>
                <w:szCs w:val="22"/>
                <w:vertAlign w:val="superscript"/>
              </w:rPr>
              <w:t>4</w:t>
            </w:r>
            <w:r>
              <w:rPr>
                <w:rFonts w:ascii="Scala OT" w:hAnsi="Scala OT"/>
                <w:sz w:val="22"/>
                <w:szCs w:val="22"/>
              </w:rPr>
              <w:t>/ml).</w:t>
            </w:r>
          </w:p>
          <w:p>
            <w:pPr>
              <w:rPr>
                <w:rFonts w:ascii="Scala OT" w:hAnsi="Scala OT"/>
                <w:b/>
                <w:sz w:val="22"/>
                <w:szCs w:val="22"/>
              </w:rPr>
            </w:pPr>
            <w:r>
              <w:rPr>
                <w:rFonts w:ascii="Scala OT" w:hAnsi="Scala OT"/>
                <w:b/>
                <w:sz w:val="22"/>
                <w:szCs w:val="22"/>
              </w:rPr>
              <w:t>Testung in Betrieben – Rolle der Betriebsärzte (BAUA)</w:t>
            </w:r>
          </w:p>
          <w:p>
            <w:pPr>
              <w:pStyle w:val="Listenabsatz"/>
              <w:numPr>
                <w:ilvl w:val="0"/>
                <w:numId w:val="8"/>
              </w:numPr>
              <w:rPr>
                <w:rFonts w:ascii="Scala OT" w:hAnsi="Scala OT"/>
                <w:sz w:val="22"/>
                <w:szCs w:val="22"/>
              </w:rPr>
            </w:pPr>
            <w:r>
              <w:rPr>
                <w:rFonts w:ascii="Scala OT" w:hAnsi="Scala OT"/>
                <w:sz w:val="22"/>
                <w:szCs w:val="22"/>
              </w:rPr>
              <w:t>Aktuell fordern zunehmend Betriebe die Testung oder Quarantäne bei Reiserückkehrern. Es gibt dazu keine expliziten Empfehlungen für Betriebsärzte. Wenn die abgestimmte Haltung zum Verfahren mit Reiserückkehrern mit der AGI abgestimmt ist kann diese als Grundlage für eine Empfehlung für Betriebsärzte genutzt werden. Das RKI kann zusammen mit der BAUA die Fachgesellschaft ansprechen sowie über ABAS.</w:t>
            </w:r>
          </w:p>
          <w:p>
            <w:pPr>
              <w:rPr>
                <w:rFonts w:ascii="Scala OT" w:hAnsi="Scala OT"/>
                <w:b/>
                <w:sz w:val="22"/>
                <w:szCs w:val="22"/>
              </w:rPr>
            </w:pPr>
            <w:r>
              <w:rPr>
                <w:rFonts w:ascii="Scala OT" w:hAnsi="Scala OT"/>
                <w:b/>
                <w:sz w:val="22"/>
                <w:szCs w:val="22"/>
              </w:rPr>
              <w:t>Dokument zu Verfahren von Einreisenden (AGI)</w:t>
            </w:r>
          </w:p>
          <w:p>
            <w:pPr>
              <w:pStyle w:val="Listenabsatz"/>
              <w:numPr>
                <w:ilvl w:val="0"/>
                <w:numId w:val="23"/>
              </w:numPr>
              <w:rPr>
                <w:rFonts w:ascii="Scala OT" w:hAnsi="Scala OT"/>
                <w:sz w:val="22"/>
                <w:szCs w:val="22"/>
              </w:rPr>
            </w:pPr>
            <w:r>
              <w:rPr>
                <w:rFonts w:ascii="Scala OT" w:hAnsi="Scala OT"/>
                <w:sz w:val="22"/>
                <w:szCs w:val="22"/>
              </w:rPr>
              <w:t xml:space="preserve">Eine abgestimmte Haltung zum Verfahren mit Reiserückkehrern ist aktuell noch in der Abstimmung mit der AGI. Bezüglich des Umgangs mit Einreisenden gab es aktuell noch keine Einigung. Vorschlag war: </w:t>
            </w:r>
            <w:r>
              <w:rPr>
                <w:rFonts w:ascii="Scala OT" w:hAnsi="Scala OT"/>
                <w:sz w:val="22"/>
                <w:szCs w:val="22"/>
              </w:rPr>
              <w:lastRenderedPageBreak/>
              <w:t>Freiwillige Absonderung Symptomloser aus Risikogebieten (Beobachtung, Tagebuch, etc.), falls keine Compliance besteht Option auf angeordnete Quarantäne. Es gab ein Veto aus Bayern, dass nur die Einschätzung des GA Maßgabe ist.</w:t>
            </w:r>
          </w:p>
        </w:tc>
      </w:tr>
      <w:tr>
        <w:tc>
          <w:tcPr>
            <w:tcW w:w="684" w:type="dxa"/>
          </w:tcPr>
          <w:p>
            <w:pPr>
              <w:rPr>
                <w:rFonts w:ascii="Scala OT" w:hAnsi="Scala OT"/>
                <w:b/>
                <w:sz w:val="22"/>
                <w:szCs w:val="22"/>
              </w:rPr>
            </w:pPr>
            <w:r>
              <w:rPr>
                <w:rFonts w:ascii="Scala OT" w:hAnsi="Scala OT"/>
                <w:b/>
                <w:sz w:val="22"/>
                <w:szCs w:val="22"/>
              </w:rPr>
              <w:lastRenderedPageBreak/>
              <w:t>5</w:t>
            </w:r>
          </w:p>
        </w:tc>
        <w:tc>
          <w:tcPr>
            <w:tcW w:w="7929" w:type="dxa"/>
          </w:tcPr>
          <w:p>
            <w:pPr>
              <w:rPr>
                <w:rFonts w:ascii="Scala OT" w:hAnsi="Scala OT"/>
                <w:b/>
                <w:sz w:val="22"/>
                <w:szCs w:val="22"/>
              </w:rPr>
            </w:pPr>
            <w:r>
              <w:rPr>
                <w:rFonts w:ascii="Scala OT" w:hAnsi="Scala OT"/>
                <w:b/>
                <w:sz w:val="22"/>
                <w:szCs w:val="22"/>
              </w:rPr>
              <w:t>Aktuelle Dokumente, Kommunikation – Update</w:t>
            </w:r>
          </w:p>
          <w:p>
            <w:pPr>
              <w:pStyle w:val="Listenabsatz"/>
              <w:numPr>
                <w:ilvl w:val="0"/>
                <w:numId w:val="8"/>
              </w:numPr>
              <w:rPr>
                <w:rFonts w:ascii="Scala OT" w:hAnsi="Scala OT"/>
                <w:sz w:val="22"/>
                <w:szCs w:val="22"/>
              </w:rPr>
            </w:pPr>
            <w:r>
              <w:rPr>
                <w:rFonts w:ascii="Scala OT" w:hAnsi="Scala OT"/>
                <w:sz w:val="22"/>
                <w:szCs w:val="22"/>
              </w:rPr>
              <w:t xml:space="preserve">BZgA soll die Nicht-Empfehlung für einen Maskengebrauch prominenter auf der Webseite setzen bzw. deutlicher in den FAQ formulieren, da zunehmend Engpässe bei Schutzausrüstung (v.a. Mund-Nasenschutz) berichtet wird. Gegebenenfalls sollte das BMG (Abt.1) dazu mit  Apothekenverband kommunizieren.  </w:t>
            </w:r>
          </w:p>
          <w:p>
            <w:pPr>
              <w:pStyle w:val="Listenabsatz"/>
              <w:numPr>
                <w:ilvl w:val="0"/>
                <w:numId w:val="8"/>
              </w:numPr>
              <w:rPr>
                <w:rFonts w:ascii="Scala OT" w:hAnsi="Scala OT"/>
                <w:b/>
                <w:sz w:val="22"/>
                <w:szCs w:val="22"/>
              </w:rPr>
            </w:pPr>
            <w:r>
              <w:rPr>
                <w:rFonts w:ascii="Scala OT" w:hAnsi="Scala OT"/>
                <w:sz w:val="22"/>
                <w:szCs w:val="22"/>
              </w:rPr>
              <w:t>RKI/ Presse: am 12.02.2020 ist ein Pressetermin von Minister Spahn geplant, danach soll die Handlungsrationale veröffentlicht werden. Presse kontaktiert das BMG was genau geplant ist.</w:t>
            </w:r>
          </w:p>
          <w:p>
            <w:pPr>
              <w:rPr>
                <w:rFonts w:ascii="Scala OT" w:hAnsi="Scala OT"/>
                <w:sz w:val="22"/>
                <w:szCs w:val="22"/>
              </w:rPr>
            </w:pPr>
            <w:r>
              <w:rPr>
                <w:rFonts w:ascii="Scala OT" w:hAnsi="Scala OT"/>
                <w:b/>
                <w:sz w:val="22"/>
                <w:szCs w:val="22"/>
              </w:rPr>
              <w:t>Blog versus live Q and A (Aufgabe ID 56)</w:t>
            </w:r>
            <w:r>
              <w:rPr>
                <w:rFonts w:ascii="Scala OT" w:hAnsi="Scala OT"/>
                <w:sz w:val="22"/>
                <w:szCs w:val="22"/>
              </w:rPr>
              <w:t xml:space="preserve"> </w:t>
            </w:r>
          </w:p>
          <w:p>
            <w:pPr>
              <w:pStyle w:val="Listenabsatz"/>
              <w:numPr>
                <w:ilvl w:val="0"/>
                <w:numId w:val="8"/>
              </w:numPr>
              <w:rPr>
                <w:rFonts w:ascii="Scala OT" w:hAnsi="Scala OT"/>
                <w:sz w:val="22"/>
                <w:szCs w:val="22"/>
              </w:rPr>
            </w:pPr>
            <w:r>
              <w:rPr>
                <w:rFonts w:ascii="Scala OT" w:hAnsi="Scala OT"/>
                <w:sz w:val="22"/>
                <w:szCs w:val="22"/>
              </w:rPr>
              <w:t xml:space="preserve">Die Durchführung ist schwierig, da ein Blog durchweg moderiert werden müsste. Es gibt ein eher reaktives Format einer „Q and A- Session“, d.h. während einer bestimmten Zeit können online Fragen eingereicht werden, die live von Experten beantwortet  und ins Web gestellt werden. Dies wäre auch zu bestimmten Themen möglich (Diagnostik, Infektionsmanagement, Internationales, etc.). </w:t>
            </w:r>
          </w:p>
          <w:p>
            <w:pPr>
              <w:pStyle w:val="Listenabsatz"/>
              <w:numPr>
                <w:ilvl w:val="0"/>
                <w:numId w:val="8"/>
              </w:numPr>
              <w:rPr>
                <w:rFonts w:ascii="Scala OT" w:hAnsi="Scala OT"/>
                <w:b/>
                <w:sz w:val="22"/>
                <w:szCs w:val="22"/>
              </w:rPr>
            </w:pPr>
            <w:r>
              <w:rPr>
                <w:rFonts w:ascii="Scala OT" w:hAnsi="Scala OT"/>
                <w:sz w:val="22"/>
                <w:szCs w:val="22"/>
              </w:rPr>
              <w:t xml:space="preserve">Für diese direkte Bürgeraktivität ist das RKI nicht zuständig, aber als gemeinsame Aktion mit BZgA (ggf. BMG) wäre dies denkbar. Aktuell wird der Bedarf seitens der BZgA noch nicht gesehen, aber könnte als weitere Eskalationsmöglichkeit eruiert und genutzt werden, wenn verstärkte Kommunikation nötig erscheint. </w:t>
            </w:r>
          </w:p>
        </w:tc>
      </w:tr>
      <w:tr>
        <w:tc>
          <w:tcPr>
            <w:tcW w:w="684" w:type="dxa"/>
          </w:tcPr>
          <w:p>
            <w:pPr>
              <w:rPr>
                <w:rFonts w:ascii="Scala OT" w:hAnsi="Scala OT"/>
                <w:b/>
                <w:sz w:val="22"/>
                <w:szCs w:val="22"/>
              </w:rPr>
            </w:pPr>
            <w:r>
              <w:rPr>
                <w:rFonts w:ascii="Scala OT" w:hAnsi="Scala OT"/>
                <w:b/>
                <w:sz w:val="22"/>
                <w:szCs w:val="22"/>
              </w:rPr>
              <w:t>6</w:t>
            </w:r>
          </w:p>
        </w:tc>
        <w:tc>
          <w:tcPr>
            <w:tcW w:w="7929" w:type="dxa"/>
          </w:tcPr>
          <w:p>
            <w:pPr>
              <w:rPr>
                <w:rFonts w:ascii="Scala OT" w:hAnsi="Scala OT"/>
                <w:b/>
                <w:sz w:val="22"/>
                <w:szCs w:val="22"/>
              </w:rPr>
            </w:pPr>
            <w:r>
              <w:rPr>
                <w:rFonts w:ascii="Scala OT" w:hAnsi="Scala OT"/>
                <w:b/>
                <w:sz w:val="22"/>
                <w:szCs w:val="22"/>
              </w:rPr>
              <w:t>Internationales</w:t>
            </w:r>
          </w:p>
          <w:p>
            <w:pPr>
              <w:rPr>
                <w:rFonts w:ascii="Scala OT" w:hAnsi="Scala OT"/>
                <w:b/>
                <w:sz w:val="22"/>
                <w:szCs w:val="22"/>
              </w:rPr>
            </w:pPr>
            <w:r>
              <w:rPr>
                <w:rFonts w:ascii="Scala OT" w:hAnsi="Scala OT"/>
                <w:b/>
                <w:sz w:val="22"/>
                <w:szCs w:val="22"/>
              </w:rPr>
              <w:t>Einsätze – China (G7/ WHO)</w:t>
            </w:r>
          </w:p>
          <w:p>
            <w:pPr>
              <w:pStyle w:val="Listenabsatz"/>
              <w:numPr>
                <w:ilvl w:val="0"/>
                <w:numId w:val="7"/>
              </w:numPr>
              <w:rPr>
                <w:rFonts w:ascii="Scala OT" w:hAnsi="Scala OT"/>
                <w:sz w:val="22"/>
                <w:szCs w:val="22"/>
              </w:rPr>
            </w:pPr>
            <w:r>
              <w:rPr>
                <w:rFonts w:ascii="Scala OT" w:hAnsi="Scala OT"/>
                <w:sz w:val="22"/>
                <w:szCs w:val="22"/>
              </w:rPr>
              <w:t>Laut Herrn Rottmann (BMG) wünscht China keine G7 Unterstützung bei der Bewältigung des Ausbruchs. Unterstützung der WHO wird akzeptiert.</w:t>
            </w:r>
          </w:p>
          <w:p>
            <w:pPr>
              <w:pStyle w:val="Listenabsatz"/>
              <w:numPr>
                <w:ilvl w:val="0"/>
                <w:numId w:val="7"/>
              </w:numPr>
              <w:rPr>
                <w:rFonts w:ascii="Scala OT" w:hAnsi="Scala OT"/>
                <w:sz w:val="22"/>
                <w:szCs w:val="22"/>
              </w:rPr>
            </w:pPr>
            <w:r>
              <w:rPr>
                <w:rFonts w:ascii="Scala OT" w:hAnsi="Scala OT"/>
                <w:sz w:val="22"/>
                <w:szCs w:val="22"/>
              </w:rPr>
              <w:t>Die Anzahl der Teilnehmenden der geplanten WHO-Mission wird aktuelle überarbeitet  (von 40 auf 10 Personen), Andreas Jansens Teilnahme aktuell noch unklar.</w:t>
            </w:r>
          </w:p>
          <w:p>
            <w:pPr>
              <w:rPr>
                <w:rFonts w:ascii="Scala OT" w:hAnsi="Scala OT"/>
                <w:b/>
                <w:sz w:val="22"/>
                <w:szCs w:val="22"/>
              </w:rPr>
            </w:pPr>
            <w:r>
              <w:rPr>
                <w:rFonts w:ascii="Scala OT" w:hAnsi="Scala OT"/>
                <w:b/>
                <w:sz w:val="22"/>
                <w:szCs w:val="22"/>
              </w:rPr>
              <w:t>Unterstützung von Partnerländern in Afrika (GHPP)</w:t>
            </w:r>
          </w:p>
          <w:p>
            <w:pPr>
              <w:pStyle w:val="Listenabsatz"/>
              <w:numPr>
                <w:ilvl w:val="0"/>
                <w:numId w:val="7"/>
              </w:numPr>
              <w:rPr>
                <w:rFonts w:ascii="Scala OT" w:hAnsi="Scala OT"/>
                <w:sz w:val="22"/>
                <w:szCs w:val="22"/>
              </w:rPr>
            </w:pPr>
            <w:r>
              <w:rPr>
                <w:rFonts w:ascii="Scala OT" w:hAnsi="Scala OT"/>
                <w:sz w:val="22"/>
                <w:szCs w:val="22"/>
              </w:rPr>
              <w:t>ZIG: Unterstützung der Laborkapazitäten in Ruanda und für Namibia geplant</w:t>
            </w:r>
          </w:p>
          <w:p>
            <w:pPr>
              <w:pStyle w:val="Listenabsatz"/>
              <w:numPr>
                <w:ilvl w:val="0"/>
                <w:numId w:val="7"/>
              </w:numPr>
              <w:rPr>
                <w:rFonts w:ascii="Scala OT" w:hAnsi="Scala OT"/>
                <w:sz w:val="22"/>
                <w:szCs w:val="22"/>
              </w:rPr>
            </w:pPr>
            <w:r>
              <w:rPr>
                <w:rFonts w:ascii="Scala OT" w:hAnsi="Scala OT"/>
                <w:sz w:val="22"/>
                <w:szCs w:val="22"/>
              </w:rPr>
              <w:t xml:space="preserve">Anfrage: Im Rahmen der Aktivitäten der Gates </w:t>
            </w:r>
            <w:proofErr w:type="spellStart"/>
            <w:r>
              <w:rPr>
                <w:rFonts w:ascii="Scala OT" w:hAnsi="Scala OT"/>
                <w:sz w:val="22"/>
                <w:szCs w:val="22"/>
              </w:rPr>
              <w:t>Foundation</w:t>
            </w:r>
            <w:proofErr w:type="spellEnd"/>
            <w:r>
              <w:rPr>
                <w:rFonts w:ascii="Scala OT" w:hAnsi="Scala OT"/>
                <w:sz w:val="22"/>
                <w:szCs w:val="22"/>
              </w:rPr>
              <w:t xml:space="preserve"> zur Preparedness für </w:t>
            </w:r>
            <w:proofErr w:type="spellStart"/>
            <w:r>
              <w:rPr>
                <w:rFonts w:ascii="Scala OT" w:hAnsi="Scala OT"/>
                <w:sz w:val="22"/>
                <w:szCs w:val="22"/>
              </w:rPr>
              <w:t>low</w:t>
            </w:r>
            <w:proofErr w:type="spellEnd"/>
            <w:r>
              <w:rPr>
                <w:rFonts w:ascii="Scala OT" w:hAnsi="Scala OT"/>
                <w:sz w:val="22"/>
                <w:szCs w:val="22"/>
              </w:rPr>
              <w:t>/</w:t>
            </w:r>
            <w:proofErr w:type="spellStart"/>
            <w:r>
              <w:rPr>
                <w:rFonts w:ascii="Scala OT" w:hAnsi="Scala OT"/>
                <w:sz w:val="22"/>
                <w:szCs w:val="22"/>
              </w:rPr>
              <w:t>middle</w:t>
            </w:r>
            <w:proofErr w:type="spellEnd"/>
            <w:r>
              <w:rPr>
                <w:rFonts w:ascii="Scala OT" w:hAnsi="Scala OT"/>
                <w:sz w:val="22"/>
                <w:szCs w:val="22"/>
              </w:rPr>
              <w:t xml:space="preserve"> </w:t>
            </w:r>
            <w:proofErr w:type="spellStart"/>
            <w:r>
              <w:rPr>
                <w:rFonts w:ascii="Scala OT" w:hAnsi="Scala OT"/>
                <w:sz w:val="22"/>
                <w:szCs w:val="22"/>
              </w:rPr>
              <w:t>income</w:t>
            </w:r>
            <w:proofErr w:type="spellEnd"/>
            <w:r>
              <w:rPr>
                <w:rFonts w:ascii="Scala OT" w:hAnsi="Scala OT"/>
                <w:sz w:val="22"/>
                <w:szCs w:val="22"/>
              </w:rPr>
              <w:t xml:space="preserve"> countries sollen ggf. die Aktivitäten des RKI in diesem Bereich (Labor, Diagnostik) unterstützt werden. Länder in denen bereits Unterstützung bzgl. Labor/ Diagnostik-Kapazitäten erfolgt ist soll nun auch weiterführend in Richtung Maßnahmen/ Vorgehen bei Auftreten eines Falls unterstützt werden.</w:t>
            </w:r>
          </w:p>
          <w:p>
            <w:pPr>
              <w:pStyle w:val="Listenabsatz"/>
              <w:numPr>
                <w:ilvl w:val="0"/>
                <w:numId w:val="7"/>
              </w:numPr>
              <w:rPr>
                <w:rFonts w:ascii="Scala OT" w:hAnsi="Scala OT"/>
                <w:sz w:val="22"/>
                <w:szCs w:val="22"/>
              </w:rPr>
            </w:pPr>
            <w:r>
              <w:rPr>
                <w:rFonts w:ascii="Scala OT" w:hAnsi="Scala OT"/>
                <w:sz w:val="22"/>
                <w:szCs w:val="22"/>
              </w:rPr>
              <w:t xml:space="preserve">Gates </w:t>
            </w:r>
            <w:proofErr w:type="spellStart"/>
            <w:r>
              <w:rPr>
                <w:rFonts w:ascii="Scala OT" w:hAnsi="Scala OT"/>
                <w:sz w:val="22"/>
                <w:szCs w:val="22"/>
              </w:rPr>
              <w:t>Foundation</w:t>
            </w:r>
            <w:proofErr w:type="spellEnd"/>
            <w:r>
              <w:rPr>
                <w:rFonts w:ascii="Scala OT" w:hAnsi="Scala OT"/>
                <w:sz w:val="22"/>
                <w:szCs w:val="22"/>
              </w:rPr>
              <w:t>: auch Aktivitäten im Bereich Risikokommunikation geplant, über Mobilfunknetzwerk können statt Werbung auch Gesundheitshinweise verbreitet werden.</w:t>
            </w:r>
          </w:p>
          <w:p>
            <w:pPr>
              <w:pStyle w:val="Listenabsatz"/>
              <w:numPr>
                <w:ilvl w:val="0"/>
                <w:numId w:val="7"/>
              </w:numPr>
              <w:rPr>
                <w:rFonts w:ascii="Scala OT" w:hAnsi="Scala OT"/>
                <w:sz w:val="22"/>
                <w:szCs w:val="22"/>
              </w:rPr>
            </w:pPr>
            <w:r>
              <w:rPr>
                <w:rFonts w:ascii="Scala OT" w:hAnsi="Scala OT"/>
                <w:sz w:val="22"/>
                <w:szCs w:val="22"/>
              </w:rPr>
              <w:t xml:space="preserve">Kommentar: die Inhalte der Risikokommunikation in Abstimmung mit Experten der WHO erstellen (globale Strategie der WHO, Anpassung durch Anthropologen). </w:t>
            </w:r>
          </w:p>
          <w:p>
            <w:pPr>
              <w:pStyle w:val="Listenabsatz"/>
              <w:numPr>
                <w:ilvl w:val="0"/>
                <w:numId w:val="7"/>
              </w:numPr>
              <w:rPr>
                <w:rFonts w:ascii="Scala OT" w:hAnsi="Scala OT"/>
                <w:sz w:val="22"/>
                <w:szCs w:val="22"/>
              </w:rPr>
            </w:pPr>
            <w:r>
              <w:rPr>
                <w:rFonts w:ascii="Scala OT" w:hAnsi="Scala OT"/>
                <w:sz w:val="22"/>
                <w:szCs w:val="22"/>
              </w:rPr>
              <w:t xml:space="preserve">Kommentar: im Rahmen des GHPP ist bzgl. </w:t>
            </w:r>
            <w:r>
              <w:rPr>
                <w:rFonts w:ascii="Scala OT" w:hAnsi="Scala OT"/>
                <w:sz w:val="22"/>
                <w:szCs w:val="22"/>
                <w:lang w:val="fr-FR"/>
              </w:rPr>
              <w:t xml:space="preserve">Surveillance, Krisenmanagement, Preparedness etc. FG32 zuständig. </w:t>
            </w:r>
            <w:r>
              <w:rPr>
                <w:rFonts w:ascii="Scala OT" w:hAnsi="Scala OT"/>
                <w:sz w:val="22"/>
                <w:szCs w:val="22"/>
              </w:rPr>
              <w:t xml:space="preserve">Bitte bei geplanten </w:t>
            </w:r>
            <w:r>
              <w:rPr>
                <w:rFonts w:ascii="Scala OT" w:hAnsi="Scala OT"/>
                <w:sz w:val="22"/>
                <w:szCs w:val="22"/>
              </w:rPr>
              <w:lastRenderedPageBreak/>
              <w:t xml:space="preserve">Aktivitäten zu den Themen FG32 einbinden, auch wenn dort aktuelle die Möglichkeiten zur Teilnahme begrenzt sind. </w:t>
            </w:r>
          </w:p>
          <w:p>
            <w:pPr>
              <w:pStyle w:val="Listenabsatz"/>
              <w:numPr>
                <w:ilvl w:val="0"/>
                <w:numId w:val="7"/>
              </w:numPr>
              <w:rPr>
                <w:rFonts w:ascii="Scala OT" w:hAnsi="Scala OT"/>
                <w:sz w:val="22"/>
                <w:szCs w:val="22"/>
              </w:rPr>
            </w:pPr>
            <w:r>
              <w:rPr>
                <w:rFonts w:ascii="Scala OT" w:hAnsi="Scala OT"/>
                <w:sz w:val="22"/>
                <w:szCs w:val="22"/>
              </w:rPr>
              <w:t>Eine große, internationale Konferenz der WHO findet zum Thema in Genf statt. RKI ist nicht vertreten, in Lage-AG war die Information zu der Konferenz nicht bekannt. ZIG hatte Information, aber nicht mit Interesse andere aus dem RKI gerechnet.</w:t>
            </w:r>
          </w:p>
          <w:p>
            <w:pPr>
              <w:rPr>
                <w:rFonts w:ascii="Scala OT" w:hAnsi="Scala OT"/>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ZIG teilt Information zu internationalen Veranstaltungen frühzeitig und niederschwellig mit Leitung und Lage-AG, so dass Teilnahme geprüft werden kann. </w:t>
            </w:r>
          </w:p>
        </w:tc>
      </w:tr>
      <w:tr>
        <w:tc>
          <w:tcPr>
            <w:tcW w:w="684" w:type="dxa"/>
          </w:tcPr>
          <w:p>
            <w:pPr>
              <w:rPr>
                <w:rFonts w:ascii="Scala OT" w:hAnsi="Scala OT"/>
                <w:b/>
                <w:sz w:val="22"/>
                <w:szCs w:val="22"/>
              </w:rPr>
            </w:pPr>
            <w:r>
              <w:rPr>
                <w:rFonts w:ascii="Scala OT" w:hAnsi="Scala OT"/>
                <w:b/>
                <w:sz w:val="22"/>
                <w:szCs w:val="22"/>
              </w:rPr>
              <w:lastRenderedPageBreak/>
              <w:t>7</w:t>
            </w:r>
          </w:p>
        </w:tc>
        <w:tc>
          <w:tcPr>
            <w:tcW w:w="7929" w:type="dxa"/>
          </w:tcPr>
          <w:p>
            <w:pPr>
              <w:rPr>
                <w:rFonts w:ascii="Scala OT" w:hAnsi="Scala OT"/>
                <w:b/>
                <w:sz w:val="22"/>
                <w:szCs w:val="22"/>
              </w:rPr>
            </w:pPr>
            <w:r>
              <w:rPr>
                <w:rFonts w:ascii="Scala OT" w:hAnsi="Scala OT"/>
                <w:b/>
                <w:sz w:val="22"/>
                <w:szCs w:val="22"/>
              </w:rPr>
              <w:t>Transport und Grenzübergangsstellen</w:t>
            </w:r>
          </w:p>
          <w:p>
            <w:pPr>
              <w:rPr>
                <w:rFonts w:ascii="Scala OT" w:hAnsi="Scala OT"/>
                <w:b/>
                <w:sz w:val="22"/>
                <w:szCs w:val="22"/>
              </w:rPr>
            </w:pPr>
            <w:r>
              <w:rPr>
                <w:rFonts w:ascii="Scala OT" w:hAnsi="Scala OT"/>
                <w:b/>
                <w:sz w:val="22"/>
                <w:szCs w:val="22"/>
              </w:rPr>
              <w:t>Bericht aus TK mit GA von IGV-benannten Flughäfen</w:t>
            </w:r>
          </w:p>
          <w:p>
            <w:pPr>
              <w:pStyle w:val="Listenabsatz"/>
              <w:numPr>
                <w:ilvl w:val="0"/>
                <w:numId w:val="23"/>
              </w:numPr>
              <w:rPr>
                <w:rFonts w:ascii="Scala OT" w:hAnsi="Scala OT"/>
                <w:sz w:val="22"/>
                <w:szCs w:val="22"/>
              </w:rPr>
            </w:pPr>
            <w:r>
              <w:rPr>
                <w:rFonts w:ascii="Scala OT" w:hAnsi="Scala OT"/>
                <w:sz w:val="22"/>
                <w:szCs w:val="22"/>
              </w:rPr>
              <w:t>Heute 13 Uhr findet ein Termin zwischen Bundesminister Spahn und Ministern der Länder statt, hier soll das Verfahren festgelegt werden.</w:t>
            </w:r>
          </w:p>
          <w:p>
            <w:pPr>
              <w:rPr>
                <w:rFonts w:ascii="Scala OT" w:hAnsi="Scala OT"/>
                <w:sz w:val="22"/>
                <w:szCs w:val="22"/>
              </w:rPr>
            </w:pPr>
          </w:p>
          <w:p>
            <w:pPr>
              <w:rPr>
                <w:rFonts w:ascii="Scala OT" w:hAnsi="Scala OT"/>
                <w:b/>
                <w:sz w:val="22"/>
                <w:szCs w:val="22"/>
              </w:rPr>
            </w:pPr>
            <w:r>
              <w:rPr>
                <w:rFonts w:ascii="Scala OT" w:hAnsi="Scala OT"/>
                <w:b/>
                <w:sz w:val="22"/>
                <w:szCs w:val="22"/>
              </w:rPr>
              <w:t>IGV-benannte Flughäfen:</w:t>
            </w:r>
          </w:p>
          <w:p>
            <w:pPr>
              <w:pStyle w:val="Listenabsatz"/>
              <w:numPr>
                <w:ilvl w:val="0"/>
                <w:numId w:val="23"/>
              </w:numPr>
              <w:rPr>
                <w:rFonts w:ascii="Scala OT" w:hAnsi="Scala OT"/>
                <w:sz w:val="22"/>
                <w:szCs w:val="22"/>
              </w:rPr>
            </w:pPr>
            <w:r>
              <w:rPr>
                <w:rFonts w:ascii="Scala OT" w:hAnsi="Scala OT"/>
                <w:sz w:val="22"/>
                <w:szCs w:val="22"/>
              </w:rPr>
              <w:t xml:space="preserve">Bezüglich des Umgangs mit Reiserückkehrern sollte das AGI-Papier die Diskussion führen. Aktuell dazu parallel Diskussionen in der Gruppe der IGV-benannte Flughäfen. </w:t>
            </w:r>
          </w:p>
          <w:p>
            <w:pPr>
              <w:pStyle w:val="Listenabsatz"/>
              <w:numPr>
                <w:ilvl w:val="0"/>
                <w:numId w:val="23"/>
              </w:numPr>
              <w:rPr>
                <w:rFonts w:ascii="Scala OT" w:hAnsi="Scala OT"/>
                <w:sz w:val="22"/>
                <w:szCs w:val="22"/>
              </w:rPr>
            </w:pPr>
            <w:r>
              <w:rPr>
                <w:rFonts w:ascii="Scala OT" w:hAnsi="Scala OT"/>
                <w:sz w:val="22"/>
                <w:szCs w:val="22"/>
              </w:rPr>
              <w:t xml:space="preserve">Direktflüge aus China sind perspektivisch eingestellt, daher ist die Frage  nur noch für Frankfurt /München relevant. Bei den anderen Flughäfen wurde der Verkehr seitens der Fluglinien eingestellt oder es gibt keine Direktflüge. Die Einstellungen zu den Maßnahmen gingen hier stark auseinander: München/Bayern: Screening, dass den Indexfall in Bayern identifiziert hätte versus Frankfurt: kein Screening, da Frankfurt/ Hessen neben grundsätzlichen Vorbehalten auch Kapazitätsprobleme bei der Umsetzung durch hohe Passagierzahlen durch die Direktflüge sieht. </w:t>
            </w:r>
          </w:p>
          <w:p>
            <w:pPr>
              <w:pStyle w:val="Listenabsatz"/>
              <w:numPr>
                <w:ilvl w:val="0"/>
                <w:numId w:val="23"/>
              </w:numPr>
              <w:rPr>
                <w:rFonts w:ascii="Scala OT" w:hAnsi="Scala OT"/>
                <w:sz w:val="22"/>
                <w:szCs w:val="22"/>
              </w:rPr>
            </w:pPr>
            <w:r>
              <w:rPr>
                <w:rFonts w:ascii="Scala OT" w:hAnsi="Scala OT"/>
                <w:sz w:val="22"/>
                <w:szCs w:val="22"/>
              </w:rPr>
              <w:t xml:space="preserve">Aktuelle Position von Frankfurt/Hessen: Maßnahmen bei ARE Symptomatik UND Kontakt zu bestätigtem Fall ODER zu Risikogebiet; Aktuelle Position von München/Bayern: unspezifische Symptome UND Kontakt zu einem </w:t>
            </w:r>
            <w:proofErr w:type="spellStart"/>
            <w:r>
              <w:rPr>
                <w:rFonts w:ascii="Scala OT" w:hAnsi="Scala OT"/>
                <w:sz w:val="22"/>
                <w:szCs w:val="22"/>
              </w:rPr>
              <w:t>nCoV</w:t>
            </w:r>
            <w:proofErr w:type="spellEnd"/>
            <w:r>
              <w:rPr>
                <w:rFonts w:ascii="Scala OT" w:hAnsi="Scala OT"/>
                <w:sz w:val="22"/>
                <w:szCs w:val="22"/>
              </w:rPr>
              <w:t xml:space="preserve">-Erkrankten ODER Aufenthalt in einem Risikogebiet bzw. Kontakt zu einer Person aus dem Risikogebiet </w:t>
            </w:r>
          </w:p>
        </w:tc>
      </w:tr>
      <w:tr>
        <w:tc>
          <w:tcPr>
            <w:tcW w:w="684" w:type="dxa"/>
          </w:tcPr>
          <w:p>
            <w:pPr>
              <w:rPr>
                <w:rFonts w:ascii="Scala OT" w:hAnsi="Scala OT"/>
                <w:b/>
                <w:sz w:val="22"/>
                <w:szCs w:val="22"/>
              </w:rPr>
            </w:pPr>
            <w:r>
              <w:rPr>
                <w:rFonts w:ascii="Scala OT" w:hAnsi="Scala OT"/>
                <w:b/>
                <w:sz w:val="22"/>
                <w:szCs w:val="22"/>
              </w:rPr>
              <w:t>8</w:t>
            </w:r>
          </w:p>
        </w:tc>
        <w:tc>
          <w:tcPr>
            <w:tcW w:w="7929" w:type="dxa"/>
          </w:tcPr>
          <w:p>
            <w:pPr>
              <w:rPr>
                <w:rFonts w:ascii="Scala OT" w:hAnsi="Scala OT"/>
                <w:b/>
                <w:sz w:val="22"/>
                <w:szCs w:val="22"/>
              </w:rPr>
            </w:pPr>
            <w:r>
              <w:rPr>
                <w:rFonts w:ascii="Scala OT" w:hAnsi="Scala OT"/>
                <w:b/>
                <w:sz w:val="22"/>
                <w:szCs w:val="22"/>
              </w:rPr>
              <w:t>Labordiagnostik</w:t>
            </w:r>
          </w:p>
          <w:p>
            <w:pPr>
              <w:rPr>
                <w:rFonts w:ascii="Scala OT" w:hAnsi="Scala OT"/>
                <w:b/>
                <w:sz w:val="22"/>
                <w:szCs w:val="22"/>
              </w:rPr>
            </w:pPr>
            <w:r>
              <w:rPr>
                <w:rFonts w:ascii="Scala OT" w:hAnsi="Scala OT"/>
                <w:b/>
                <w:sz w:val="22"/>
                <w:szCs w:val="22"/>
              </w:rPr>
              <w:t>Laborabfrage durchgeführter Tests</w:t>
            </w:r>
          </w:p>
          <w:p>
            <w:pPr>
              <w:pStyle w:val="Listenabsatz"/>
              <w:numPr>
                <w:ilvl w:val="0"/>
                <w:numId w:val="18"/>
              </w:numPr>
              <w:rPr>
                <w:rFonts w:ascii="Scala OT" w:hAnsi="Scala OT"/>
                <w:sz w:val="22"/>
                <w:szCs w:val="22"/>
              </w:rPr>
            </w:pPr>
            <w:r>
              <w:rPr>
                <w:rFonts w:ascii="Scala OT" w:hAnsi="Scala OT"/>
                <w:sz w:val="22"/>
                <w:szCs w:val="22"/>
              </w:rPr>
              <w:t xml:space="preserve">FG17: Abklärung bis Ende der Woche wie viele Testungen bisher durchgeführt wurden (10-12 Labore, + KL (Routine bei Labor Berlin, spezielle Fälle </w:t>
            </w:r>
            <w:proofErr w:type="spellStart"/>
            <w:r>
              <w:rPr>
                <w:rFonts w:ascii="Scala OT" w:hAnsi="Scala OT"/>
                <w:sz w:val="22"/>
                <w:szCs w:val="22"/>
              </w:rPr>
              <w:t>Drosten</w:t>
            </w:r>
            <w:proofErr w:type="spellEnd"/>
            <w:r>
              <w:rPr>
                <w:rFonts w:ascii="Scala OT" w:hAnsi="Scala OT"/>
                <w:sz w:val="22"/>
                <w:szCs w:val="22"/>
              </w:rPr>
              <w:t xml:space="preserve">)). Bei der Abfrage soll </w:t>
            </w:r>
            <w:proofErr w:type="spellStart"/>
            <w:r>
              <w:rPr>
                <w:rFonts w:ascii="Scala OT" w:hAnsi="Scala OT"/>
                <w:sz w:val="22"/>
                <w:szCs w:val="22"/>
              </w:rPr>
              <w:t>GfV</w:t>
            </w:r>
            <w:proofErr w:type="spellEnd"/>
            <w:r>
              <w:rPr>
                <w:rFonts w:ascii="Scala OT" w:hAnsi="Scala OT"/>
                <w:sz w:val="22"/>
                <w:szCs w:val="22"/>
              </w:rPr>
              <w:t xml:space="preserve">/ DVV eingebunden werden. </w:t>
            </w:r>
          </w:p>
          <w:p>
            <w:pPr>
              <w:pStyle w:val="Listenabsatz"/>
              <w:numPr>
                <w:ilvl w:val="0"/>
                <w:numId w:val="18"/>
              </w:numPr>
              <w:rPr>
                <w:rFonts w:ascii="Scala OT" w:hAnsi="Scala OT"/>
                <w:sz w:val="22"/>
                <w:szCs w:val="22"/>
              </w:rPr>
            </w:pPr>
            <w:r>
              <w:rPr>
                <w:rFonts w:ascii="Scala OT" w:hAnsi="Scala OT"/>
                <w:sz w:val="22"/>
                <w:szCs w:val="22"/>
              </w:rPr>
              <w:t>Eine elektronische Abfrage wäre über das ARS-System (Labornetzwerk, FG37) möglich, da über die Schnittstellen zu den Laborsystemen (niedergelassene Labore, evtl. demnächst auch Labor Berlin) durchgeführte Untersuchungen gespiegelt und berichtet werden können. Die Virusdiagnostik ist bisher aber nur teilweise verfügbar. Nach Absprach mit dem Betreiber des Systems können die benötigten Parameter aber wahrscheinlich ergänzt werden, evtl. beteiligen sich für diese Abfrage auch zeitweilig Labore, die aktuell noch nicht teilnehmen.</w:t>
            </w:r>
          </w:p>
          <w:p>
            <w:pPr>
              <w:pStyle w:val="Listenabsatz"/>
              <w:numPr>
                <w:ilvl w:val="0"/>
                <w:numId w:val="18"/>
              </w:numPr>
              <w:rPr>
                <w:rFonts w:ascii="Scala OT" w:hAnsi="Scala OT"/>
                <w:sz w:val="22"/>
                <w:szCs w:val="22"/>
              </w:rPr>
            </w:pPr>
            <w:r>
              <w:rPr>
                <w:rFonts w:ascii="Scala OT" w:hAnsi="Scala OT"/>
                <w:sz w:val="22"/>
                <w:szCs w:val="22"/>
              </w:rPr>
              <w:t>Bis dahin soll täglich eine telefonische Abfrage der virologischen Labore erfolgen und perspektivisch die niedergelassenen Labore über ARS erreicht werden. Diese Anrufe können ggf. durch die ZKL-Geschäftsstelle durchgeführt werden.</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FG17 entwirft Anschreiben an </w:t>
            </w:r>
            <w:proofErr w:type="spellStart"/>
            <w:r>
              <w:rPr>
                <w:rFonts w:ascii="Scala Sans OT" w:hAnsi="Scala Sans OT"/>
                <w:b/>
                <w:i/>
                <w:sz w:val="22"/>
                <w:szCs w:val="22"/>
              </w:rPr>
              <w:t>GfV</w:t>
            </w:r>
            <w:proofErr w:type="spellEnd"/>
            <w:r>
              <w:rPr>
                <w:rFonts w:ascii="Scala Sans OT" w:hAnsi="Scala Sans OT"/>
                <w:b/>
                <w:i/>
                <w:sz w:val="22"/>
                <w:szCs w:val="22"/>
              </w:rPr>
              <w:t xml:space="preserve"> bzgl. der geplanten Abfrage der Labore mit </w:t>
            </w:r>
            <w:r>
              <w:rPr>
                <w:rFonts w:ascii="Scala Sans OT" w:hAnsi="Scala Sans OT"/>
                <w:b/>
                <w:i/>
                <w:sz w:val="22"/>
                <w:szCs w:val="22"/>
              </w:rPr>
              <w:lastRenderedPageBreak/>
              <w:t>Bitte um Unterstützung und Information der Labore. Abt. 3 (Geschäftsstelle der NRZ und KL führt Befragungen durch)</w:t>
            </w:r>
          </w:p>
          <w:p>
            <w:pPr>
              <w:rPr>
                <w:rFonts w:ascii="Scala Sans OT" w:hAnsi="Scala Sans OT"/>
                <w:b/>
                <w:i/>
                <w:sz w:val="22"/>
                <w:szCs w:val="22"/>
              </w:rPr>
            </w:pPr>
          </w:p>
          <w:p>
            <w:pPr>
              <w:rPr>
                <w:rFonts w:ascii="Scala OT" w:hAnsi="Scala OT"/>
                <w:b/>
                <w:sz w:val="22"/>
                <w:szCs w:val="22"/>
              </w:rPr>
            </w:pPr>
            <w:r>
              <w:rPr>
                <w:rFonts w:ascii="Scala OT" w:hAnsi="Scala OT"/>
                <w:b/>
                <w:sz w:val="22"/>
                <w:szCs w:val="22"/>
              </w:rPr>
              <w:t>Testung asymptomatischer Personen / Sensitivität und Spezifität PCR (Abstrich); PPW, NPW</w:t>
            </w:r>
          </w:p>
          <w:p>
            <w:pPr>
              <w:pStyle w:val="Listenabsatz"/>
              <w:numPr>
                <w:ilvl w:val="0"/>
                <w:numId w:val="18"/>
              </w:numPr>
              <w:rPr>
                <w:rFonts w:ascii="Scala OT" w:hAnsi="Scala OT"/>
                <w:sz w:val="22"/>
                <w:szCs w:val="22"/>
              </w:rPr>
            </w:pPr>
            <w:r>
              <w:rPr>
                <w:rFonts w:ascii="Scala OT" w:hAnsi="Scala OT"/>
                <w:sz w:val="22"/>
                <w:szCs w:val="22"/>
              </w:rPr>
              <w:t xml:space="preserve">Täglich erreichen das RKI Anfragen, ob bei negativen Tests die Personen entlassen werden können. Anscheinend herrscht Unklarheit bzgl. des Aussagewerts der Testungen. Diese sollte in einigen Dokumenten (Diagnostik, FAQ, etc.) noch mal deutlicher dargestellt werden. </w:t>
            </w:r>
          </w:p>
          <w:p>
            <w:pPr>
              <w:pStyle w:val="Listenabsatz"/>
              <w:numPr>
                <w:ilvl w:val="0"/>
                <w:numId w:val="18"/>
              </w:numPr>
              <w:rPr>
                <w:rFonts w:ascii="Scala OT" w:hAnsi="Scala OT"/>
                <w:sz w:val="22"/>
                <w:szCs w:val="22"/>
              </w:rPr>
            </w:pPr>
            <w:r>
              <w:rPr>
                <w:rFonts w:ascii="Scala OT" w:hAnsi="Scala OT"/>
                <w:sz w:val="22"/>
                <w:szCs w:val="22"/>
              </w:rPr>
              <w:t>Aussage aktuell: Entlassung asymptomatischer Personen nach Ablauf der Inkubationszeit.</w:t>
            </w:r>
          </w:p>
          <w:p>
            <w:pPr>
              <w:rPr>
                <w:rFonts w:ascii="Scala OT" w:hAnsi="Scala OT"/>
                <w:b/>
                <w:i/>
                <w:sz w:val="22"/>
                <w:szCs w:val="22"/>
              </w:rPr>
            </w:pPr>
            <w:proofErr w:type="spellStart"/>
            <w:r>
              <w:rPr>
                <w:rFonts w:ascii="Scala OT" w:hAnsi="Scala OT"/>
                <w:b/>
                <w:i/>
                <w:sz w:val="22"/>
                <w:szCs w:val="22"/>
              </w:rPr>
              <w:t>ToDo</w:t>
            </w:r>
            <w:proofErr w:type="spellEnd"/>
            <w:r>
              <w:rPr>
                <w:rFonts w:ascii="Scala OT" w:hAnsi="Scala OT"/>
                <w:b/>
                <w:i/>
                <w:sz w:val="22"/>
                <w:szCs w:val="22"/>
              </w:rPr>
              <w:t xml:space="preserve">: FG17 (Wolff und Zuarbeit FG36/IBBS): Diagnostik Dokument, Text hinzufügen zu Aussagewert des Test </w:t>
            </w:r>
            <w:r>
              <w:rPr>
                <w:rFonts w:ascii="Scala OT" w:hAnsi="Scala OT"/>
                <w:b/>
                <w:i/>
                <w:sz w:val="22"/>
                <w:szCs w:val="22"/>
              </w:rPr>
              <w:sym w:font="Wingdings" w:char="F0E0"/>
            </w:r>
            <w:r>
              <w:rPr>
                <w:rFonts w:ascii="Scala OT" w:hAnsi="Scala OT"/>
                <w:b/>
                <w:i/>
                <w:sz w:val="22"/>
                <w:szCs w:val="22"/>
              </w:rPr>
              <w:t xml:space="preserve"> wann Diagnostik Aussage haben kann ebenso in FAQ anpassen.</w:t>
            </w:r>
          </w:p>
          <w:p>
            <w:pPr>
              <w:rPr>
                <w:rFonts w:ascii="Scala OT" w:hAnsi="Scala OT"/>
                <w:b/>
                <w:i/>
                <w:sz w:val="22"/>
                <w:szCs w:val="22"/>
              </w:rPr>
            </w:pPr>
          </w:p>
          <w:p>
            <w:pPr>
              <w:pStyle w:val="Listenabsatz"/>
              <w:numPr>
                <w:ilvl w:val="0"/>
                <w:numId w:val="18"/>
              </w:numPr>
              <w:rPr>
                <w:rFonts w:ascii="Scala OT" w:hAnsi="Scala OT"/>
                <w:sz w:val="22"/>
                <w:szCs w:val="22"/>
              </w:rPr>
            </w:pPr>
            <w:r>
              <w:rPr>
                <w:rFonts w:ascii="Scala OT" w:hAnsi="Scala OT"/>
                <w:sz w:val="22"/>
                <w:szCs w:val="22"/>
              </w:rPr>
              <w:t xml:space="preserve">Es sind keine Daten bzgl. NPW verfügbar. Die Einbettung in epidemiologische Studie nötig (Sensitivitätsanalyse mit Prävalenzen vor Ort, ob Test bei asymptomatischen Personen einen hohen NPW hat) </w:t>
            </w:r>
          </w:p>
          <w:p>
            <w:pPr>
              <w:pStyle w:val="Listenabsatz"/>
              <w:numPr>
                <w:ilvl w:val="0"/>
                <w:numId w:val="18"/>
              </w:numPr>
              <w:rPr>
                <w:rFonts w:ascii="Scala OT" w:hAnsi="Scala OT"/>
                <w:sz w:val="22"/>
                <w:szCs w:val="22"/>
              </w:rPr>
            </w:pPr>
            <w:r>
              <w:rPr>
                <w:rFonts w:ascii="Scala OT" w:hAnsi="Scala OT"/>
                <w:sz w:val="22"/>
                <w:szCs w:val="22"/>
              </w:rPr>
              <w:t xml:space="preserve">30-50% Sensitivität des in China verwendeten PCR-Tests; es ist nicht klar, ob der gleiche Test wie in Deutschland verwendet wird. </w:t>
            </w:r>
          </w:p>
          <w:p>
            <w:pPr>
              <w:pStyle w:val="Listenabsatz"/>
              <w:numPr>
                <w:ilvl w:val="0"/>
                <w:numId w:val="18"/>
              </w:numPr>
              <w:rPr>
                <w:rFonts w:ascii="Scala OT" w:hAnsi="Scala OT"/>
                <w:sz w:val="22"/>
                <w:szCs w:val="22"/>
              </w:rPr>
            </w:pPr>
            <w:r>
              <w:rPr>
                <w:rFonts w:ascii="Scala OT" w:hAnsi="Scala OT"/>
                <w:sz w:val="22"/>
                <w:szCs w:val="22"/>
              </w:rPr>
              <w:t>Die Validierung des Charité-Tests durch WHO-AG ist geplant, das RKI soll sich beteiligen.</w:t>
            </w:r>
          </w:p>
          <w:p>
            <w:pPr>
              <w:pStyle w:val="Listenabsatz"/>
              <w:numPr>
                <w:ilvl w:val="0"/>
                <w:numId w:val="18"/>
              </w:numPr>
              <w:rPr>
                <w:rFonts w:ascii="Scala OT" w:hAnsi="Scala OT"/>
                <w:sz w:val="22"/>
                <w:szCs w:val="22"/>
              </w:rPr>
            </w:pPr>
            <w:r>
              <w:rPr>
                <w:rFonts w:ascii="Scala OT" w:hAnsi="Scala OT"/>
                <w:sz w:val="22"/>
                <w:szCs w:val="22"/>
              </w:rPr>
              <w:t>Die Testung der Repatriierten ist ein Sondergeschehen bei dem das RKI keinen Einfluss auf die Maßnahmen hatte.</w:t>
            </w:r>
          </w:p>
          <w:p>
            <w:pPr>
              <w:pStyle w:val="Listenabsatz"/>
              <w:numPr>
                <w:ilvl w:val="0"/>
                <w:numId w:val="18"/>
              </w:numPr>
              <w:rPr>
                <w:rFonts w:ascii="Scala OT" w:hAnsi="Scala OT"/>
                <w:sz w:val="22"/>
                <w:szCs w:val="22"/>
              </w:rPr>
            </w:pPr>
            <w:r>
              <w:rPr>
                <w:rFonts w:ascii="Scala OT" w:hAnsi="Scala OT"/>
                <w:sz w:val="22"/>
                <w:szCs w:val="22"/>
              </w:rPr>
              <w:t>Standardvorgehen in Deutschland: Testung von asymptomatischen Personen nicht sinnvoll und verschwendet Ressourcen.</w:t>
            </w:r>
          </w:p>
        </w:tc>
      </w:tr>
      <w:tr>
        <w:tc>
          <w:tcPr>
            <w:tcW w:w="684" w:type="dxa"/>
          </w:tcPr>
          <w:p>
            <w:pPr>
              <w:rPr>
                <w:rFonts w:ascii="Scala OT" w:hAnsi="Scala OT"/>
                <w:b/>
                <w:sz w:val="22"/>
                <w:szCs w:val="22"/>
              </w:rPr>
            </w:pPr>
            <w:r>
              <w:rPr>
                <w:rFonts w:ascii="Scala OT" w:hAnsi="Scala OT"/>
                <w:b/>
                <w:sz w:val="22"/>
                <w:szCs w:val="22"/>
              </w:rPr>
              <w:lastRenderedPageBreak/>
              <w:t>9</w:t>
            </w:r>
          </w:p>
        </w:tc>
        <w:tc>
          <w:tcPr>
            <w:tcW w:w="7929" w:type="dxa"/>
          </w:tcPr>
          <w:p>
            <w:pPr>
              <w:rPr>
                <w:rFonts w:ascii="Scala OT" w:hAnsi="Scala OT"/>
                <w:b/>
                <w:sz w:val="22"/>
                <w:szCs w:val="22"/>
              </w:rPr>
            </w:pPr>
            <w:r>
              <w:rPr>
                <w:rFonts w:ascii="Scala OT" w:hAnsi="Scala OT"/>
                <w:b/>
                <w:sz w:val="22"/>
                <w:szCs w:val="22"/>
              </w:rPr>
              <w:t>Informationen aus der Koordinierungsstelle</w:t>
            </w:r>
          </w:p>
          <w:p>
            <w:pPr>
              <w:pStyle w:val="Listenabsatz"/>
              <w:numPr>
                <w:ilvl w:val="0"/>
                <w:numId w:val="18"/>
              </w:numPr>
              <w:rPr>
                <w:rFonts w:ascii="Scala OT" w:hAnsi="Scala OT"/>
                <w:sz w:val="22"/>
                <w:szCs w:val="22"/>
              </w:rPr>
            </w:pPr>
            <w:r>
              <w:rPr>
                <w:rFonts w:ascii="Scala OT" w:hAnsi="Scala OT"/>
                <w:sz w:val="22"/>
                <w:szCs w:val="22"/>
              </w:rPr>
              <w:t>Für Position Lagebericht sollen sich auch andere Personen außer FG36-MA eintragen (z.B. Sonntag)</w:t>
            </w:r>
          </w:p>
          <w:p>
            <w:pPr>
              <w:pStyle w:val="Listenabsatz"/>
              <w:numPr>
                <w:ilvl w:val="0"/>
                <w:numId w:val="18"/>
              </w:numPr>
              <w:rPr>
                <w:rFonts w:ascii="Scala OT" w:hAnsi="Scala OT"/>
                <w:b/>
                <w:sz w:val="22"/>
                <w:szCs w:val="22"/>
              </w:rPr>
            </w:pPr>
            <w:r>
              <w:rPr>
                <w:rFonts w:ascii="Scala OT" w:hAnsi="Scala OT"/>
                <w:sz w:val="22"/>
                <w:szCs w:val="22"/>
              </w:rPr>
              <w:t xml:space="preserve">E-Mails an gesamten </w:t>
            </w:r>
            <w:proofErr w:type="spellStart"/>
            <w:r>
              <w:rPr>
                <w:rFonts w:ascii="Scala OT" w:hAnsi="Scala OT"/>
                <w:sz w:val="22"/>
                <w:szCs w:val="22"/>
              </w:rPr>
              <w:t>CoV</w:t>
            </w:r>
            <w:proofErr w:type="spellEnd"/>
            <w:r>
              <w:rPr>
                <w:rFonts w:ascii="Scala OT" w:hAnsi="Scala OT"/>
                <w:sz w:val="22"/>
                <w:szCs w:val="22"/>
              </w:rPr>
              <w:t xml:space="preserve">-Verteiler sollen sparsamer versandt werden. Z.B. EWRS-Nachrichten nicht an den ganzen Verteiler. Personen sollen gezielter angesprochen werden. Lage-AG Mitglieder müssen sich Informationen besser aktiv holen. </w:t>
            </w:r>
          </w:p>
          <w:p>
            <w:pPr>
              <w:pStyle w:val="Listenabsatz"/>
              <w:numPr>
                <w:ilvl w:val="0"/>
                <w:numId w:val="18"/>
              </w:numPr>
              <w:rPr>
                <w:rFonts w:ascii="Scala OT" w:hAnsi="Scala OT"/>
                <w:b/>
                <w:sz w:val="22"/>
                <w:szCs w:val="22"/>
              </w:rPr>
            </w:pPr>
            <w:r>
              <w:rPr>
                <w:rFonts w:ascii="Scala OT" w:hAnsi="Scala OT"/>
                <w:sz w:val="22"/>
                <w:szCs w:val="22"/>
              </w:rPr>
              <w:t>Lageberichte und TK-Berichte werden weiterhin an alle gesendet, ebenso wie aktuelle Zahlen (INIG)</w:t>
            </w:r>
          </w:p>
        </w:tc>
      </w:tr>
      <w:tr>
        <w:tc>
          <w:tcPr>
            <w:tcW w:w="684" w:type="dxa"/>
          </w:tcPr>
          <w:p>
            <w:pPr>
              <w:rPr>
                <w:rFonts w:ascii="Scala OT" w:hAnsi="Scala OT"/>
                <w:b/>
                <w:sz w:val="22"/>
                <w:szCs w:val="22"/>
              </w:rPr>
            </w:pPr>
            <w:r>
              <w:rPr>
                <w:rFonts w:ascii="Scala OT" w:hAnsi="Scala OT"/>
                <w:b/>
                <w:sz w:val="22"/>
                <w:szCs w:val="22"/>
              </w:rPr>
              <w:t>10</w:t>
            </w:r>
          </w:p>
        </w:tc>
        <w:tc>
          <w:tcPr>
            <w:tcW w:w="7929" w:type="dxa"/>
          </w:tcPr>
          <w:p>
            <w:pPr>
              <w:rPr>
                <w:rFonts w:ascii="Scala OT" w:hAnsi="Scala OT"/>
                <w:b/>
                <w:sz w:val="22"/>
                <w:szCs w:val="22"/>
              </w:rPr>
            </w:pPr>
            <w:r>
              <w:rPr>
                <w:rFonts w:ascii="Scala OT" w:hAnsi="Scala OT"/>
                <w:b/>
                <w:sz w:val="22"/>
                <w:szCs w:val="22"/>
              </w:rPr>
              <w:t>Nächstes Treffen</w:t>
            </w:r>
          </w:p>
          <w:p>
            <w:pPr>
              <w:rPr>
                <w:rFonts w:ascii="Scala OT" w:hAnsi="Scala OT"/>
                <w:b/>
                <w:sz w:val="22"/>
                <w:szCs w:val="22"/>
              </w:rPr>
            </w:pPr>
            <w:r>
              <w:rPr>
                <w:rFonts w:ascii="Scala OT" w:hAnsi="Scala OT"/>
                <w:sz w:val="22"/>
                <w:szCs w:val="22"/>
              </w:rPr>
              <w:t>Mittwoch 12.02.2020, 11:00, Lagezentrum Besprechungsraum</w:t>
            </w:r>
          </w:p>
        </w:tc>
      </w:tr>
    </w:tbl>
    <w:p>
      <w:pPr>
        <w:spacing w:after="240" w:line="360" w:lineRule="auto"/>
        <w:rPr>
          <w:rFonts w:ascii="Scala OT" w:hAnsi="Scala OT"/>
          <w:sz w:val="22"/>
          <w:szCs w:val="22"/>
        </w:rPr>
      </w:pPr>
    </w:p>
    <w:sectPr>
      <w:headerReference w:type="even" r:id="rId9"/>
      <w:headerReference w:type="default" r:id="rId10"/>
      <w:footerReference w:type="even" r:id="rId11"/>
      <w:footerReference w:type="default" r:id="rId12"/>
      <w:headerReference w:type="first" r:id="rId13"/>
      <w:footerReference w:type="first" r:id="rId14"/>
      <w:pgSz w:w="11900" w:h="16840"/>
      <w:pgMar w:top="1276"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ala OT">
    <w:panose1 w:val="02010504040101020104"/>
    <w:charset w:val="00"/>
    <w:family w:val="auto"/>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bookmarkStart w:id="0" w:name="_GoBack"/>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Ergebnisprotokoll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0161"/>
    <w:multiLevelType w:val="hybridMultilevel"/>
    <w:tmpl w:val="2A1A91C4"/>
    <w:lvl w:ilvl="0" w:tplc="A5145F7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045A1"/>
    <w:multiLevelType w:val="hybridMultilevel"/>
    <w:tmpl w:val="0356608C"/>
    <w:lvl w:ilvl="0" w:tplc="CD18AA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07288A"/>
    <w:multiLevelType w:val="hybridMultilevel"/>
    <w:tmpl w:val="5DBC82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BD033D"/>
    <w:multiLevelType w:val="hybridMultilevel"/>
    <w:tmpl w:val="F9200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1319CF"/>
    <w:multiLevelType w:val="hybridMultilevel"/>
    <w:tmpl w:val="CFD4796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8" w15:restartNumberingAfterBreak="0">
    <w:nsid w:val="29D92F4D"/>
    <w:multiLevelType w:val="hybridMultilevel"/>
    <w:tmpl w:val="C1A8C4C0"/>
    <w:lvl w:ilvl="0" w:tplc="409025E8">
      <w:numFmt w:val="bullet"/>
      <w:lvlText w:val="•"/>
      <w:lvlJc w:val="left"/>
      <w:pPr>
        <w:ind w:left="1080" w:hanging="720"/>
      </w:pPr>
      <w:rPr>
        <w:rFonts w:ascii="Scala OT" w:eastAsiaTheme="minorHAnsi" w:hAnsi="Scala O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196053"/>
    <w:multiLevelType w:val="hybridMultilevel"/>
    <w:tmpl w:val="3D4286EA"/>
    <w:lvl w:ilvl="0" w:tplc="CD18AA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1A323C"/>
    <w:multiLevelType w:val="hybridMultilevel"/>
    <w:tmpl w:val="76FC22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FD59C2"/>
    <w:multiLevelType w:val="hybridMultilevel"/>
    <w:tmpl w:val="50927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34088B"/>
    <w:multiLevelType w:val="hybridMultilevel"/>
    <w:tmpl w:val="BEAEBDC4"/>
    <w:lvl w:ilvl="0" w:tplc="B2B685EA">
      <w:start w:val="1"/>
      <w:numFmt w:val="bullet"/>
      <w:lvlText w:val="•"/>
      <w:lvlJc w:val="left"/>
      <w:pPr>
        <w:tabs>
          <w:tab w:val="num" w:pos="720"/>
        </w:tabs>
        <w:ind w:left="720" w:hanging="360"/>
      </w:pPr>
      <w:rPr>
        <w:rFonts w:ascii="Arial" w:hAnsi="Arial" w:hint="default"/>
      </w:rPr>
    </w:lvl>
    <w:lvl w:ilvl="1" w:tplc="C86EA1BA" w:tentative="1">
      <w:start w:val="1"/>
      <w:numFmt w:val="bullet"/>
      <w:lvlText w:val="•"/>
      <w:lvlJc w:val="left"/>
      <w:pPr>
        <w:tabs>
          <w:tab w:val="num" w:pos="1440"/>
        </w:tabs>
        <w:ind w:left="1440" w:hanging="360"/>
      </w:pPr>
      <w:rPr>
        <w:rFonts w:ascii="Arial" w:hAnsi="Arial" w:hint="default"/>
      </w:rPr>
    </w:lvl>
    <w:lvl w:ilvl="2" w:tplc="DD0EF8CE" w:tentative="1">
      <w:start w:val="1"/>
      <w:numFmt w:val="bullet"/>
      <w:lvlText w:val="•"/>
      <w:lvlJc w:val="left"/>
      <w:pPr>
        <w:tabs>
          <w:tab w:val="num" w:pos="2160"/>
        </w:tabs>
        <w:ind w:left="2160" w:hanging="360"/>
      </w:pPr>
      <w:rPr>
        <w:rFonts w:ascii="Arial" w:hAnsi="Arial" w:hint="default"/>
      </w:rPr>
    </w:lvl>
    <w:lvl w:ilvl="3" w:tplc="8BE8B06A" w:tentative="1">
      <w:start w:val="1"/>
      <w:numFmt w:val="bullet"/>
      <w:lvlText w:val="•"/>
      <w:lvlJc w:val="left"/>
      <w:pPr>
        <w:tabs>
          <w:tab w:val="num" w:pos="2880"/>
        </w:tabs>
        <w:ind w:left="2880" w:hanging="360"/>
      </w:pPr>
      <w:rPr>
        <w:rFonts w:ascii="Arial" w:hAnsi="Arial" w:hint="default"/>
      </w:rPr>
    </w:lvl>
    <w:lvl w:ilvl="4" w:tplc="4FA83142" w:tentative="1">
      <w:start w:val="1"/>
      <w:numFmt w:val="bullet"/>
      <w:lvlText w:val="•"/>
      <w:lvlJc w:val="left"/>
      <w:pPr>
        <w:tabs>
          <w:tab w:val="num" w:pos="3600"/>
        </w:tabs>
        <w:ind w:left="3600" w:hanging="360"/>
      </w:pPr>
      <w:rPr>
        <w:rFonts w:ascii="Arial" w:hAnsi="Arial" w:hint="default"/>
      </w:rPr>
    </w:lvl>
    <w:lvl w:ilvl="5" w:tplc="1AF4755A" w:tentative="1">
      <w:start w:val="1"/>
      <w:numFmt w:val="bullet"/>
      <w:lvlText w:val="•"/>
      <w:lvlJc w:val="left"/>
      <w:pPr>
        <w:tabs>
          <w:tab w:val="num" w:pos="4320"/>
        </w:tabs>
        <w:ind w:left="4320" w:hanging="360"/>
      </w:pPr>
      <w:rPr>
        <w:rFonts w:ascii="Arial" w:hAnsi="Arial" w:hint="default"/>
      </w:rPr>
    </w:lvl>
    <w:lvl w:ilvl="6" w:tplc="94E0D114" w:tentative="1">
      <w:start w:val="1"/>
      <w:numFmt w:val="bullet"/>
      <w:lvlText w:val="•"/>
      <w:lvlJc w:val="left"/>
      <w:pPr>
        <w:tabs>
          <w:tab w:val="num" w:pos="5040"/>
        </w:tabs>
        <w:ind w:left="5040" w:hanging="360"/>
      </w:pPr>
      <w:rPr>
        <w:rFonts w:ascii="Arial" w:hAnsi="Arial" w:hint="default"/>
      </w:rPr>
    </w:lvl>
    <w:lvl w:ilvl="7" w:tplc="7EC0197C" w:tentative="1">
      <w:start w:val="1"/>
      <w:numFmt w:val="bullet"/>
      <w:lvlText w:val="•"/>
      <w:lvlJc w:val="left"/>
      <w:pPr>
        <w:tabs>
          <w:tab w:val="num" w:pos="5760"/>
        </w:tabs>
        <w:ind w:left="5760" w:hanging="360"/>
      </w:pPr>
      <w:rPr>
        <w:rFonts w:ascii="Arial" w:hAnsi="Arial" w:hint="default"/>
      </w:rPr>
    </w:lvl>
    <w:lvl w:ilvl="8" w:tplc="230862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265774"/>
    <w:multiLevelType w:val="hybridMultilevel"/>
    <w:tmpl w:val="7DB02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6C4146"/>
    <w:multiLevelType w:val="hybridMultilevel"/>
    <w:tmpl w:val="14C08264"/>
    <w:lvl w:ilvl="0" w:tplc="BCD004BC">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99E24A1"/>
    <w:multiLevelType w:val="hybridMultilevel"/>
    <w:tmpl w:val="FC446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D07176"/>
    <w:multiLevelType w:val="hybridMultilevel"/>
    <w:tmpl w:val="E78A2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2C2054"/>
    <w:multiLevelType w:val="hybridMultilevel"/>
    <w:tmpl w:val="C4EE8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5"/>
  </w:num>
  <w:num w:numId="4">
    <w:abstractNumId w:val="2"/>
  </w:num>
  <w:num w:numId="5">
    <w:abstractNumId w:val="14"/>
  </w:num>
  <w:num w:numId="6">
    <w:abstractNumId w:val="6"/>
  </w:num>
  <w:num w:numId="7">
    <w:abstractNumId w:val="16"/>
  </w:num>
  <w:num w:numId="8">
    <w:abstractNumId w:val="4"/>
  </w:num>
  <w:num w:numId="9">
    <w:abstractNumId w:val="13"/>
  </w:num>
  <w:num w:numId="10">
    <w:abstractNumId w:val="21"/>
  </w:num>
  <w:num w:numId="11">
    <w:abstractNumId w:val="9"/>
  </w:num>
  <w:num w:numId="12">
    <w:abstractNumId w:val="22"/>
  </w:num>
  <w:num w:numId="13">
    <w:abstractNumId w:val="19"/>
  </w:num>
  <w:num w:numId="14">
    <w:abstractNumId w:val="23"/>
  </w:num>
  <w:num w:numId="15">
    <w:abstractNumId w:val="0"/>
  </w:num>
  <w:num w:numId="16">
    <w:abstractNumId w:val="1"/>
  </w:num>
  <w:num w:numId="17">
    <w:abstractNumId w:val="10"/>
  </w:num>
  <w:num w:numId="18">
    <w:abstractNumId w:val="5"/>
  </w:num>
  <w:num w:numId="19">
    <w:abstractNumId w:val="7"/>
  </w:num>
  <w:num w:numId="20">
    <w:abstractNumId w:val="17"/>
  </w:num>
  <w:num w:numId="21">
    <w:abstractNumId w:val="20"/>
  </w:num>
  <w:num w:numId="22">
    <w:abstractNumId w:val="8"/>
  </w:num>
  <w:num w:numId="23">
    <w:abstractNumId w:val="18"/>
  </w:num>
  <w:num w:numId="2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65814C37-0E2B-499C-B978-A179A22B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4213">
      <w:bodyDiv w:val="1"/>
      <w:marLeft w:val="0"/>
      <w:marRight w:val="0"/>
      <w:marTop w:val="0"/>
      <w:marBottom w:val="0"/>
      <w:divBdr>
        <w:top w:val="none" w:sz="0" w:space="0" w:color="auto"/>
        <w:left w:val="none" w:sz="0" w:space="0" w:color="auto"/>
        <w:bottom w:val="none" w:sz="0" w:space="0" w:color="auto"/>
        <w:right w:val="none" w:sz="0" w:space="0" w:color="auto"/>
      </w:divBdr>
    </w:div>
    <w:div w:id="285549521">
      <w:bodyDiv w:val="1"/>
      <w:marLeft w:val="0"/>
      <w:marRight w:val="0"/>
      <w:marTop w:val="0"/>
      <w:marBottom w:val="0"/>
      <w:divBdr>
        <w:top w:val="none" w:sz="0" w:space="0" w:color="auto"/>
        <w:left w:val="none" w:sz="0" w:space="0" w:color="auto"/>
        <w:bottom w:val="none" w:sz="0" w:space="0" w:color="auto"/>
        <w:right w:val="none" w:sz="0" w:space="0" w:color="auto"/>
      </w:divBdr>
      <w:divsChild>
        <w:div w:id="1342587778">
          <w:marLeft w:val="547"/>
          <w:marRight w:val="0"/>
          <w:marTop w:val="115"/>
          <w:marBottom w:val="0"/>
          <w:divBdr>
            <w:top w:val="none" w:sz="0" w:space="0" w:color="auto"/>
            <w:left w:val="none" w:sz="0" w:space="0" w:color="auto"/>
            <w:bottom w:val="none" w:sz="0" w:space="0" w:color="auto"/>
            <w:right w:val="none" w:sz="0" w:space="0" w:color="auto"/>
          </w:divBdr>
        </w:div>
        <w:div w:id="1097021406">
          <w:marLeft w:val="547"/>
          <w:marRight w:val="0"/>
          <w:marTop w:val="115"/>
          <w:marBottom w:val="0"/>
          <w:divBdr>
            <w:top w:val="none" w:sz="0" w:space="0" w:color="auto"/>
            <w:left w:val="none" w:sz="0" w:space="0" w:color="auto"/>
            <w:bottom w:val="none" w:sz="0" w:space="0" w:color="auto"/>
            <w:right w:val="none" w:sz="0" w:space="0" w:color="auto"/>
          </w:divBdr>
        </w:div>
        <w:div w:id="182595908">
          <w:marLeft w:val="547"/>
          <w:marRight w:val="0"/>
          <w:marTop w:val="115"/>
          <w:marBottom w:val="0"/>
          <w:divBdr>
            <w:top w:val="none" w:sz="0" w:space="0" w:color="auto"/>
            <w:left w:val="none" w:sz="0" w:space="0" w:color="auto"/>
            <w:bottom w:val="none" w:sz="0" w:space="0" w:color="auto"/>
            <w:right w:val="none" w:sz="0" w:space="0" w:color="auto"/>
          </w:divBdr>
        </w:div>
        <w:div w:id="2103404826">
          <w:marLeft w:val="547"/>
          <w:marRight w:val="0"/>
          <w:marTop w:val="115"/>
          <w:marBottom w:val="0"/>
          <w:divBdr>
            <w:top w:val="none" w:sz="0" w:space="0" w:color="auto"/>
            <w:left w:val="none" w:sz="0" w:space="0" w:color="auto"/>
            <w:bottom w:val="none" w:sz="0" w:space="0" w:color="auto"/>
            <w:right w:val="none" w:sz="0" w:space="0" w:color="auto"/>
          </w:divBdr>
        </w:div>
        <w:div w:id="643433485">
          <w:marLeft w:val="547"/>
          <w:marRight w:val="0"/>
          <w:marTop w:val="115"/>
          <w:marBottom w:val="0"/>
          <w:divBdr>
            <w:top w:val="none" w:sz="0" w:space="0" w:color="auto"/>
            <w:left w:val="none" w:sz="0" w:space="0" w:color="auto"/>
            <w:bottom w:val="none" w:sz="0" w:space="0" w:color="auto"/>
            <w:right w:val="none" w:sz="0" w:space="0" w:color="auto"/>
          </w:divBdr>
        </w:div>
        <w:div w:id="396783022">
          <w:marLeft w:val="547"/>
          <w:marRight w:val="0"/>
          <w:marTop w:val="115"/>
          <w:marBottom w:val="0"/>
          <w:divBdr>
            <w:top w:val="none" w:sz="0" w:space="0" w:color="auto"/>
            <w:left w:val="none" w:sz="0" w:space="0" w:color="auto"/>
            <w:bottom w:val="none" w:sz="0" w:space="0" w:color="auto"/>
            <w:right w:val="none" w:sz="0" w:space="0" w:color="auto"/>
          </w:divBdr>
        </w:div>
        <w:div w:id="1960187506">
          <w:marLeft w:val="547"/>
          <w:marRight w:val="0"/>
          <w:marTop w:val="115"/>
          <w:marBottom w:val="0"/>
          <w:divBdr>
            <w:top w:val="none" w:sz="0" w:space="0" w:color="auto"/>
            <w:left w:val="none" w:sz="0" w:space="0" w:color="auto"/>
            <w:bottom w:val="none" w:sz="0" w:space="0" w:color="auto"/>
            <w:right w:val="none" w:sz="0" w:space="0" w:color="auto"/>
          </w:divBdr>
        </w:div>
        <w:div w:id="1908102287">
          <w:marLeft w:val="547"/>
          <w:marRight w:val="0"/>
          <w:marTop w:val="115"/>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58024779">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2.Themen\2.1.Epidemiologie\Risikogebiete\2019-nCoV_risikogebiet_11_02_2020%20.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ala OT">
    <w:panose1 w:val="02010504040101020104"/>
    <w:charset w:val="00"/>
    <w:family w:val="auto"/>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F4F14-ECE2-4090-9544-3A504530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1854</Words>
  <Characters>11686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9</cp:revision>
  <dcterms:created xsi:type="dcterms:W3CDTF">2020-02-11T18:21:00Z</dcterms:created>
  <dcterms:modified xsi:type="dcterms:W3CDTF">2021-04-12T13:56:00Z</dcterms:modified>
</cp:coreProperties>
</file>